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heme="majorEastAsia" w:hAnsi="Times New Roman" w:cs="Times New Roman"/>
          <w:caps/>
          <w:sz w:val="24"/>
          <w:szCs w:val="24"/>
        </w:rPr>
        <w:id w:val="-267309968"/>
        <w:docPartObj>
          <w:docPartGallery w:val="Cover Pages"/>
          <w:docPartUnique/>
        </w:docPartObj>
      </w:sdtPr>
      <w:sdtEndPr>
        <w:rPr>
          <w:rFonts w:eastAsiaTheme="minorEastAsia"/>
          <w:b/>
          <w:bCs/>
          <w:caps w:val="0"/>
        </w:rPr>
      </w:sdtEndPr>
      <w:sdtContent>
        <w:tbl>
          <w:tblPr>
            <w:tblW w:w="5000" w:type="pct"/>
            <w:jc w:val="center"/>
            <w:tblLook w:val="04A0" w:firstRow="1" w:lastRow="0" w:firstColumn="1" w:lastColumn="0" w:noHBand="0" w:noVBand="1"/>
          </w:tblPr>
          <w:tblGrid>
            <w:gridCol w:w="9576"/>
          </w:tblGrid>
          <w:tr w:rsidR="00EA4F73" w:rsidRPr="00AE1663" w:rsidTr="00373F1E">
            <w:trPr>
              <w:trHeight w:val="720"/>
              <w:jc w:val="center"/>
            </w:trPr>
            <w:tc>
              <w:tcPr>
                <w:tcW w:w="5000" w:type="pct"/>
              </w:tcPr>
              <w:p w:rsidR="00EA4F73" w:rsidRPr="00AE1663" w:rsidRDefault="00EA4F73" w:rsidP="00EA4F73">
                <w:pPr>
                  <w:pStyle w:val="NoSpacing"/>
                  <w:ind w:left="5760"/>
                  <w:jc w:val="center"/>
                  <w:rPr>
                    <w:rFonts w:ascii="Times New Roman" w:eastAsiaTheme="majorEastAsia" w:hAnsi="Times New Roman" w:cs="Times New Roman"/>
                    <w:caps/>
                    <w:sz w:val="24"/>
                    <w:szCs w:val="24"/>
                  </w:rPr>
                </w:pPr>
                <w:r w:rsidRPr="00AE1663">
                  <w:rPr>
                    <w:rFonts w:ascii="Times New Roman" w:eastAsiaTheme="majorEastAsia" w:hAnsi="Times New Roman" w:cs="Times New Roman"/>
                    <w:sz w:val="24"/>
                    <w:szCs w:val="24"/>
                  </w:rPr>
                  <w:t>Team #209</w:t>
                </w:r>
              </w:p>
            </w:tc>
          </w:tr>
          <w:tr w:rsidR="00EA4F73" w:rsidRPr="00AE1663" w:rsidTr="004E2F52">
            <w:trPr>
              <w:trHeight w:val="1350"/>
              <w:jc w:val="center"/>
            </w:trPr>
            <w:tc>
              <w:tcPr>
                <w:tcW w:w="5000" w:type="pct"/>
                <w:tcBorders>
                  <w:bottom w:val="single" w:sz="4" w:space="0" w:color="4F81BD" w:themeColor="accent1"/>
                </w:tcBorders>
                <w:vAlign w:val="center"/>
              </w:tcPr>
              <w:p w:rsidR="00EA4F73" w:rsidRPr="00AE1663" w:rsidRDefault="00373F1E" w:rsidP="00373F1E">
                <w:pPr>
                  <w:pStyle w:val="NoSpacing"/>
                  <w:jc w:val="center"/>
                  <w:rPr>
                    <w:rFonts w:ascii="Times New Roman" w:eastAsiaTheme="majorEastAsia" w:hAnsi="Times New Roman" w:cs="Times New Roman"/>
                    <w:b/>
                    <w:sz w:val="24"/>
                    <w:szCs w:val="24"/>
                  </w:rPr>
                </w:pPr>
                <w:r w:rsidRPr="00AE1663">
                  <w:rPr>
                    <w:rFonts w:ascii="Times New Roman" w:eastAsiaTheme="majorEastAsia" w:hAnsi="Times New Roman" w:cs="Times New Roman"/>
                    <w:b/>
                    <w:sz w:val="24"/>
                    <w:szCs w:val="24"/>
                  </w:rPr>
                  <w:t>2013</w:t>
                </w:r>
                <w:r w:rsidR="00EA4F73" w:rsidRPr="00AE1663">
                  <w:rPr>
                    <w:rFonts w:ascii="Times New Roman" w:eastAsiaTheme="majorEastAsia" w:hAnsi="Times New Roman" w:cs="Times New Roman"/>
                    <w:b/>
                    <w:sz w:val="24"/>
                    <w:szCs w:val="24"/>
                  </w:rPr>
                  <w:t xml:space="preserve"> INTER-AMERICAN HUMAN RIGHTS</w:t>
                </w:r>
                <w:r w:rsidRPr="00AE1663">
                  <w:rPr>
                    <w:rFonts w:ascii="Times New Roman" w:eastAsiaTheme="majorEastAsia" w:hAnsi="Times New Roman" w:cs="Times New Roman"/>
                    <w:b/>
                    <w:sz w:val="24"/>
                    <w:szCs w:val="24"/>
                  </w:rPr>
                  <w:t xml:space="preserve"> MOOT COURT COMPETITION</w:t>
                </w:r>
                <w:r w:rsidR="0071238D" w:rsidRPr="00AE1663">
                  <w:rPr>
                    <w:rFonts w:ascii="Times New Roman" w:eastAsiaTheme="majorEastAsia" w:hAnsi="Times New Roman" w:cs="Times New Roman"/>
                    <w:b/>
                    <w:sz w:val="24"/>
                    <w:szCs w:val="24"/>
                  </w:rPr>
                  <w:t xml:space="preserve">  </w:t>
                </w:r>
                <w:r w:rsidR="00491B2A" w:rsidRPr="00AE1663">
                  <w:rPr>
                    <w:rFonts w:ascii="Times New Roman" w:eastAsiaTheme="majorEastAsia" w:hAnsi="Times New Roman" w:cs="Times New Roman"/>
                    <w:b/>
                    <w:sz w:val="24"/>
                    <w:szCs w:val="24"/>
                  </w:rPr>
                  <w:t>American University Washington College of Law | May 2013</w:t>
                </w:r>
              </w:p>
            </w:tc>
          </w:tr>
          <w:tr w:rsidR="00EA4F73" w:rsidRPr="00AE1663">
            <w:trPr>
              <w:trHeight w:val="720"/>
              <w:jc w:val="center"/>
            </w:trPr>
            <w:tc>
              <w:tcPr>
                <w:tcW w:w="5000" w:type="pct"/>
                <w:tcBorders>
                  <w:top w:val="single" w:sz="4" w:space="0" w:color="4F81BD" w:themeColor="accent1"/>
                </w:tcBorders>
                <w:vAlign w:val="center"/>
              </w:tcPr>
              <w:p w:rsidR="00EA4F73" w:rsidRPr="00AE1663" w:rsidRDefault="00373F1E" w:rsidP="00373F1E">
                <w:pPr>
                  <w:pStyle w:val="NoSpacing"/>
                  <w:jc w:val="center"/>
                  <w:rPr>
                    <w:rFonts w:ascii="Times New Roman" w:eastAsiaTheme="majorEastAsia" w:hAnsi="Times New Roman" w:cs="Times New Roman"/>
                    <w:sz w:val="24"/>
                    <w:szCs w:val="24"/>
                  </w:rPr>
                </w:pPr>
                <w:r w:rsidRPr="00AE1663">
                  <w:rPr>
                    <w:rFonts w:ascii="Times New Roman" w:eastAsiaTheme="majorEastAsia" w:hAnsi="Times New Roman" w:cs="Times New Roman"/>
                    <w:b/>
                    <w:sz w:val="24"/>
                    <w:szCs w:val="24"/>
                  </w:rPr>
                  <w:t>In the INTER-AMERICAN COURT OF HUMAN RIGHTS</w:t>
                </w:r>
              </w:p>
            </w:tc>
          </w:tr>
          <w:tr w:rsidR="00EA4F73" w:rsidRPr="00AE1663">
            <w:trPr>
              <w:trHeight w:val="360"/>
              <w:jc w:val="center"/>
            </w:trPr>
            <w:tc>
              <w:tcPr>
                <w:tcW w:w="5000" w:type="pct"/>
                <w:vAlign w:val="center"/>
              </w:tcPr>
              <w:p w:rsidR="00EA4F73" w:rsidRPr="00AE1663" w:rsidRDefault="00EA4F73">
                <w:pPr>
                  <w:pStyle w:val="NoSpacing"/>
                  <w:jc w:val="center"/>
                  <w:rPr>
                    <w:rFonts w:ascii="Times New Roman" w:hAnsi="Times New Roman" w:cs="Times New Roman"/>
                    <w:sz w:val="24"/>
                    <w:szCs w:val="24"/>
                  </w:rPr>
                </w:pPr>
              </w:p>
            </w:tc>
          </w:tr>
          <w:tr w:rsidR="00EA4F73" w:rsidRPr="00AE1663">
            <w:trPr>
              <w:trHeight w:val="360"/>
              <w:jc w:val="center"/>
            </w:trPr>
            <w:tc>
              <w:tcPr>
                <w:tcW w:w="5000" w:type="pct"/>
                <w:vAlign w:val="center"/>
              </w:tcPr>
              <w:p w:rsidR="00EA4F73" w:rsidRPr="00AE1663" w:rsidRDefault="00373F1E">
                <w:pPr>
                  <w:pStyle w:val="NoSpacing"/>
                  <w:jc w:val="center"/>
                  <w:rPr>
                    <w:rFonts w:ascii="Times New Roman" w:hAnsi="Times New Roman" w:cs="Times New Roman"/>
                    <w:b/>
                    <w:bCs/>
                    <w:sz w:val="24"/>
                    <w:szCs w:val="24"/>
                  </w:rPr>
                </w:pPr>
                <w:r w:rsidRPr="00AE1663">
                  <w:rPr>
                    <w:rFonts w:ascii="Times New Roman" w:hAnsi="Times New Roman" w:cs="Times New Roman"/>
                    <w:b/>
                    <w:bCs/>
                    <w:sz w:val="24"/>
                    <w:szCs w:val="24"/>
                  </w:rPr>
                  <w:t>Case of Serafina Conejo Gallo and Adriana Timor</w:t>
                </w:r>
              </w:p>
            </w:tc>
          </w:tr>
          <w:tr w:rsidR="00D501B4" w:rsidRPr="00AE1663" w:rsidTr="00D501B4">
            <w:trPr>
              <w:trHeight w:val="2241"/>
              <w:jc w:val="center"/>
            </w:trPr>
            <w:tc>
              <w:tcPr>
                <w:tcW w:w="5000" w:type="pct"/>
                <w:vAlign w:val="center"/>
              </w:tcPr>
              <w:p w:rsidR="00373F1E" w:rsidRPr="00AE1663" w:rsidRDefault="00373F1E">
                <w:pPr>
                  <w:pStyle w:val="NoSpacing"/>
                  <w:jc w:val="center"/>
                  <w:rPr>
                    <w:rFonts w:ascii="Times New Roman" w:hAnsi="Times New Roman" w:cs="Times New Roman"/>
                    <w:b/>
                    <w:bCs/>
                    <w:sz w:val="24"/>
                    <w:szCs w:val="24"/>
                  </w:rPr>
                </w:pPr>
              </w:p>
              <w:p w:rsidR="00373F1E" w:rsidRPr="00AE1663" w:rsidRDefault="00373F1E">
                <w:pPr>
                  <w:pStyle w:val="NoSpacing"/>
                  <w:jc w:val="center"/>
                  <w:rPr>
                    <w:rFonts w:ascii="Times New Roman" w:hAnsi="Times New Roman" w:cs="Times New Roman"/>
                    <w:bCs/>
                    <w:i/>
                    <w:sz w:val="24"/>
                    <w:szCs w:val="24"/>
                  </w:rPr>
                </w:pPr>
                <w:r w:rsidRPr="00AE1663">
                  <w:rPr>
                    <w:rFonts w:ascii="Times New Roman" w:hAnsi="Times New Roman" w:cs="Times New Roman"/>
                    <w:bCs/>
                    <w:i/>
                    <w:sz w:val="24"/>
                    <w:szCs w:val="24"/>
                  </w:rPr>
                  <w:t>Petitioners</w:t>
                </w:r>
              </w:p>
              <w:p w:rsidR="00373F1E" w:rsidRPr="00AE1663" w:rsidRDefault="00373F1E">
                <w:pPr>
                  <w:pStyle w:val="NoSpacing"/>
                  <w:jc w:val="center"/>
                  <w:rPr>
                    <w:rFonts w:ascii="Times New Roman" w:hAnsi="Times New Roman" w:cs="Times New Roman"/>
                    <w:bCs/>
                    <w:i/>
                    <w:sz w:val="24"/>
                    <w:szCs w:val="24"/>
                  </w:rPr>
                </w:pPr>
              </w:p>
              <w:p w:rsidR="00373F1E" w:rsidRPr="00AE1663" w:rsidRDefault="00373F1E">
                <w:pPr>
                  <w:pStyle w:val="NoSpacing"/>
                  <w:jc w:val="center"/>
                  <w:rPr>
                    <w:rFonts w:ascii="Times New Roman" w:hAnsi="Times New Roman" w:cs="Times New Roman"/>
                    <w:bCs/>
                    <w:sz w:val="24"/>
                    <w:szCs w:val="24"/>
                  </w:rPr>
                </w:pPr>
                <w:r w:rsidRPr="00AE1663">
                  <w:rPr>
                    <w:rFonts w:ascii="Times New Roman" w:hAnsi="Times New Roman" w:cs="Times New Roman"/>
                    <w:bCs/>
                    <w:sz w:val="24"/>
                    <w:szCs w:val="24"/>
                  </w:rPr>
                  <w:t>v.</w:t>
                </w:r>
              </w:p>
              <w:p w:rsidR="00373F1E" w:rsidRPr="00AE1663" w:rsidRDefault="00373F1E">
                <w:pPr>
                  <w:pStyle w:val="NoSpacing"/>
                  <w:jc w:val="center"/>
                  <w:rPr>
                    <w:rFonts w:ascii="Times New Roman" w:hAnsi="Times New Roman" w:cs="Times New Roman"/>
                    <w:bCs/>
                    <w:sz w:val="24"/>
                    <w:szCs w:val="24"/>
                  </w:rPr>
                </w:pPr>
              </w:p>
              <w:p w:rsidR="00373F1E" w:rsidRPr="00AE1663" w:rsidRDefault="00373F1E">
                <w:pPr>
                  <w:pStyle w:val="NoSpacing"/>
                  <w:jc w:val="center"/>
                  <w:rPr>
                    <w:rFonts w:ascii="Times New Roman" w:hAnsi="Times New Roman" w:cs="Times New Roman"/>
                    <w:b/>
                    <w:bCs/>
                    <w:sz w:val="24"/>
                    <w:szCs w:val="24"/>
                  </w:rPr>
                </w:pPr>
                <w:r w:rsidRPr="00AE1663">
                  <w:rPr>
                    <w:rFonts w:ascii="Times New Roman" w:hAnsi="Times New Roman" w:cs="Times New Roman"/>
                    <w:b/>
                    <w:bCs/>
                    <w:sz w:val="24"/>
                    <w:szCs w:val="24"/>
                  </w:rPr>
                  <w:t>The Sta</w:t>
                </w:r>
                <w:r w:rsidR="00A7760B">
                  <w:rPr>
                    <w:rFonts w:ascii="Times New Roman" w:hAnsi="Times New Roman" w:cs="Times New Roman"/>
                    <w:b/>
                    <w:bCs/>
                    <w:sz w:val="24"/>
                    <w:szCs w:val="24"/>
                  </w:rPr>
                  <w:t>te of Elizabetia</w:t>
                </w:r>
              </w:p>
              <w:p w:rsidR="00373F1E" w:rsidRPr="00AE1663" w:rsidRDefault="00373F1E">
                <w:pPr>
                  <w:pStyle w:val="NoSpacing"/>
                  <w:jc w:val="center"/>
                  <w:rPr>
                    <w:rFonts w:ascii="Times New Roman" w:hAnsi="Times New Roman" w:cs="Times New Roman"/>
                    <w:b/>
                    <w:bCs/>
                    <w:sz w:val="24"/>
                    <w:szCs w:val="24"/>
                  </w:rPr>
                </w:pPr>
              </w:p>
              <w:p w:rsidR="00373F1E" w:rsidRPr="00AE1663" w:rsidRDefault="00373F1E">
                <w:pPr>
                  <w:pStyle w:val="NoSpacing"/>
                  <w:jc w:val="center"/>
                  <w:rPr>
                    <w:rFonts w:ascii="Times New Roman" w:hAnsi="Times New Roman" w:cs="Times New Roman"/>
                    <w:bCs/>
                    <w:i/>
                    <w:sz w:val="24"/>
                    <w:szCs w:val="24"/>
                  </w:rPr>
                </w:pPr>
                <w:r w:rsidRPr="00AE1663">
                  <w:rPr>
                    <w:rFonts w:ascii="Times New Roman" w:hAnsi="Times New Roman" w:cs="Times New Roman"/>
                    <w:bCs/>
                    <w:i/>
                    <w:sz w:val="24"/>
                    <w:szCs w:val="24"/>
                  </w:rPr>
                  <w:t>Respondent</w:t>
                </w:r>
              </w:p>
            </w:tc>
          </w:tr>
        </w:tbl>
        <w:p w:rsidR="00EA4F73" w:rsidRPr="00AE1663" w:rsidRDefault="00EA4F73">
          <w:pPr>
            <w:rPr>
              <w:rFonts w:ascii="Times New Roman" w:hAnsi="Times New Roman" w:cs="Times New Roman"/>
              <w:sz w:val="24"/>
              <w:szCs w:val="24"/>
            </w:rPr>
          </w:pPr>
        </w:p>
        <w:p w:rsidR="00EA4F73" w:rsidRPr="00AE1663" w:rsidRDefault="00EA4F73">
          <w:pPr>
            <w:rPr>
              <w:rFonts w:ascii="Times New Roman" w:hAnsi="Times New Roman" w:cs="Times New Roman"/>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EA4F73" w:rsidRPr="00AE1663">
            <w:tc>
              <w:tcPr>
                <w:tcW w:w="5000" w:type="pct"/>
              </w:tcPr>
              <w:p w:rsidR="00EA4F73" w:rsidRPr="00AE1663" w:rsidRDefault="00373F1E" w:rsidP="00373F1E">
                <w:pPr>
                  <w:pStyle w:val="NoSpacing"/>
                  <w:jc w:val="center"/>
                  <w:rPr>
                    <w:rFonts w:ascii="Times New Roman" w:hAnsi="Times New Roman" w:cs="Times New Roman"/>
                    <w:sz w:val="24"/>
                    <w:szCs w:val="24"/>
                  </w:rPr>
                </w:pPr>
                <w:r w:rsidRPr="00AE1663">
                  <w:rPr>
                    <w:rFonts w:ascii="Times New Roman" w:hAnsi="Times New Roman" w:cs="Times New Roman"/>
                    <w:b/>
                    <w:sz w:val="24"/>
                    <w:szCs w:val="24"/>
                  </w:rPr>
                  <w:t>MEMORIAL FOR THE STATE</w:t>
                </w:r>
              </w:p>
            </w:tc>
          </w:tr>
        </w:tbl>
        <w:p w:rsidR="00EA4F73" w:rsidRPr="00AE1663" w:rsidRDefault="00EA4F73" w:rsidP="00373F1E">
          <w:pPr>
            <w:jc w:val="center"/>
            <w:rPr>
              <w:rFonts w:ascii="Times New Roman" w:hAnsi="Times New Roman" w:cs="Times New Roman"/>
              <w:sz w:val="24"/>
              <w:szCs w:val="24"/>
            </w:rPr>
          </w:pPr>
        </w:p>
        <w:p w:rsidR="00EA4F73" w:rsidRPr="00AE1663" w:rsidRDefault="00EA4F73">
          <w:pPr>
            <w:rPr>
              <w:rFonts w:ascii="Times New Roman" w:hAnsi="Times New Roman" w:cs="Times New Roman"/>
              <w:sz w:val="24"/>
              <w:szCs w:val="24"/>
            </w:rPr>
          </w:pPr>
          <w:r w:rsidRPr="00AE1663">
            <w:rPr>
              <w:rFonts w:ascii="Times New Roman" w:hAnsi="Times New Roman" w:cs="Times New Roman"/>
              <w:b/>
              <w:bCs/>
              <w:sz w:val="24"/>
              <w:szCs w:val="24"/>
            </w:rPr>
            <w:br w:type="page"/>
          </w:r>
        </w:p>
      </w:sdtContent>
    </w:sdt>
    <w:bookmarkStart w:id="1" w:name="_Toc352003534" w:displacedByCustomXml="next"/>
    <w:sdt>
      <w:sdtPr>
        <w:rPr>
          <w:rFonts w:ascii="Times New Roman" w:eastAsiaTheme="minorHAnsi" w:hAnsi="Times New Roman" w:cs="Times New Roman"/>
          <w:b w:val="0"/>
          <w:bCs w:val="0"/>
          <w:color w:val="auto"/>
          <w:sz w:val="24"/>
          <w:szCs w:val="24"/>
        </w:rPr>
        <w:id w:val="1556125939"/>
        <w:docPartObj>
          <w:docPartGallery w:val="Table of Contents"/>
          <w:docPartUnique/>
        </w:docPartObj>
      </w:sdtPr>
      <w:sdtEndPr>
        <w:rPr>
          <w:rFonts w:eastAsiaTheme="minorEastAsia"/>
          <w:noProof/>
        </w:rPr>
      </w:sdtEndPr>
      <w:sdtContent>
        <w:p w:rsidR="0063065D" w:rsidRPr="00AE1663" w:rsidRDefault="0063065D" w:rsidP="00CE0D4F">
          <w:pPr>
            <w:pStyle w:val="Heading1"/>
            <w:spacing w:before="0"/>
            <w:jc w:val="center"/>
            <w:rPr>
              <w:rFonts w:ascii="Times New Roman" w:hAnsi="Times New Roman" w:cs="Times New Roman"/>
              <w:color w:val="auto"/>
              <w:sz w:val="24"/>
              <w:szCs w:val="24"/>
              <w:u w:val="single"/>
            </w:rPr>
          </w:pPr>
          <w:r w:rsidRPr="00AE1663">
            <w:rPr>
              <w:rFonts w:ascii="Times New Roman" w:hAnsi="Times New Roman" w:cs="Times New Roman"/>
              <w:color w:val="auto"/>
              <w:sz w:val="24"/>
              <w:szCs w:val="24"/>
              <w:u w:val="single"/>
            </w:rPr>
            <w:t>TABLE OF CONTENTS</w:t>
          </w:r>
          <w:bookmarkEnd w:id="1"/>
        </w:p>
        <w:p w:rsidR="00A42E7F" w:rsidRPr="00AE1663" w:rsidRDefault="00A42E7F" w:rsidP="00A42E7F">
          <w:pPr>
            <w:rPr>
              <w:rFonts w:ascii="Times New Roman" w:hAnsi="Times New Roman" w:cs="Times New Roman"/>
              <w:sz w:val="24"/>
              <w:szCs w:val="24"/>
              <w:lang w:eastAsia="ja-JP"/>
            </w:rPr>
          </w:pPr>
        </w:p>
        <w:p w:rsidR="00AE1663" w:rsidRPr="00AE1663" w:rsidRDefault="00444CA0">
          <w:pPr>
            <w:pStyle w:val="TOC1"/>
            <w:tabs>
              <w:tab w:val="right" w:leader="dot" w:pos="9350"/>
            </w:tabs>
            <w:rPr>
              <w:rFonts w:ascii="Times New Roman" w:hAnsi="Times New Roman" w:cs="Times New Roman"/>
              <w:noProof/>
              <w:sz w:val="24"/>
              <w:szCs w:val="24"/>
            </w:rPr>
          </w:pPr>
          <w:r w:rsidRPr="00AE1663">
            <w:rPr>
              <w:rFonts w:ascii="Times New Roman" w:hAnsi="Times New Roman" w:cs="Times New Roman"/>
              <w:sz w:val="24"/>
              <w:szCs w:val="24"/>
            </w:rPr>
            <w:fldChar w:fldCharType="begin"/>
          </w:r>
          <w:r w:rsidR="00A42E7F" w:rsidRPr="00AE1663">
            <w:rPr>
              <w:rFonts w:ascii="Times New Roman" w:hAnsi="Times New Roman" w:cs="Times New Roman"/>
              <w:sz w:val="24"/>
              <w:szCs w:val="24"/>
            </w:rPr>
            <w:instrText xml:space="preserve"> TOC \o "1-3" \h \z \u </w:instrText>
          </w:r>
          <w:r w:rsidRPr="00AE1663">
            <w:rPr>
              <w:rFonts w:ascii="Times New Roman" w:hAnsi="Times New Roman" w:cs="Times New Roman"/>
              <w:sz w:val="24"/>
              <w:szCs w:val="24"/>
            </w:rPr>
            <w:fldChar w:fldCharType="separate"/>
          </w:r>
          <w:hyperlink w:anchor="_Toc352003534" w:history="1">
            <w:r w:rsidR="00AE1663" w:rsidRPr="00AE1663">
              <w:rPr>
                <w:rStyle w:val="Hyperlink"/>
                <w:rFonts w:ascii="Times New Roman" w:hAnsi="Times New Roman" w:cs="Times New Roman"/>
                <w:noProof/>
                <w:sz w:val="24"/>
                <w:szCs w:val="24"/>
              </w:rPr>
              <w:t>TABLE OF CONTENTS</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_Toc352003534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1</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1"/>
            <w:tabs>
              <w:tab w:val="right" w:leader="dot" w:pos="9350"/>
            </w:tabs>
            <w:rPr>
              <w:rFonts w:ascii="Times New Roman" w:hAnsi="Times New Roman" w:cs="Times New Roman"/>
              <w:noProof/>
              <w:sz w:val="24"/>
              <w:szCs w:val="24"/>
            </w:rPr>
          </w:pPr>
          <w:hyperlink w:anchor="_Toc352003535" w:history="1">
            <w:r w:rsidR="00AE1663" w:rsidRPr="00AE1663">
              <w:rPr>
                <w:rStyle w:val="Hyperlink"/>
                <w:rFonts w:ascii="Times New Roman" w:hAnsi="Times New Roman" w:cs="Times New Roman"/>
                <w:noProof/>
                <w:sz w:val="24"/>
                <w:szCs w:val="24"/>
              </w:rPr>
              <w:t>INDEX OF AUTHORITIES</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_Toc352003535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2</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1"/>
            <w:tabs>
              <w:tab w:val="right" w:leader="dot" w:pos="9350"/>
            </w:tabs>
            <w:rPr>
              <w:rFonts w:ascii="Times New Roman" w:hAnsi="Times New Roman" w:cs="Times New Roman"/>
              <w:noProof/>
              <w:sz w:val="24"/>
              <w:szCs w:val="24"/>
            </w:rPr>
          </w:pPr>
          <w:hyperlink w:anchor="_Toc352003536" w:history="1">
            <w:r w:rsidR="00AE1663" w:rsidRPr="00AE1663">
              <w:rPr>
                <w:rStyle w:val="Hyperlink"/>
                <w:rFonts w:ascii="Times New Roman" w:hAnsi="Times New Roman" w:cs="Times New Roman"/>
                <w:noProof/>
                <w:sz w:val="24"/>
                <w:szCs w:val="24"/>
              </w:rPr>
              <w:t>STATEMENT OF FACTS</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_Toc352003536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6</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1"/>
            <w:tabs>
              <w:tab w:val="right" w:leader="dot" w:pos="9350"/>
            </w:tabs>
            <w:rPr>
              <w:rFonts w:ascii="Times New Roman" w:hAnsi="Times New Roman" w:cs="Times New Roman"/>
              <w:noProof/>
              <w:sz w:val="24"/>
              <w:szCs w:val="24"/>
            </w:rPr>
          </w:pPr>
          <w:hyperlink w:anchor="_Toc352003537" w:history="1">
            <w:r w:rsidR="00AE1663" w:rsidRPr="00AE1663">
              <w:rPr>
                <w:rStyle w:val="Hyperlink"/>
                <w:rFonts w:ascii="Times New Roman" w:hAnsi="Times New Roman" w:cs="Times New Roman"/>
                <w:noProof/>
                <w:sz w:val="24"/>
                <w:szCs w:val="24"/>
              </w:rPr>
              <w:t>LEGAL ANALYSIS</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_Toc352003537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11</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2"/>
            <w:tabs>
              <w:tab w:val="left" w:pos="660"/>
              <w:tab w:val="right" w:leader="dot" w:pos="9350"/>
            </w:tabs>
            <w:rPr>
              <w:rFonts w:ascii="Times New Roman" w:hAnsi="Times New Roman" w:cs="Times New Roman"/>
              <w:noProof/>
              <w:sz w:val="24"/>
              <w:szCs w:val="24"/>
            </w:rPr>
          </w:pPr>
          <w:hyperlink w:anchor="_Toc352003538" w:history="1">
            <w:r w:rsidR="00AE1663" w:rsidRPr="00AE1663">
              <w:rPr>
                <w:rStyle w:val="Hyperlink"/>
                <w:rFonts w:ascii="Times New Roman" w:hAnsi="Times New Roman" w:cs="Times New Roman"/>
                <w:noProof/>
                <w:sz w:val="24"/>
                <w:szCs w:val="24"/>
              </w:rPr>
              <w:t>I.</w:t>
            </w:r>
            <w:r w:rsidR="00AE1663" w:rsidRPr="00AE1663">
              <w:rPr>
                <w:rFonts w:ascii="Times New Roman" w:hAnsi="Times New Roman" w:cs="Times New Roman"/>
                <w:noProof/>
                <w:sz w:val="24"/>
                <w:szCs w:val="24"/>
              </w:rPr>
              <w:tab/>
            </w:r>
            <w:r w:rsidR="00AE1663" w:rsidRPr="00AE1663">
              <w:rPr>
                <w:rStyle w:val="Hyperlink"/>
                <w:rFonts w:ascii="Times New Roman" w:hAnsi="Times New Roman" w:cs="Times New Roman"/>
                <w:noProof/>
                <w:sz w:val="24"/>
                <w:szCs w:val="24"/>
              </w:rPr>
              <w:t>PRELIMINARY OBJECTIONS</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_Toc352003538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11</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3"/>
            <w:tabs>
              <w:tab w:val="left" w:pos="880"/>
              <w:tab w:val="right" w:leader="dot" w:pos="9350"/>
            </w:tabs>
            <w:rPr>
              <w:rFonts w:ascii="Times New Roman" w:hAnsi="Times New Roman" w:cs="Times New Roman"/>
              <w:noProof/>
              <w:sz w:val="24"/>
              <w:szCs w:val="24"/>
            </w:rPr>
          </w:pPr>
          <w:hyperlink w:anchor="_Toc352003539" w:history="1">
            <w:r w:rsidR="00AE1663" w:rsidRPr="00AE1663">
              <w:rPr>
                <w:rStyle w:val="Hyperlink"/>
                <w:rFonts w:ascii="Times New Roman" w:hAnsi="Times New Roman" w:cs="Times New Roman"/>
                <w:noProof/>
                <w:sz w:val="24"/>
                <w:szCs w:val="24"/>
              </w:rPr>
              <w:t>A.</w:t>
            </w:r>
            <w:r w:rsidR="00AE1663" w:rsidRPr="00AE1663">
              <w:rPr>
                <w:rFonts w:ascii="Times New Roman" w:hAnsi="Times New Roman" w:cs="Times New Roman"/>
                <w:noProof/>
                <w:sz w:val="24"/>
                <w:szCs w:val="24"/>
              </w:rPr>
              <w:tab/>
            </w:r>
            <w:r w:rsidR="00AE1663" w:rsidRPr="00AE1663">
              <w:rPr>
                <w:rStyle w:val="Hyperlink"/>
                <w:rFonts w:ascii="Times New Roman" w:hAnsi="Times New Roman" w:cs="Times New Roman"/>
                <w:noProof/>
                <w:sz w:val="24"/>
                <w:szCs w:val="24"/>
              </w:rPr>
              <w:t>Petitioners Did Not Exhaust All Domestic Remedies</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_Toc352003539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12</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3"/>
            <w:tabs>
              <w:tab w:val="left" w:pos="880"/>
              <w:tab w:val="right" w:leader="dot" w:pos="9350"/>
            </w:tabs>
            <w:rPr>
              <w:rFonts w:ascii="Times New Roman" w:hAnsi="Times New Roman" w:cs="Times New Roman"/>
              <w:noProof/>
              <w:sz w:val="24"/>
              <w:szCs w:val="24"/>
            </w:rPr>
          </w:pPr>
          <w:hyperlink w:anchor="_Toc352003540" w:history="1">
            <w:r w:rsidR="00AE1663" w:rsidRPr="00AE1663">
              <w:rPr>
                <w:rStyle w:val="Hyperlink"/>
                <w:rFonts w:ascii="Times New Roman" w:hAnsi="Times New Roman" w:cs="Times New Roman"/>
                <w:noProof/>
                <w:sz w:val="24"/>
                <w:szCs w:val="24"/>
              </w:rPr>
              <w:t>B.</w:t>
            </w:r>
            <w:r w:rsidR="00AE1663" w:rsidRPr="00AE1663">
              <w:rPr>
                <w:rFonts w:ascii="Times New Roman" w:hAnsi="Times New Roman" w:cs="Times New Roman"/>
                <w:noProof/>
                <w:sz w:val="24"/>
                <w:szCs w:val="24"/>
              </w:rPr>
              <w:tab/>
            </w:r>
            <w:r w:rsidR="00AE1663" w:rsidRPr="00AE1663">
              <w:rPr>
                <w:rStyle w:val="Hyperlink"/>
                <w:rFonts w:ascii="Times New Roman" w:hAnsi="Times New Roman" w:cs="Times New Roman"/>
                <w:noProof/>
                <w:sz w:val="24"/>
                <w:szCs w:val="24"/>
              </w:rPr>
              <w:t>The Commission Cannot Invoke The Court’s Jurisdiction Because It Violated the Fourth Instance Formula</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_Toc352003540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13</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2"/>
            <w:tabs>
              <w:tab w:val="left" w:pos="660"/>
              <w:tab w:val="right" w:leader="dot" w:pos="9350"/>
            </w:tabs>
            <w:rPr>
              <w:rFonts w:ascii="Times New Roman" w:hAnsi="Times New Roman" w:cs="Times New Roman"/>
              <w:noProof/>
              <w:sz w:val="24"/>
              <w:szCs w:val="24"/>
            </w:rPr>
          </w:pPr>
          <w:hyperlink w:anchor="_Toc352003541" w:history="1">
            <w:r w:rsidR="00AE1663" w:rsidRPr="00AE1663">
              <w:rPr>
                <w:rStyle w:val="Hyperlink"/>
                <w:rFonts w:ascii="Times New Roman" w:hAnsi="Times New Roman" w:cs="Times New Roman"/>
                <w:noProof/>
                <w:sz w:val="24"/>
                <w:szCs w:val="24"/>
              </w:rPr>
              <w:t>II.</w:t>
            </w:r>
            <w:r w:rsidR="00AE1663" w:rsidRPr="00AE1663">
              <w:rPr>
                <w:rFonts w:ascii="Times New Roman" w:hAnsi="Times New Roman" w:cs="Times New Roman"/>
                <w:noProof/>
                <w:sz w:val="24"/>
                <w:szCs w:val="24"/>
              </w:rPr>
              <w:tab/>
            </w:r>
            <w:r w:rsidR="00AE1663" w:rsidRPr="00AE1663">
              <w:rPr>
                <w:rStyle w:val="Hyperlink"/>
                <w:rFonts w:ascii="Times New Roman" w:hAnsi="Times New Roman" w:cs="Times New Roman"/>
                <w:noProof/>
                <w:sz w:val="24"/>
                <w:szCs w:val="24"/>
              </w:rPr>
              <w:t>ELIZABETIA DID NOT VIOLATE THE PETITIONERS’ RIGHT TO FAMILY</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_Toc352003541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15</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3"/>
            <w:tabs>
              <w:tab w:val="left" w:pos="880"/>
              <w:tab w:val="right" w:leader="dot" w:pos="9350"/>
            </w:tabs>
            <w:rPr>
              <w:rFonts w:ascii="Times New Roman" w:hAnsi="Times New Roman" w:cs="Times New Roman"/>
              <w:noProof/>
              <w:sz w:val="24"/>
              <w:szCs w:val="24"/>
            </w:rPr>
          </w:pPr>
          <w:hyperlink w:anchor="_Toc352003542" w:history="1">
            <w:r w:rsidR="00AE1663" w:rsidRPr="00AE1663">
              <w:rPr>
                <w:rStyle w:val="Hyperlink"/>
                <w:rFonts w:ascii="Times New Roman" w:hAnsi="Times New Roman" w:cs="Times New Roman"/>
                <w:noProof/>
                <w:sz w:val="24"/>
                <w:szCs w:val="24"/>
              </w:rPr>
              <w:t>A.</w:t>
            </w:r>
            <w:r w:rsidR="00AE1663" w:rsidRPr="00AE1663">
              <w:rPr>
                <w:rFonts w:ascii="Times New Roman" w:hAnsi="Times New Roman" w:cs="Times New Roman"/>
                <w:noProof/>
                <w:sz w:val="24"/>
                <w:szCs w:val="24"/>
              </w:rPr>
              <w:tab/>
            </w:r>
            <w:r w:rsidR="00AE1663" w:rsidRPr="00AE1663">
              <w:rPr>
                <w:rStyle w:val="Hyperlink"/>
                <w:rFonts w:ascii="Times New Roman" w:hAnsi="Times New Roman" w:cs="Times New Roman"/>
                <w:noProof/>
                <w:sz w:val="24"/>
                <w:szCs w:val="24"/>
              </w:rPr>
              <w:t>Elizabetia Did Not Discriminate Based On The Bra’granti Religion Or Culture</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_Toc352003542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16</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3"/>
            <w:tabs>
              <w:tab w:val="left" w:pos="880"/>
              <w:tab w:val="right" w:leader="dot" w:pos="9350"/>
            </w:tabs>
            <w:rPr>
              <w:rFonts w:ascii="Times New Roman" w:hAnsi="Times New Roman" w:cs="Times New Roman"/>
              <w:noProof/>
              <w:sz w:val="24"/>
              <w:szCs w:val="24"/>
            </w:rPr>
          </w:pPr>
          <w:hyperlink w:anchor="_Toc352003543" w:history="1">
            <w:r w:rsidR="00AE1663" w:rsidRPr="00AE1663">
              <w:rPr>
                <w:rStyle w:val="Hyperlink"/>
                <w:rFonts w:ascii="Times New Roman" w:hAnsi="Times New Roman" w:cs="Times New Roman"/>
                <w:noProof/>
                <w:sz w:val="24"/>
                <w:szCs w:val="24"/>
              </w:rPr>
              <w:t>B.</w:t>
            </w:r>
            <w:r w:rsidR="00AE1663" w:rsidRPr="00AE1663">
              <w:rPr>
                <w:rFonts w:ascii="Times New Roman" w:hAnsi="Times New Roman" w:cs="Times New Roman"/>
                <w:noProof/>
                <w:sz w:val="24"/>
                <w:szCs w:val="24"/>
              </w:rPr>
              <w:tab/>
            </w:r>
            <w:r w:rsidR="00AE1663" w:rsidRPr="00AE1663">
              <w:rPr>
                <w:rStyle w:val="Hyperlink"/>
                <w:rFonts w:ascii="Times New Roman" w:hAnsi="Times New Roman" w:cs="Times New Roman"/>
                <w:noProof/>
                <w:sz w:val="24"/>
                <w:szCs w:val="24"/>
              </w:rPr>
              <w:t>Elizabetia Did Not Withhold The Right To Marriage From The Petitioners And Classification Based On Sexual Orientation Is Justified</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_Toc352003543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18</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2"/>
            <w:tabs>
              <w:tab w:val="left" w:pos="880"/>
              <w:tab w:val="right" w:leader="dot" w:pos="9350"/>
            </w:tabs>
            <w:rPr>
              <w:rFonts w:ascii="Times New Roman" w:hAnsi="Times New Roman" w:cs="Times New Roman"/>
              <w:noProof/>
              <w:sz w:val="24"/>
              <w:szCs w:val="24"/>
            </w:rPr>
          </w:pPr>
          <w:hyperlink w:anchor="_Toc352003544" w:history="1">
            <w:r w:rsidR="00AE1663" w:rsidRPr="00AE1663">
              <w:rPr>
                <w:rStyle w:val="Hyperlink"/>
                <w:rFonts w:ascii="Times New Roman" w:hAnsi="Times New Roman" w:cs="Times New Roman"/>
                <w:noProof/>
                <w:sz w:val="24"/>
                <w:szCs w:val="24"/>
              </w:rPr>
              <w:t>III.</w:t>
            </w:r>
            <w:r w:rsidR="00AE1663" w:rsidRPr="00AE1663">
              <w:rPr>
                <w:rFonts w:ascii="Times New Roman" w:hAnsi="Times New Roman" w:cs="Times New Roman"/>
                <w:noProof/>
                <w:sz w:val="24"/>
                <w:szCs w:val="24"/>
              </w:rPr>
              <w:tab/>
            </w:r>
            <w:r w:rsidR="00AE1663" w:rsidRPr="00AE1663">
              <w:rPr>
                <w:rStyle w:val="Hyperlink"/>
                <w:rFonts w:ascii="Times New Roman" w:hAnsi="Times New Roman" w:cs="Times New Roman"/>
                <w:noProof/>
                <w:sz w:val="24"/>
                <w:szCs w:val="24"/>
              </w:rPr>
              <w:t>ELIZABETIA DID NOT VIOLATE PETITIONERS’ RIGHT TO PRIVACY BECAUSE DENIAL OF SAME-SEX MARRIAGE IS A REASONABLE LIMITATION ON PRIVACY</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_Toc352003544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22</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2"/>
            <w:tabs>
              <w:tab w:val="left" w:pos="880"/>
              <w:tab w:val="right" w:leader="dot" w:pos="9350"/>
            </w:tabs>
            <w:rPr>
              <w:rFonts w:ascii="Times New Roman" w:hAnsi="Times New Roman" w:cs="Times New Roman"/>
              <w:noProof/>
              <w:sz w:val="24"/>
              <w:szCs w:val="24"/>
            </w:rPr>
          </w:pPr>
          <w:hyperlink w:anchor="_Toc352003545" w:history="1">
            <w:r w:rsidR="00AE1663" w:rsidRPr="00AE1663">
              <w:rPr>
                <w:rStyle w:val="Hyperlink"/>
                <w:rFonts w:ascii="Times New Roman" w:hAnsi="Times New Roman" w:cs="Times New Roman"/>
                <w:noProof/>
                <w:sz w:val="24"/>
                <w:szCs w:val="24"/>
              </w:rPr>
              <w:t>IV.</w:t>
            </w:r>
            <w:r w:rsidR="00AE1663" w:rsidRPr="00AE1663">
              <w:rPr>
                <w:rFonts w:ascii="Times New Roman" w:hAnsi="Times New Roman" w:cs="Times New Roman"/>
                <w:noProof/>
                <w:sz w:val="24"/>
                <w:szCs w:val="24"/>
              </w:rPr>
              <w:tab/>
            </w:r>
            <w:r w:rsidR="00AE1663" w:rsidRPr="00AE1663">
              <w:rPr>
                <w:rStyle w:val="Hyperlink"/>
                <w:rFonts w:ascii="Times New Roman" w:hAnsi="Times New Roman" w:cs="Times New Roman"/>
                <w:noProof/>
                <w:sz w:val="24"/>
                <w:szCs w:val="24"/>
              </w:rPr>
              <w:t>ELIZABETIA PROVIDED THE RIGHT TO JUDICIAL PROTECTION</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_Toc352003545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24</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3"/>
            <w:tabs>
              <w:tab w:val="left" w:pos="880"/>
              <w:tab w:val="right" w:leader="dot" w:pos="9350"/>
            </w:tabs>
            <w:rPr>
              <w:rFonts w:ascii="Times New Roman" w:hAnsi="Times New Roman" w:cs="Times New Roman"/>
              <w:noProof/>
              <w:sz w:val="24"/>
              <w:szCs w:val="24"/>
            </w:rPr>
          </w:pPr>
          <w:hyperlink w:anchor="_Toc352003546" w:history="1">
            <w:r w:rsidR="00AE1663" w:rsidRPr="00AE1663">
              <w:rPr>
                <w:rStyle w:val="Hyperlink"/>
                <w:rFonts w:ascii="Times New Roman" w:hAnsi="Times New Roman" w:cs="Times New Roman"/>
                <w:noProof/>
                <w:sz w:val="24"/>
                <w:szCs w:val="24"/>
              </w:rPr>
              <w:t>A.</w:t>
            </w:r>
            <w:r w:rsidR="00AE1663" w:rsidRPr="00AE1663">
              <w:rPr>
                <w:rFonts w:ascii="Times New Roman" w:hAnsi="Times New Roman" w:cs="Times New Roman"/>
                <w:noProof/>
                <w:sz w:val="24"/>
                <w:szCs w:val="24"/>
              </w:rPr>
              <w:tab/>
            </w:r>
            <w:r w:rsidR="00AE1663" w:rsidRPr="00AE1663">
              <w:rPr>
                <w:rStyle w:val="Hyperlink"/>
                <w:rFonts w:ascii="Times New Roman" w:hAnsi="Times New Roman" w:cs="Times New Roman"/>
                <w:noProof/>
                <w:sz w:val="24"/>
                <w:szCs w:val="24"/>
              </w:rPr>
              <w:t>A Competent Authority Reviewed The Petitioners’ Rights</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_Toc352003546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25</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3"/>
            <w:tabs>
              <w:tab w:val="left" w:pos="880"/>
              <w:tab w:val="right" w:leader="dot" w:pos="9350"/>
            </w:tabs>
            <w:rPr>
              <w:rFonts w:ascii="Times New Roman" w:hAnsi="Times New Roman" w:cs="Times New Roman"/>
              <w:noProof/>
              <w:sz w:val="24"/>
              <w:szCs w:val="24"/>
            </w:rPr>
          </w:pPr>
          <w:hyperlink w:anchor="_Toc352003547" w:history="1">
            <w:r w:rsidR="00AE1663" w:rsidRPr="00AE1663">
              <w:rPr>
                <w:rStyle w:val="Hyperlink"/>
                <w:rFonts w:ascii="Times New Roman" w:hAnsi="Times New Roman" w:cs="Times New Roman"/>
                <w:noProof/>
                <w:sz w:val="24"/>
                <w:szCs w:val="24"/>
              </w:rPr>
              <w:t>B.</w:t>
            </w:r>
            <w:r w:rsidR="00AE1663" w:rsidRPr="00AE1663">
              <w:rPr>
                <w:rFonts w:ascii="Times New Roman" w:hAnsi="Times New Roman" w:cs="Times New Roman"/>
                <w:noProof/>
                <w:sz w:val="24"/>
                <w:szCs w:val="24"/>
              </w:rPr>
              <w:tab/>
            </w:r>
            <w:r w:rsidR="00AE1663" w:rsidRPr="00AE1663">
              <w:rPr>
                <w:rStyle w:val="Hyperlink"/>
                <w:rFonts w:ascii="Times New Roman" w:hAnsi="Times New Roman" w:cs="Times New Roman"/>
                <w:noProof/>
                <w:sz w:val="24"/>
                <w:szCs w:val="24"/>
              </w:rPr>
              <w:t>Elizabetia Offered The Possibility Of An Effective Remedy</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_Toc352003547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26</w:t>
            </w:r>
            <w:r w:rsidR="00AE1663" w:rsidRPr="00AE1663">
              <w:rPr>
                <w:rFonts w:ascii="Times New Roman" w:hAnsi="Times New Roman" w:cs="Times New Roman"/>
                <w:noProof/>
                <w:webHidden/>
                <w:sz w:val="24"/>
                <w:szCs w:val="24"/>
              </w:rPr>
              <w:fldChar w:fldCharType="end"/>
            </w:r>
          </w:hyperlink>
        </w:p>
        <w:p w:rsidR="00AE1663" w:rsidRPr="00AE1663" w:rsidRDefault="00FC1B47" w:rsidP="00AE1663">
          <w:pPr>
            <w:pStyle w:val="TOC3"/>
            <w:tabs>
              <w:tab w:val="left" w:pos="880"/>
              <w:tab w:val="right" w:leader="dot" w:pos="9350"/>
            </w:tabs>
            <w:ind w:left="900"/>
            <w:rPr>
              <w:rFonts w:ascii="Times New Roman" w:hAnsi="Times New Roman" w:cs="Times New Roman"/>
              <w:noProof/>
              <w:sz w:val="24"/>
              <w:szCs w:val="24"/>
            </w:rPr>
          </w:pPr>
          <w:hyperlink w:anchor="_Toc352003548" w:history="1">
            <w:r w:rsidR="00AE1663" w:rsidRPr="00AE1663">
              <w:rPr>
                <w:rStyle w:val="Hyperlink"/>
                <w:rFonts w:ascii="Times New Roman" w:hAnsi="Times New Roman" w:cs="Times New Roman"/>
                <w:i/>
                <w:noProof/>
                <w:sz w:val="24"/>
                <w:szCs w:val="24"/>
              </w:rPr>
              <w:t>1.Administrative And Judicial Review of Petitioners’ Requests Satisfied Due Process</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_Toc352003548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27</w:t>
            </w:r>
            <w:r w:rsidR="00AE1663" w:rsidRPr="00AE1663">
              <w:rPr>
                <w:rFonts w:ascii="Times New Roman" w:hAnsi="Times New Roman" w:cs="Times New Roman"/>
                <w:noProof/>
                <w:webHidden/>
                <w:sz w:val="24"/>
                <w:szCs w:val="24"/>
              </w:rPr>
              <w:fldChar w:fldCharType="end"/>
            </w:r>
          </w:hyperlink>
        </w:p>
        <w:p w:rsidR="00AE1663" w:rsidRPr="00AE1663" w:rsidRDefault="00FC1B47" w:rsidP="00AE1663">
          <w:pPr>
            <w:pStyle w:val="TOC3"/>
            <w:tabs>
              <w:tab w:val="left" w:pos="880"/>
              <w:tab w:val="right" w:leader="dot" w:pos="9350"/>
            </w:tabs>
            <w:ind w:left="900"/>
            <w:rPr>
              <w:rFonts w:ascii="Times New Roman" w:hAnsi="Times New Roman" w:cs="Times New Roman"/>
              <w:noProof/>
              <w:sz w:val="24"/>
              <w:szCs w:val="24"/>
            </w:rPr>
          </w:pPr>
          <w:hyperlink w:anchor="_Toc352003549" w:history="1">
            <w:r w:rsidR="00AE1663" w:rsidRPr="00AE1663">
              <w:rPr>
                <w:rStyle w:val="Hyperlink"/>
                <w:rFonts w:ascii="Times New Roman" w:hAnsi="Times New Roman" w:cs="Times New Roman"/>
                <w:i/>
                <w:noProof/>
                <w:sz w:val="24"/>
                <w:szCs w:val="24"/>
              </w:rPr>
              <w:t>2.A State Has The Right To Legislate According To Its Own Interest</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_Toc352003549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28</w:t>
            </w:r>
            <w:r w:rsidR="00AE1663" w:rsidRPr="00AE1663">
              <w:rPr>
                <w:rFonts w:ascii="Times New Roman" w:hAnsi="Times New Roman" w:cs="Times New Roman"/>
                <w:noProof/>
                <w:webHidden/>
                <w:sz w:val="24"/>
                <w:szCs w:val="24"/>
              </w:rPr>
              <w:fldChar w:fldCharType="end"/>
            </w:r>
          </w:hyperlink>
        </w:p>
        <w:p w:rsidR="00AE1663" w:rsidRPr="00AE1663" w:rsidRDefault="00FC1B47" w:rsidP="00AE1663">
          <w:pPr>
            <w:pStyle w:val="TOC3"/>
            <w:tabs>
              <w:tab w:val="left" w:pos="880"/>
              <w:tab w:val="right" w:leader="dot" w:pos="9350"/>
            </w:tabs>
            <w:ind w:left="900"/>
            <w:rPr>
              <w:rFonts w:ascii="Times New Roman" w:hAnsi="Times New Roman" w:cs="Times New Roman"/>
              <w:noProof/>
              <w:sz w:val="24"/>
              <w:szCs w:val="24"/>
            </w:rPr>
          </w:pPr>
          <w:hyperlink w:anchor="_Toc352003550" w:history="1">
            <w:r w:rsidR="00AE1663" w:rsidRPr="00AE1663">
              <w:rPr>
                <w:rStyle w:val="Hyperlink"/>
                <w:rFonts w:ascii="Times New Roman" w:hAnsi="Times New Roman" w:cs="Times New Roman"/>
                <w:i/>
                <w:noProof/>
                <w:sz w:val="24"/>
                <w:szCs w:val="24"/>
              </w:rPr>
              <w:t>3.Elizabetia Allowed Petitioners To Timely Conduct Their Administrative Proceedings</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_Toc352003550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29</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2"/>
            <w:tabs>
              <w:tab w:val="left" w:pos="880"/>
              <w:tab w:val="right" w:leader="dot" w:pos="9350"/>
            </w:tabs>
            <w:rPr>
              <w:rFonts w:ascii="Times New Roman" w:hAnsi="Times New Roman" w:cs="Times New Roman"/>
              <w:noProof/>
              <w:sz w:val="24"/>
              <w:szCs w:val="24"/>
            </w:rPr>
          </w:pPr>
          <w:hyperlink w:anchor="_Toc352003551" w:history="1">
            <w:r w:rsidR="00AE1663" w:rsidRPr="00AE1663">
              <w:rPr>
                <w:rStyle w:val="Hyperlink"/>
                <w:rFonts w:ascii="Times New Roman" w:hAnsi="Times New Roman" w:cs="Times New Roman"/>
                <w:caps/>
                <w:noProof/>
                <w:sz w:val="24"/>
                <w:szCs w:val="24"/>
              </w:rPr>
              <w:t>VI.</w:t>
            </w:r>
            <w:r w:rsidR="00AE1663" w:rsidRPr="00AE1663">
              <w:rPr>
                <w:rFonts w:ascii="Times New Roman" w:hAnsi="Times New Roman" w:cs="Times New Roman"/>
                <w:noProof/>
                <w:sz w:val="24"/>
                <w:szCs w:val="24"/>
              </w:rPr>
              <w:tab/>
            </w:r>
            <w:r w:rsidR="00AE1663" w:rsidRPr="00AE1663">
              <w:rPr>
                <w:rStyle w:val="Hyperlink"/>
                <w:rFonts w:ascii="Times New Roman" w:hAnsi="Times New Roman" w:cs="Times New Roman"/>
                <w:caps/>
                <w:noProof/>
                <w:sz w:val="24"/>
                <w:szCs w:val="24"/>
              </w:rPr>
              <w:t>Elizabetia Did Not Violate the Petitioners’ Right to Life Nor Did It Fail to CONFORM TO THE ACHR</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_Toc352003551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32</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2"/>
            <w:tabs>
              <w:tab w:val="left" w:pos="880"/>
              <w:tab w:val="right" w:leader="dot" w:pos="9350"/>
            </w:tabs>
            <w:rPr>
              <w:rFonts w:ascii="Times New Roman" w:hAnsi="Times New Roman" w:cs="Times New Roman"/>
              <w:noProof/>
              <w:sz w:val="24"/>
              <w:szCs w:val="24"/>
            </w:rPr>
          </w:pPr>
          <w:hyperlink w:anchor="_Toc352003552" w:history="1">
            <w:r w:rsidR="00AE1663" w:rsidRPr="00AE1663">
              <w:rPr>
                <w:rStyle w:val="Hyperlink"/>
                <w:rFonts w:ascii="Times New Roman" w:hAnsi="Times New Roman" w:cs="Times New Roman"/>
                <w:caps/>
                <w:noProof/>
                <w:sz w:val="24"/>
                <w:szCs w:val="24"/>
              </w:rPr>
              <w:t>VII.</w:t>
            </w:r>
            <w:r w:rsidR="00AE1663" w:rsidRPr="00AE1663">
              <w:rPr>
                <w:rFonts w:ascii="Times New Roman" w:hAnsi="Times New Roman" w:cs="Times New Roman"/>
                <w:noProof/>
                <w:sz w:val="24"/>
                <w:szCs w:val="24"/>
              </w:rPr>
              <w:tab/>
            </w:r>
            <w:r w:rsidR="00AE1663" w:rsidRPr="00AE1663">
              <w:rPr>
                <w:rStyle w:val="Hyperlink"/>
                <w:rFonts w:ascii="Times New Roman" w:hAnsi="Times New Roman" w:cs="Times New Roman"/>
                <w:caps/>
                <w:noProof/>
                <w:sz w:val="24"/>
                <w:szCs w:val="24"/>
              </w:rPr>
              <w:t>Provisional Measures</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_Toc352003552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34</w:t>
            </w:r>
            <w:r w:rsidR="00AE1663" w:rsidRPr="00AE1663">
              <w:rPr>
                <w:rFonts w:ascii="Times New Roman" w:hAnsi="Times New Roman" w:cs="Times New Roman"/>
                <w:noProof/>
                <w:webHidden/>
                <w:sz w:val="24"/>
                <w:szCs w:val="24"/>
              </w:rPr>
              <w:fldChar w:fldCharType="end"/>
            </w:r>
          </w:hyperlink>
        </w:p>
        <w:p w:rsidR="00AE1663" w:rsidRPr="00AE1663" w:rsidRDefault="00FC1B47">
          <w:pPr>
            <w:pStyle w:val="TOC2"/>
            <w:tabs>
              <w:tab w:val="left" w:pos="880"/>
              <w:tab w:val="right" w:leader="dot" w:pos="9350"/>
            </w:tabs>
            <w:rPr>
              <w:rFonts w:ascii="Times New Roman" w:hAnsi="Times New Roman" w:cs="Times New Roman"/>
              <w:noProof/>
              <w:sz w:val="24"/>
              <w:szCs w:val="24"/>
            </w:rPr>
          </w:pPr>
          <w:hyperlink w:anchor="_Toc352003553" w:history="1">
            <w:r w:rsidR="00AE1663" w:rsidRPr="00AE1663">
              <w:rPr>
                <w:rStyle w:val="Hyperlink"/>
                <w:rFonts w:ascii="Times New Roman" w:hAnsi="Times New Roman" w:cs="Times New Roman"/>
                <w:caps/>
                <w:noProof/>
                <w:sz w:val="24"/>
                <w:szCs w:val="24"/>
              </w:rPr>
              <w:t>VIII.</w:t>
            </w:r>
            <w:r w:rsidR="00AE1663" w:rsidRPr="00AE1663">
              <w:rPr>
                <w:rFonts w:ascii="Times New Roman" w:hAnsi="Times New Roman" w:cs="Times New Roman"/>
                <w:noProof/>
                <w:sz w:val="24"/>
                <w:szCs w:val="24"/>
              </w:rPr>
              <w:tab/>
            </w:r>
            <w:r w:rsidR="00AE1663" w:rsidRPr="00AE1663">
              <w:rPr>
                <w:rStyle w:val="Hyperlink"/>
                <w:rFonts w:ascii="Times New Roman" w:hAnsi="Times New Roman" w:cs="Times New Roman"/>
                <w:caps/>
                <w:noProof/>
                <w:sz w:val="24"/>
                <w:szCs w:val="24"/>
              </w:rPr>
              <w:t>Request for Relief</w:t>
            </w:r>
            <w:r w:rsidR="00AE1663" w:rsidRPr="00AE1663">
              <w:rPr>
                <w:rFonts w:ascii="Times New Roman" w:hAnsi="Times New Roman" w:cs="Times New Roman"/>
                <w:noProof/>
                <w:webHidden/>
                <w:sz w:val="24"/>
                <w:szCs w:val="24"/>
              </w:rPr>
              <w:tab/>
            </w:r>
            <w:r w:rsidR="00AE1663" w:rsidRPr="00AE1663">
              <w:rPr>
                <w:rFonts w:ascii="Times New Roman" w:hAnsi="Times New Roman" w:cs="Times New Roman"/>
                <w:noProof/>
                <w:webHidden/>
                <w:sz w:val="24"/>
                <w:szCs w:val="24"/>
              </w:rPr>
              <w:fldChar w:fldCharType="begin"/>
            </w:r>
            <w:r w:rsidR="00AE1663" w:rsidRPr="00AE1663">
              <w:rPr>
                <w:rFonts w:ascii="Times New Roman" w:hAnsi="Times New Roman" w:cs="Times New Roman"/>
                <w:noProof/>
                <w:webHidden/>
                <w:sz w:val="24"/>
                <w:szCs w:val="24"/>
              </w:rPr>
              <w:instrText xml:space="preserve"> PAGEREF _Toc352003553 \h </w:instrText>
            </w:r>
            <w:r w:rsidR="00AE1663" w:rsidRPr="00AE1663">
              <w:rPr>
                <w:rFonts w:ascii="Times New Roman" w:hAnsi="Times New Roman" w:cs="Times New Roman"/>
                <w:noProof/>
                <w:webHidden/>
                <w:sz w:val="24"/>
                <w:szCs w:val="24"/>
              </w:rPr>
            </w:r>
            <w:r w:rsidR="00AE1663" w:rsidRPr="00AE1663">
              <w:rPr>
                <w:rFonts w:ascii="Times New Roman" w:hAnsi="Times New Roman" w:cs="Times New Roman"/>
                <w:noProof/>
                <w:webHidden/>
                <w:sz w:val="24"/>
                <w:szCs w:val="24"/>
              </w:rPr>
              <w:fldChar w:fldCharType="separate"/>
            </w:r>
            <w:r w:rsidR="00AE1663" w:rsidRPr="00AE1663">
              <w:rPr>
                <w:rFonts w:ascii="Times New Roman" w:hAnsi="Times New Roman" w:cs="Times New Roman"/>
                <w:noProof/>
                <w:webHidden/>
                <w:sz w:val="24"/>
                <w:szCs w:val="24"/>
              </w:rPr>
              <w:t>35</w:t>
            </w:r>
            <w:r w:rsidR="00AE1663" w:rsidRPr="00AE1663">
              <w:rPr>
                <w:rFonts w:ascii="Times New Roman" w:hAnsi="Times New Roman" w:cs="Times New Roman"/>
                <w:noProof/>
                <w:webHidden/>
                <w:sz w:val="24"/>
                <w:szCs w:val="24"/>
              </w:rPr>
              <w:fldChar w:fldCharType="end"/>
            </w:r>
          </w:hyperlink>
        </w:p>
        <w:p w:rsidR="00A42E7F" w:rsidRPr="00AE1663" w:rsidRDefault="00444CA0">
          <w:pPr>
            <w:rPr>
              <w:rFonts w:ascii="Times New Roman" w:hAnsi="Times New Roman" w:cs="Times New Roman"/>
              <w:sz w:val="24"/>
              <w:szCs w:val="24"/>
            </w:rPr>
          </w:pPr>
          <w:r w:rsidRPr="00AE1663">
            <w:rPr>
              <w:rFonts w:ascii="Times New Roman" w:hAnsi="Times New Roman" w:cs="Times New Roman"/>
              <w:b/>
              <w:bCs/>
              <w:noProof/>
              <w:sz w:val="24"/>
              <w:szCs w:val="24"/>
            </w:rPr>
            <w:fldChar w:fldCharType="end"/>
          </w:r>
        </w:p>
      </w:sdtContent>
    </w:sdt>
    <w:p w:rsidR="00391EA8" w:rsidRPr="00AE1663" w:rsidRDefault="00391EA8">
      <w:pPr>
        <w:rPr>
          <w:rFonts w:ascii="Times New Roman" w:eastAsiaTheme="majorEastAsia" w:hAnsi="Times New Roman" w:cs="Times New Roman"/>
          <w:b/>
          <w:bCs/>
          <w:sz w:val="24"/>
          <w:szCs w:val="24"/>
          <w:u w:val="single"/>
        </w:rPr>
      </w:pPr>
      <w:r w:rsidRPr="00AE1663">
        <w:rPr>
          <w:rFonts w:ascii="Times New Roman" w:hAnsi="Times New Roman" w:cs="Times New Roman"/>
          <w:sz w:val="24"/>
          <w:szCs w:val="24"/>
          <w:u w:val="single"/>
        </w:rPr>
        <w:br w:type="page"/>
      </w:r>
    </w:p>
    <w:p w:rsidR="00404E23" w:rsidRPr="00AE1663" w:rsidRDefault="00254B14" w:rsidP="008C083A">
      <w:pPr>
        <w:pStyle w:val="Heading1"/>
        <w:spacing w:before="0"/>
        <w:jc w:val="center"/>
        <w:rPr>
          <w:rFonts w:ascii="Times New Roman" w:hAnsi="Times New Roman" w:cs="Times New Roman"/>
          <w:color w:val="auto"/>
          <w:sz w:val="24"/>
          <w:szCs w:val="24"/>
          <w:u w:val="single"/>
        </w:rPr>
      </w:pPr>
      <w:bookmarkStart w:id="2" w:name="_Toc352003535"/>
      <w:r w:rsidRPr="00AE1663">
        <w:rPr>
          <w:rFonts w:ascii="Times New Roman" w:hAnsi="Times New Roman" w:cs="Times New Roman"/>
          <w:color w:val="auto"/>
          <w:sz w:val="24"/>
          <w:szCs w:val="24"/>
          <w:u w:val="single"/>
        </w:rPr>
        <w:lastRenderedPageBreak/>
        <w:t>INDEX OF</w:t>
      </w:r>
      <w:r w:rsidR="000F0BD5" w:rsidRPr="00AE1663">
        <w:rPr>
          <w:rFonts w:ascii="Times New Roman" w:hAnsi="Times New Roman" w:cs="Times New Roman"/>
          <w:color w:val="auto"/>
          <w:sz w:val="24"/>
          <w:szCs w:val="24"/>
          <w:u w:val="single"/>
        </w:rPr>
        <w:t xml:space="preserve"> A</w:t>
      </w:r>
      <w:r w:rsidRPr="00AE1663">
        <w:rPr>
          <w:rFonts w:ascii="Times New Roman" w:hAnsi="Times New Roman" w:cs="Times New Roman"/>
          <w:color w:val="auto"/>
          <w:sz w:val="24"/>
          <w:szCs w:val="24"/>
          <w:u w:val="single"/>
        </w:rPr>
        <w:t>UTHORITIES</w:t>
      </w:r>
      <w:bookmarkEnd w:id="2"/>
    </w:p>
    <w:p w:rsidR="00A7760B" w:rsidRPr="00A7760B" w:rsidRDefault="00444CA0">
      <w:pPr>
        <w:pStyle w:val="TOAHeading"/>
        <w:tabs>
          <w:tab w:val="right" w:leader="dot" w:pos="9350"/>
        </w:tabs>
        <w:rPr>
          <w:rFonts w:asciiTheme="minorHAnsi" w:eastAsiaTheme="minorEastAsia" w:hAnsiTheme="minorHAnsi" w:cstheme="minorBidi"/>
          <w:b w:val="0"/>
          <w:bCs w:val="0"/>
          <w:i w:val="0"/>
          <w:caps/>
          <w:noProof/>
          <w:sz w:val="22"/>
          <w:szCs w:val="22"/>
          <w:u w:val="single"/>
        </w:rPr>
      </w:pPr>
      <w:r w:rsidRPr="00AE1663">
        <w:rPr>
          <w:rFonts w:cs="Times New Roman"/>
        </w:rPr>
        <w:fldChar w:fldCharType="begin"/>
      </w:r>
      <w:r w:rsidR="008C083A" w:rsidRPr="00AE1663">
        <w:rPr>
          <w:rFonts w:cs="Times New Roman"/>
        </w:rPr>
        <w:instrText xml:space="preserve"> TOA \h \c "14" \p </w:instrText>
      </w:r>
      <w:r w:rsidRPr="00AE1663">
        <w:rPr>
          <w:rFonts w:cs="Times New Roman"/>
        </w:rPr>
        <w:fldChar w:fldCharType="separate"/>
      </w:r>
      <w:r w:rsidR="00A7760B" w:rsidRPr="00A7760B">
        <w:rPr>
          <w:i w:val="0"/>
          <w:caps/>
          <w:noProof/>
          <w:u w:val="single"/>
        </w:rPr>
        <w:t>Books &amp; Articles</w:t>
      </w:r>
    </w:p>
    <w:p w:rsidR="00A7760B" w:rsidRDefault="00A7760B">
      <w:pPr>
        <w:pStyle w:val="TableofAuthorities"/>
        <w:tabs>
          <w:tab w:val="right" w:leader="dot" w:pos="9350"/>
        </w:tabs>
        <w:rPr>
          <w:noProof/>
        </w:rPr>
      </w:pPr>
      <w:r>
        <w:rPr>
          <w:noProof/>
        </w:rPr>
        <w:t xml:space="preserve">Aaron Xavier Fellmeth, </w:t>
      </w:r>
      <w:r w:rsidRPr="007E2C49">
        <w:rPr>
          <w:i/>
          <w:noProof/>
        </w:rPr>
        <w:t>State Regulation of Sexuality in International Human Rights Law and Theory</w:t>
      </w:r>
      <w:r>
        <w:rPr>
          <w:noProof/>
        </w:rPr>
        <w:t>, 50 Wm. &amp; Mary L. Rev 797 (2008).</w:t>
      </w:r>
      <w:r>
        <w:rPr>
          <w:noProof/>
        </w:rPr>
        <w:tab/>
        <w:t>28, 31</w:t>
      </w:r>
    </w:p>
    <w:p w:rsidR="00A7760B" w:rsidRDefault="00A7760B">
      <w:pPr>
        <w:pStyle w:val="TableofAuthorities"/>
        <w:tabs>
          <w:tab w:val="right" w:leader="dot" w:pos="9350"/>
        </w:tabs>
        <w:rPr>
          <w:noProof/>
        </w:rPr>
      </w:pPr>
      <w:r w:rsidRPr="007E2C49">
        <w:rPr>
          <w:bCs/>
          <w:noProof/>
        </w:rPr>
        <w:t xml:space="preserve">Anna C. Forgie, </w:t>
      </w:r>
      <w:r w:rsidRPr="007E2C49">
        <w:rPr>
          <w:bCs/>
          <w:i/>
          <w:noProof/>
        </w:rPr>
        <w:t>El Derecho A Amar (The Right to Love): Same-Sex Relationships in Spain and El Salvador</w:t>
      </w:r>
      <w:r w:rsidRPr="007E2C49">
        <w:rPr>
          <w:bCs/>
          <w:noProof/>
        </w:rPr>
        <w:t>,</w:t>
      </w:r>
      <w:r>
        <w:rPr>
          <w:noProof/>
        </w:rPr>
        <w:t xml:space="preserve"> 9 Nw. U. J. Int'l Hum. Rts. 185</w:t>
      </w:r>
      <w:r w:rsidRPr="007E2C49">
        <w:rPr>
          <w:bCs/>
          <w:noProof/>
        </w:rPr>
        <w:t xml:space="preserve"> (2011)</w:t>
      </w:r>
      <w:r>
        <w:rPr>
          <w:noProof/>
        </w:rPr>
        <w:tab/>
        <w:t>30</w:t>
      </w:r>
    </w:p>
    <w:p w:rsidR="00A7760B" w:rsidRDefault="00A7760B">
      <w:pPr>
        <w:pStyle w:val="TableofAuthorities"/>
        <w:tabs>
          <w:tab w:val="right" w:leader="dot" w:pos="9350"/>
        </w:tabs>
        <w:rPr>
          <w:noProof/>
        </w:rPr>
      </w:pPr>
      <w:r>
        <w:rPr>
          <w:noProof/>
        </w:rPr>
        <w:t xml:space="preserve">British Broadcasting Corporation, </w:t>
      </w:r>
      <w:r w:rsidRPr="007E2C49">
        <w:rPr>
          <w:i/>
          <w:noProof/>
        </w:rPr>
        <w:t xml:space="preserve">Uruguay Gay Marriage Bill Approved in Lower House </w:t>
      </w:r>
      <w:r>
        <w:rPr>
          <w:noProof/>
        </w:rPr>
        <w:t>(12 Dec. 2012)</w:t>
      </w:r>
      <w:r>
        <w:rPr>
          <w:noProof/>
        </w:rPr>
        <w:tab/>
        <w:t>21</w:t>
      </w:r>
    </w:p>
    <w:p w:rsidR="00A7760B" w:rsidRDefault="00A7760B">
      <w:pPr>
        <w:pStyle w:val="TableofAuthorities"/>
        <w:tabs>
          <w:tab w:val="right" w:leader="dot" w:pos="9350"/>
        </w:tabs>
        <w:rPr>
          <w:noProof/>
        </w:rPr>
      </w:pPr>
      <w:r>
        <w:rPr>
          <w:noProof/>
        </w:rPr>
        <w:t xml:space="preserve">David Brown, </w:t>
      </w:r>
      <w:r w:rsidRPr="007E2C49">
        <w:rPr>
          <w:i/>
          <w:noProof/>
        </w:rPr>
        <w:t>Making Room for Sexual Orientation and Gender Identity in International Human Rights Law: An Introduction to the Yogyakarta Principles</w:t>
      </w:r>
      <w:r>
        <w:rPr>
          <w:noProof/>
        </w:rPr>
        <w:t>, 31 Mich. J. Int’l L. 821 (2010).</w:t>
      </w:r>
      <w:r>
        <w:rPr>
          <w:noProof/>
        </w:rPr>
        <w:tab/>
        <w:t>14, 30</w:t>
      </w:r>
    </w:p>
    <w:p w:rsidR="00A7760B" w:rsidRDefault="00A7760B">
      <w:pPr>
        <w:pStyle w:val="TableofAuthorities"/>
        <w:tabs>
          <w:tab w:val="right" w:leader="dot" w:pos="9350"/>
        </w:tabs>
        <w:rPr>
          <w:noProof/>
        </w:rPr>
      </w:pPr>
      <w:r>
        <w:rPr>
          <w:noProof/>
        </w:rPr>
        <w:t xml:space="preserve">Dinah Shelton, </w:t>
      </w:r>
      <w:r w:rsidRPr="007E2C49">
        <w:rPr>
          <w:i/>
          <w:noProof/>
        </w:rPr>
        <w:t>The Jurisprudence of the Inter-American Court of Human Rights</w:t>
      </w:r>
      <w:r>
        <w:rPr>
          <w:noProof/>
        </w:rPr>
        <w:t>, Am. U. J. Int’l L. &amp; Pol’y 10, no. 1, 335 (1994)</w:t>
      </w:r>
      <w:r>
        <w:rPr>
          <w:noProof/>
        </w:rPr>
        <w:tab/>
        <w:t>29</w:t>
      </w:r>
    </w:p>
    <w:p w:rsidR="00A7760B" w:rsidRDefault="00A7760B">
      <w:pPr>
        <w:pStyle w:val="TableofAuthorities"/>
        <w:tabs>
          <w:tab w:val="right" w:leader="dot" w:pos="9350"/>
        </w:tabs>
        <w:rPr>
          <w:noProof/>
        </w:rPr>
      </w:pPr>
      <w:r>
        <w:rPr>
          <w:noProof/>
        </w:rPr>
        <w:t xml:space="preserve">L. Burgorgue-Larson &amp; A. Úbeda de Torres, </w:t>
      </w:r>
      <w:r w:rsidRPr="007E2C49">
        <w:rPr>
          <w:noProof/>
          <w:u w:val="single"/>
        </w:rPr>
        <w:t xml:space="preserve">The Inter-American Court of Human Rights: Case Law and Commentary </w:t>
      </w:r>
      <w:r>
        <w:rPr>
          <w:noProof/>
        </w:rPr>
        <w:t>(Oxford 2011)</w:t>
      </w:r>
      <w:r>
        <w:rPr>
          <w:noProof/>
        </w:rPr>
        <w:tab/>
        <w:t>24</w:t>
      </w:r>
    </w:p>
    <w:p w:rsidR="00404E23" w:rsidRPr="00AE1663" w:rsidRDefault="00444CA0" w:rsidP="00391EA8">
      <w:pPr>
        <w:rPr>
          <w:rFonts w:ascii="Times New Roman" w:hAnsi="Times New Roman" w:cs="Times New Roman"/>
          <w:sz w:val="24"/>
          <w:szCs w:val="24"/>
        </w:rPr>
      </w:pPr>
      <w:r w:rsidRPr="00AE1663">
        <w:rPr>
          <w:rFonts w:ascii="Times New Roman" w:hAnsi="Times New Roman" w:cs="Times New Roman"/>
          <w:sz w:val="24"/>
          <w:szCs w:val="24"/>
        </w:rPr>
        <w:fldChar w:fldCharType="end"/>
      </w:r>
    </w:p>
    <w:p w:rsidR="00767AB7" w:rsidRPr="00AE1663" w:rsidRDefault="00767AB7" w:rsidP="00767AB7">
      <w:pPr>
        <w:rPr>
          <w:rFonts w:ascii="Times New Roman" w:hAnsi="Times New Roman" w:cs="Times New Roman"/>
          <w:b/>
          <w:caps/>
          <w:sz w:val="24"/>
          <w:szCs w:val="24"/>
          <w:u w:val="single"/>
        </w:rPr>
      </w:pPr>
      <w:r w:rsidRPr="00AE1663">
        <w:rPr>
          <w:rFonts w:ascii="Times New Roman" w:hAnsi="Times New Roman" w:cs="Times New Roman"/>
          <w:b/>
          <w:caps/>
          <w:sz w:val="24"/>
          <w:szCs w:val="24"/>
          <w:u w:val="single"/>
        </w:rPr>
        <w:t>Treaties and Other International Agreements</w:t>
      </w:r>
    </w:p>
    <w:p w:rsidR="00A7760B" w:rsidRDefault="00444CA0">
      <w:pPr>
        <w:pStyle w:val="TOAHeading"/>
        <w:tabs>
          <w:tab w:val="right" w:leader="dot" w:pos="9350"/>
        </w:tabs>
        <w:rPr>
          <w:rFonts w:asciiTheme="minorHAnsi" w:eastAsiaTheme="minorEastAsia" w:hAnsiTheme="minorHAnsi" w:cstheme="minorBidi"/>
          <w:b w:val="0"/>
          <w:bCs w:val="0"/>
          <w:noProof/>
          <w:sz w:val="22"/>
          <w:szCs w:val="22"/>
        </w:rPr>
      </w:pPr>
      <w:r w:rsidRPr="00AE1663">
        <w:rPr>
          <w:rFonts w:cs="Times New Roman"/>
        </w:rPr>
        <w:fldChar w:fldCharType="begin"/>
      </w:r>
      <w:r w:rsidR="007857CF" w:rsidRPr="00AE1663">
        <w:rPr>
          <w:rFonts w:cs="Times New Roman"/>
        </w:rPr>
        <w:instrText xml:space="preserve"> TOA \h \c "8" \p </w:instrText>
      </w:r>
      <w:r w:rsidRPr="00AE1663">
        <w:rPr>
          <w:rFonts w:cs="Times New Roman"/>
        </w:rPr>
        <w:fldChar w:fldCharType="separate"/>
      </w:r>
      <w:r w:rsidR="00A7760B">
        <w:rPr>
          <w:noProof/>
        </w:rPr>
        <w:t>American Convention on Human Rights</w:t>
      </w:r>
    </w:p>
    <w:p w:rsidR="00A7760B" w:rsidRDefault="00A7760B" w:rsidP="00A7760B">
      <w:pPr>
        <w:pStyle w:val="TableofAuthorities"/>
        <w:tabs>
          <w:tab w:val="right" w:leader="dot" w:pos="9350"/>
        </w:tabs>
        <w:rPr>
          <w:noProof/>
        </w:rPr>
      </w:pPr>
      <w:r>
        <w:rPr>
          <w:noProof/>
        </w:rPr>
        <w:t>Preamble</w:t>
      </w:r>
      <w:r>
        <w:rPr>
          <w:noProof/>
        </w:rPr>
        <w:tab/>
        <w:t>28</w:t>
      </w:r>
    </w:p>
    <w:p w:rsidR="00A7760B" w:rsidRDefault="00A7760B">
      <w:pPr>
        <w:pStyle w:val="TableofAuthorities"/>
        <w:tabs>
          <w:tab w:val="right" w:leader="dot" w:pos="9350"/>
        </w:tabs>
        <w:rPr>
          <w:noProof/>
        </w:rPr>
      </w:pPr>
      <w:r>
        <w:rPr>
          <w:noProof/>
        </w:rPr>
        <w:t>Article 1</w:t>
      </w:r>
      <w:r>
        <w:rPr>
          <w:noProof/>
        </w:rPr>
        <w:tab/>
        <w:t>32</w:t>
      </w:r>
    </w:p>
    <w:p w:rsidR="00A7760B" w:rsidRDefault="00A7760B" w:rsidP="00A7760B">
      <w:pPr>
        <w:pStyle w:val="TableofAuthorities"/>
        <w:tabs>
          <w:tab w:val="right" w:leader="dot" w:pos="9350"/>
        </w:tabs>
        <w:rPr>
          <w:noProof/>
        </w:rPr>
      </w:pPr>
      <w:r>
        <w:rPr>
          <w:noProof/>
        </w:rPr>
        <w:t>Article 2</w:t>
      </w:r>
      <w:r>
        <w:rPr>
          <w:noProof/>
        </w:rPr>
        <w:tab/>
        <w:t>32</w:t>
      </w:r>
    </w:p>
    <w:p w:rsidR="00A7760B" w:rsidRDefault="00A7760B" w:rsidP="00A7760B">
      <w:pPr>
        <w:pStyle w:val="TableofAuthorities"/>
        <w:tabs>
          <w:tab w:val="right" w:leader="dot" w:pos="9350"/>
        </w:tabs>
        <w:rPr>
          <w:noProof/>
        </w:rPr>
      </w:pPr>
      <w:r>
        <w:rPr>
          <w:noProof/>
        </w:rPr>
        <w:t>Article 3</w:t>
      </w:r>
      <w:r>
        <w:rPr>
          <w:noProof/>
        </w:rPr>
        <w:tab/>
        <w:t>16</w:t>
      </w:r>
    </w:p>
    <w:p w:rsidR="00A7760B" w:rsidRDefault="00A7760B" w:rsidP="00A7760B">
      <w:pPr>
        <w:pStyle w:val="TableofAuthorities"/>
        <w:tabs>
          <w:tab w:val="right" w:leader="dot" w:pos="9350"/>
        </w:tabs>
        <w:rPr>
          <w:noProof/>
        </w:rPr>
      </w:pPr>
      <w:r>
        <w:rPr>
          <w:noProof/>
        </w:rPr>
        <w:t>Article 4</w:t>
      </w:r>
      <w:r>
        <w:rPr>
          <w:noProof/>
        </w:rPr>
        <w:tab/>
        <w:t>16</w:t>
      </w:r>
    </w:p>
    <w:p w:rsidR="00A7760B" w:rsidRDefault="00A7760B" w:rsidP="00A7760B">
      <w:pPr>
        <w:pStyle w:val="TableofAuthorities"/>
        <w:tabs>
          <w:tab w:val="right" w:leader="dot" w:pos="9350"/>
        </w:tabs>
        <w:rPr>
          <w:noProof/>
        </w:rPr>
      </w:pPr>
      <w:r>
        <w:rPr>
          <w:noProof/>
        </w:rPr>
        <w:t>Article 5</w:t>
      </w:r>
      <w:r>
        <w:rPr>
          <w:noProof/>
        </w:rPr>
        <w:tab/>
        <w:t>16</w:t>
      </w:r>
    </w:p>
    <w:p w:rsidR="00A7760B" w:rsidRDefault="00A7760B" w:rsidP="00A7760B">
      <w:pPr>
        <w:pStyle w:val="TableofAuthorities"/>
        <w:tabs>
          <w:tab w:val="right" w:leader="dot" w:pos="9350"/>
        </w:tabs>
        <w:rPr>
          <w:noProof/>
        </w:rPr>
      </w:pPr>
      <w:r>
        <w:rPr>
          <w:noProof/>
        </w:rPr>
        <w:t>Article 8</w:t>
      </w:r>
      <w:r>
        <w:rPr>
          <w:noProof/>
        </w:rPr>
        <w:tab/>
        <w:t>16</w:t>
      </w:r>
    </w:p>
    <w:p w:rsidR="00A7760B" w:rsidRDefault="00A7760B">
      <w:pPr>
        <w:pStyle w:val="TableofAuthorities"/>
        <w:tabs>
          <w:tab w:val="right" w:leader="dot" w:pos="9350"/>
        </w:tabs>
        <w:rPr>
          <w:noProof/>
        </w:rPr>
      </w:pPr>
      <w:r>
        <w:rPr>
          <w:noProof/>
        </w:rPr>
        <w:t>Article 10</w:t>
      </w:r>
      <w:r>
        <w:rPr>
          <w:noProof/>
        </w:rPr>
        <w:tab/>
        <w:t>16</w:t>
      </w:r>
    </w:p>
    <w:p w:rsidR="00A7760B" w:rsidRDefault="00A7760B">
      <w:pPr>
        <w:pStyle w:val="TableofAuthorities"/>
        <w:tabs>
          <w:tab w:val="right" w:leader="dot" w:pos="9350"/>
        </w:tabs>
        <w:rPr>
          <w:noProof/>
        </w:rPr>
      </w:pPr>
      <w:r>
        <w:rPr>
          <w:noProof/>
        </w:rPr>
        <w:t>Article 11</w:t>
      </w:r>
      <w:r>
        <w:rPr>
          <w:noProof/>
        </w:rPr>
        <w:tab/>
        <w:t>16</w:t>
      </w:r>
    </w:p>
    <w:p w:rsidR="00A7760B" w:rsidRDefault="00A7760B">
      <w:pPr>
        <w:pStyle w:val="TableofAuthorities"/>
        <w:tabs>
          <w:tab w:val="right" w:leader="dot" w:pos="9350"/>
        </w:tabs>
        <w:rPr>
          <w:noProof/>
        </w:rPr>
      </w:pPr>
      <w:r>
        <w:rPr>
          <w:noProof/>
        </w:rPr>
        <w:t>Article 12</w:t>
      </w:r>
      <w:r>
        <w:rPr>
          <w:noProof/>
        </w:rPr>
        <w:tab/>
        <w:t>16, 17, 18</w:t>
      </w:r>
    </w:p>
    <w:p w:rsidR="00A7760B" w:rsidRDefault="00A7760B">
      <w:pPr>
        <w:pStyle w:val="TableofAuthorities"/>
        <w:tabs>
          <w:tab w:val="right" w:leader="dot" w:pos="9350"/>
        </w:tabs>
        <w:rPr>
          <w:noProof/>
        </w:rPr>
      </w:pPr>
      <w:r>
        <w:rPr>
          <w:noProof/>
        </w:rPr>
        <w:t>Article 13</w:t>
      </w:r>
      <w:r>
        <w:rPr>
          <w:noProof/>
        </w:rPr>
        <w:tab/>
        <w:t>16, 27, 29</w:t>
      </w:r>
    </w:p>
    <w:p w:rsidR="00A7760B" w:rsidRDefault="00A7760B">
      <w:pPr>
        <w:pStyle w:val="TableofAuthorities"/>
        <w:tabs>
          <w:tab w:val="right" w:leader="dot" w:pos="9350"/>
        </w:tabs>
        <w:rPr>
          <w:noProof/>
        </w:rPr>
      </w:pPr>
      <w:r>
        <w:rPr>
          <w:noProof/>
        </w:rPr>
        <w:t>Article 16</w:t>
      </w:r>
      <w:r>
        <w:rPr>
          <w:noProof/>
        </w:rPr>
        <w:tab/>
        <w:t>16</w:t>
      </w:r>
    </w:p>
    <w:p w:rsidR="00A7760B" w:rsidRDefault="00A7760B">
      <w:pPr>
        <w:pStyle w:val="TableofAuthorities"/>
        <w:tabs>
          <w:tab w:val="right" w:leader="dot" w:pos="9350"/>
        </w:tabs>
        <w:rPr>
          <w:noProof/>
        </w:rPr>
      </w:pPr>
      <w:r>
        <w:rPr>
          <w:noProof/>
        </w:rPr>
        <w:t>Article 17</w:t>
      </w:r>
      <w:r>
        <w:rPr>
          <w:noProof/>
        </w:rPr>
        <w:tab/>
        <w:t>passim</w:t>
      </w:r>
    </w:p>
    <w:p w:rsidR="00A7760B" w:rsidRDefault="00A7760B">
      <w:pPr>
        <w:pStyle w:val="TableofAuthorities"/>
        <w:tabs>
          <w:tab w:val="right" w:leader="dot" w:pos="9350"/>
        </w:tabs>
        <w:rPr>
          <w:noProof/>
        </w:rPr>
      </w:pPr>
      <w:r>
        <w:rPr>
          <w:noProof/>
        </w:rPr>
        <w:t>Article 18</w:t>
      </w:r>
      <w:r>
        <w:rPr>
          <w:noProof/>
        </w:rPr>
        <w:tab/>
        <w:t>16</w:t>
      </w:r>
    </w:p>
    <w:p w:rsidR="00A7760B" w:rsidRDefault="00A7760B">
      <w:pPr>
        <w:pStyle w:val="TableofAuthorities"/>
        <w:tabs>
          <w:tab w:val="right" w:leader="dot" w:pos="9350"/>
        </w:tabs>
        <w:rPr>
          <w:noProof/>
        </w:rPr>
      </w:pPr>
      <w:r>
        <w:rPr>
          <w:noProof/>
        </w:rPr>
        <w:t>Article 20</w:t>
      </w:r>
      <w:r>
        <w:rPr>
          <w:noProof/>
        </w:rPr>
        <w:tab/>
        <w:t>16</w:t>
      </w:r>
    </w:p>
    <w:p w:rsidR="00A7760B" w:rsidRDefault="00A7760B">
      <w:pPr>
        <w:pStyle w:val="TableofAuthorities"/>
        <w:tabs>
          <w:tab w:val="right" w:leader="dot" w:pos="9350"/>
        </w:tabs>
        <w:rPr>
          <w:noProof/>
        </w:rPr>
      </w:pPr>
      <w:r>
        <w:rPr>
          <w:noProof/>
        </w:rPr>
        <w:t>Article 21</w:t>
      </w:r>
      <w:r>
        <w:rPr>
          <w:noProof/>
        </w:rPr>
        <w:tab/>
        <w:t>16</w:t>
      </w:r>
    </w:p>
    <w:p w:rsidR="00A7760B" w:rsidRDefault="00A7760B">
      <w:pPr>
        <w:pStyle w:val="TableofAuthorities"/>
        <w:tabs>
          <w:tab w:val="right" w:leader="dot" w:pos="9350"/>
        </w:tabs>
        <w:rPr>
          <w:noProof/>
        </w:rPr>
      </w:pPr>
      <w:r>
        <w:rPr>
          <w:noProof/>
        </w:rPr>
        <w:t>Article 22</w:t>
      </w:r>
      <w:r>
        <w:rPr>
          <w:noProof/>
        </w:rPr>
        <w:tab/>
        <w:t>16</w:t>
      </w:r>
    </w:p>
    <w:p w:rsidR="00A7760B" w:rsidRDefault="00A7760B">
      <w:pPr>
        <w:pStyle w:val="TableofAuthorities"/>
        <w:tabs>
          <w:tab w:val="right" w:leader="dot" w:pos="9350"/>
        </w:tabs>
        <w:rPr>
          <w:noProof/>
        </w:rPr>
      </w:pPr>
      <w:r>
        <w:rPr>
          <w:noProof/>
        </w:rPr>
        <w:t>Article 23</w:t>
      </w:r>
      <w:r>
        <w:rPr>
          <w:noProof/>
        </w:rPr>
        <w:tab/>
        <w:t>21</w:t>
      </w:r>
    </w:p>
    <w:p w:rsidR="00A7760B" w:rsidRDefault="00A7760B">
      <w:pPr>
        <w:pStyle w:val="TableofAuthorities"/>
        <w:tabs>
          <w:tab w:val="right" w:leader="dot" w:pos="9350"/>
        </w:tabs>
        <w:rPr>
          <w:noProof/>
        </w:rPr>
      </w:pPr>
      <w:r>
        <w:rPr>
          <w:noProof/>
        </w:rPr>
        <w:t>Article 24</w:t>
      </w:r>
      <w:r>
        <w:rPr>
          <w:noProof/>
        </w:rPr>
        <w:tab/>
        <w:t>16, 33</w:t>
      </w:r>
    </w:p>
    <w:p w:rsidR="00A7760B" w:rsidRDefault="00A7760B">
      <w:pPr>
        <w:pStyle w:val="TableofAuthorities"/>
        <w:tabs>
          <w:tab w:val="right" w:leader="dot" w:pos="9350"/>
        </w:tabs>
        <w:rPr>
          <w:noProof/>
        </w:rPr>
      </w:pPr>
      <w:r>
        <w:rPr>
          <w:noProof/>
        </w:rPr>
        <w:t>Article 25</w:t>
      </w:r>
      <w:r>
        <w:rPr>
          <w:noProof/>
        </w:rPr>
        <w:tab/>
        <w:t>16, 24</w:t>
      </w:r>
    </w:p>
    <w:p w:rsidR="00A7760B" w:rsidRDefault="00A7760B">
      <w:pPr>
        <w:pStyle w:val="TableofAuthorities"/>
        <w:tabs>
          <w:tab w:val="right" w:leader="dot" w:pos="9350"/>
        </w:tabs>
        <w:rPr>
          <w:noProof/>
        </w:rPr>
      </w:pPr>
      <w:r w:rsidRPr="000D4883">
        <w:rPr>
          <w:rFonts w:cs="Times New Roman"/>
          <w:noProof/>
        </w:rPr>
        <w:lastRenderedPageBreak/>
        <w:t>Article 29</w:t>
      </w:r>
      <w:r>
        <w:rPr>
          <w:noProof/>
        </w:rPr>
        <w:tab/>
        <w:t>29</w:t>
      </w:r>
    </w:p>
    <w:p w:rsidR="00A7760B" w:rsidRDefault="00A7760B">
      <w:pPr>
        <w:pStyle w:val="TableofAuthorities"/>
        <w:tabs>
          <w:tab w:val="right" w:leader="dot" w:pos="9350"/>
        </w:tabs>
        <w:rPr>
          <w:noProof/>
        </w:rPr>
      </w:pPr>
      <w:r>
        <w:rPr>
          <w:noProof/>
        </w:rPr>
        <w:t>Article 30</w:t>
      </w:r>
      <w:r>
        <w:rPr>
          <w:noProof/>
        </w:rPr>
        <w:tab/>
        <w:t>28</w:t>
      </w:r>
    </w:p>
    <w:p w:rsidR="00A7760B" w:rsidRDefault="00A7760B">
      <w:pPr>
        <w:pStyle w:val="TableofAuthorities"/>
        <w:tabs>
          <w:tab w:val="right" w:leader="dot" w:pos="9350"/>
        </w:tabs>
        <w:rPr>
          <w:noProof/>
        </w:rPr>
      </w:pPr>
      <w:r>
        <w:rPr>
          <w:noProof/>
        </w:rPr>
        <w:t>Article 32</w:t>
      </w:r>
      <w:r>
        <w:rPr>
          <w:noProof/>
        </w:rPr>
        <w:tab/>
        <w:t>16, 18</w:t>
      </w:r>
    </w:p>
    <w:p w:rsidR="00A7760B" w:rsidRDefault="00A7760B">
      <w:pPr>
        <w:pStyle w:val="TableofAuthorities"/>
        <w:tabs>
          <w:tab w:val="right" w:leader="dot" w:pos="9350"/>
        </w:tabs>
        <w:rPr>
          <w:noProof/>
        </w:rPr>
      </w:pPr>
      <w:r w:rsidRPr="000D4883">
        <w:rPr>
          <w:rFonts w:cs="Times New Roman"/>
          <w:noProof/>
        </w:rPr>
        <w:t>Article 46</w:t>
      </w:r>
      <w:r>
        <w:rPr>
          <w:noProof/>
        </w:rPr>
        <w:tab/>
        <w:t>12</w:t>
      </w:r>
    </w:p>
    <w:p w:rsidR="00A7760B" w:rsidRDefault="00A7760B">
      <w:pPr>
        <w:pStyle w:val="TableofAuthorities"/>
        <w:tabs>
          <w:tab w:val="right" w:leader="dot" w:pos="9350"/>
        </w:tabs>
        <w:rPr>
          <w:noProof/>
        </w:rPr>
      </w:pPr>
      <w:r>
        <w:rPr>
          <w:noProof/>
        </w:rPr>
        <w:t>Article 63</w:t>
      </w:r>
      <w:r>
        <w:rPr>
          <w:noProof/>
        </w:rPr>
        <w:tab/>
        <w:t>34</w:t>
      </w:r>
    </w:p>
    <w:p w:rsidR="00A7760B" w:rsidRDefault="00444CA0">
      <w:pPr>
        <w:pStyle w:val="TOAHeading"/>
        <w:tabs>
          <w:tab w:val="right" w:leader="dot" w:pos="9350"/>
        </w:tabs>
        <w:rPr>
          <w:rFonts w:asciiTheme="minorHAnsi" w:eastAsiaTheme="minorEastAsia" w:hAnsiTheme="minorHAnsi" w:cstheme="minorBidi"/>
          <w:b w:val="0"/>
          <w:bCs w:val="0"/>
          <w:noProof/>
          <w:sz w:val="22"/>
          <w:szCs w:val="22"/>
        </w:rPr>
      </w:pPr>
      <w:r w:rsidRPr="00AE1663">
        <w:rPr>
          <w:rFonts w:cs="Times New Roman"/>
        </w:rPr>
        <w:fldChar w:fldCharType="end"/>
      </w:r>
      <w:r w:rsidRPr="00AE1663">
        <w:rPr>
          <w:rFonts w:cs="Times New Roman"/>
        </w:rPr>
        <w:fldChar w:fldCharType="begin"/>
      </w:r>
      <w:r w:rsidR="00767AB7" w:rsidRPr="00AE1663">
        <w:rPr>
          <w:rFonts w:cs="Times New Roman"/>
        </w:rPr>
        <w:instrText xml:space="preserve"> TOA \h \c "5" \p </w:instrText>
      </w:r>
      <w:r w:rsidRPr="00AE1663">
        <w:rPr>
          <w:rFonts w:cs="Times New Roman"/>
        </w:rPr>
        <w:fldChar w:fldCharType="separate"/>
      </w:r>
      <w:r w:rsidR="00A7760B">
        <w:rPr>
          <w:noProof/>
        </w:rPr>
        <w:t>American Declaration of the Rights and Duties of Man</w:t>
      </w:r>
    </w:p>
    <w:p w:rsidR="00A7760B" w:rsidRDefault="00A7760B">
      <w:pPr>
        <w:pStyle w:val="TableofAuthorities"/>
        <w:tabs>
          <w:tab w:val="right" w:leader="dot" w:pos="9350"/>
        </w:tabs>
        <w:rPr>
          <w:noProof/>
        </w:rPr>
      </w:pPr>
      <w:r>
        <w:rPr>
          <w:noProof/>
        </w:rPr>
        <w:t>Article 28</w:t>
      </w:r>
      <w:r>
        <w:rPr>
          <w:noProof/>
        </w:rPr>
        <w:tab/>
        <w:t>18, 21</w:t>
      </w:r>
    </w:p>
    <w:p w:rsidR="00A7760B" w:rsidRDefault="00444CA0">
      <w:pPr>
        <w:pStyle w:val="TOAHeading"/>
        <w:tabs>
          <w:tab w:val="right" w:leader="dot" w:pos="9350"/>
        </w:tabs>
        <w:rPr>
          <w:rFonts w:asciiTheme="minorHAnsi" w:eastAsiaTheme="minorEastAsia" w:hAnsiTheme="minorHAnsi" w:cstheme="minorBidi"/>
          <w:b w:val="0"/>
          <w:bCs w:val="0"/>
          <w:noProof/>
          <w:sz w:val="22"/>
          <w:szCs w:val="22"/>
        </w:rPr>
      </w:pPr>
      <w:r w:rsidRPr="00AE1663">
        <w:rPr>
          <w:rFonts w:cs="Times New Roman"/>
        </w:rPr>
        <w:fldChar w:fldCharType="end"/>
      </w:r>
      <w:r w:rsidRPr="00AE1663">
        <w:rPr>
          <w:rFonts w:cs="Times New Roman"/>
        </w:rPr>
        <w:fldChar w:fldCharType="begin"/>
      </w:r>
      <w:r w:rsidR="00767AB7" w:rsidRPr="00AE1663">
        <w:rPr>
          <w:rFonts w:cs="Times New Roman"/>
        </w:rPr>
        <w:instrText xml:space="preserve"> TOA \h \c "2" \p </w:instrText>
      </w:r>
      <w:r w:rsidRPr="00AE1663">
        <w:rPr>
          <w:rFonts w:cs="Times New Roman"/>
        </w:rPr>
        <w:fldChar w:fldCharType="separate"/>
      </w:r>
      <w:r w:rsidR="00A7760B">
        <w:rPr>
          <w:noProof/>
        </w:rPr>
        <w:t>Charter of the Organization of American States</w:t>
      </w:r>
    </w:p>
    <w:p w:rsidR="00A7760B" w:rsidRDefault="00A7760B" w:rsidP="00A7760B">
      <w:pPr>
        <w:pStyle w:val="TableofAuthorities"/>
        <w:tabs>
          <w:tab w:val="right" w:leader="dot" w:pos="9350"/>
        </w:tabs>
        <w:rPr>
          <w:noProof/>
        </w:rPr>
      </w:pPr>
      <w:r>
        <w:rPr>
          <w:noProof/>
        </w:rPr>
        <w:t>Article 2</w:t>
      </w:r>
      <w:r>
        <w:rPr>
          <w:noProof/>
        </w:rPr>
        <w:tab/>
        <w:t>21</w:t>
      </w:r>
    </w:p>
    <w:p w:rsidR="00A7760B" w:rsidRDefault="00A7760B" w:rsidP="00A7760B">
      <w:pPr>
        <w:pStyle w:val="TableofAuthorities"/>
        <w:tabs>
          <w:tab w:val="right" w:leader="dot" w:pos="9350"/>
        </w:tabs>
        <w:rPr>
          <w:noProof/>
        </w:rPr>
      </w:pPr>
      <w:r>
        <w:rPr>
          <w:noProof/>
        </w:rPr>
        <w:t>Article 3</w:t>
      </w:r>
      <w:r>
        <w:rPr>
          <w:noProof/>
        </w:rPr>
        <w:tab/>
        <w:t>18, 20, 21</w:t>
      </w:r>
    </w:p>
    <w:p w:rsidR="00A7760B" w:rsidRDefault="00A7760B">
      <w:pPr>
        <w:pStyle w:val="TableofAuthorities"/>
        <w:tabs>
          <w:tab w:val="right" w:leader="dot" w:pos="9350"/>
        </w:tabs>
        <w:rPr>
          <w:noProof/>
        </w:rPr>
      </w:pPr>
      <w:r>
        <w:rPr>
          <w:noProof/>
        </w:rPr>
        <w:t>Article 17</w:t>
      </w:r>
      <w:r>
        <w:rPr>
          <w:noProof/>
        </w:rPr>
        <w:tab/>
        <w:t>18, 20, 21</w:t>
      </w:r>
    </w:p>
    <w:p w:rsidR="00A7760B" w:rsidRDefault="00444CA0">
      <w:pPr>
        <w:pStyle w:val="TOAHeading"/>
        <w:tabs>
          <w:tab w:val="right" w:leader="dot" w:pos="9350"/>
        </w:tabs>
        <w:rPr>
          <w:rFonts w:asciiTheme="minorHAnsi" w:eastAsiaTheme="minorEastAsia" w:hAnsiTheme="minorHAnsi" w:cstheme="minorBidi"/>
          <w:b w:val="0"/>
          <w:bCs w:val="0"/>
          <w:noProof/>
          <w:sz w:val="22"/>
          <w:szCs w:val="22"/>
        </w:rPr>
      </w:pPr>
      <w:r w:rsidRPr="00AE1663">
        <w:rPr>
          <w:rFonts w:cs="Times New Roman"/>
        </w:rPr>
        <w:fldChar w:fldCharType="end"/>
      </w:r>
      <w:r w:rsidRPr="00AE1663">
        <w:rPr>
          <w:rFonts w:cs="Times New Roman"/>
        </w:rPr>
        <w:fldChar w:fldCharType="begin"/>
      </w:r>
      <w:r w:rsidR="007857CF" w:rsidRPr="00AE1663">
        <w:rPr>
          <w:rFonts w:cs="Times New Roman"/>
        </w:rPr>
        <w:instrText xml:space="preserve"> TOA \h \c "7" \p </w:instrText>
      </w:r>
      <w:r w:rsidRPr="00AE1663">
        <w:rPr>
          <w:rFonts w:cs="Times New Roman"/>
        </w:rPr>
        <w:fldChar w:fldCharType="separate"/>
      </w:r>
      <w:r w:rsidR="00A7760B">
        <w:rPr>
          <w:noProof/>
        </w:rPr>
        <w:t>European Convention on Human Rights</w:t>
      </w:r>
    </w:p>
    <w:p w:rsidR="00A7760B" w:rsidRDefault="00A7760B" w:rsidP="00A7760B">
      <w:pPr>
        <w:pStyle w:val="TableofAuthorities"/>
        <w:tabs>
          <w:tab w:val="right" w:leader="dot" w:pos="9350"/>
        </w:tabs>
        <w:rPr>
          <w:noProof/>
        </w:rPr>
      </w:pPr>
      <w:r>
        <w:rPr>
          <w:noProof/>
        </w:rPr>
        <w:t>Article 8</w:t>
      </w:r>
      <w:r>
        <w:rPr>
          <w:noProof/>
        </w:rPr>
        <w:tab/>
        <w:t>18</w:t>
      </w:r>
    </w:p>
    <w:p w:rsidR="00A7760B" w:rsidRDefault="00A7760B">
      <w:pPr>
        <w:pStyle w:val="TableofAuthorities"/>
        <w:tabs>
          <w:tab w:val="right" w:leader="dot" w:pos="9350"/>
        </w:tabs>
        <w:rPr>
          <w:noProof/>
        </w:rPr>
      </w:pPr>
      <w:r>
        <w:rPr>
          <w:noProof/>
        </w:rPr>
        <w:t>Article 12</w:t>
      </w:r>
      <w:r>
        <w:rPr>
          <w:noProof/>
        </w:rPr>
        <w:tab/>
        <w:t>19</w:t>
      </w:r>
    </w:p>
    <w:p w:rsidR="00A7760B" w:rsidRDefault="00444CA0">
      <w:pPr>
        <w:pStyle w:val="TOAHeading"/>
        <w:tabs>
          <w:tab w:val="right" w:leader="dot" w:pos="9350"/>
        </w:tabs>
        <w:rPr>
          <w:rFonts w:asciiTheme="minorHAnsi" w:eastAsiaTheme="minorEastAsia" w:hAnsiTheme="minorHAnsi" w:cstheme="minorBidi"/>
          <w:b w:val="0"/>
          <w:bCs w:val="0"/>
          <w:noProof/>
          <w:sz w:val="22"/>
          <w:szCs w:val="22"/>
        </w:rPr>
      </w:pPr>
      <w:r w:rsidRPr="00AE1663">
        <w:rPr>
          <w:rFonts w:cs="Times New Roman"/>
        </w:rPr>
        <w:fldChar w:fldCharType="end"/>
      </w:r>
      <w:r w:rsidRPr="00AE1663">
        <w:rPr>
          <w:rFonts w:cs="Times New Roman"/>
        </w:rPr>
        <w:fldChar w:fldCharType="begin"/>
      </w:r>
      <w:r w:rsidR="007857CF" w:rsidRPr="00AE1663">
        <w:rPr>
          <w:rFonts w:cs="Times New Roman"/>
        </w:rPr>
        <w:instrText xml:space="preserve"> TOA \h \c "3" \p </w:instrText>
      </w:r>
      <w:r w:rsidRPr="00AE1663">
        <w:rPr>
          <w:rFonts w:cs="Times New Roman"/>
        </w:rPr>
        <w:fldChar w:fldCharType="separate"/>
      </w:r>
      <w:r w:rsidR="00A7760B">
        <w:rPr>
          <w:noProof/>
        </w:rPr>
        <w:t>International Covenant on Civil and Political Rights</w:t>
      </w:r>
    </w:p>
    <w:p w:rsidR="00A7760B" w:rsidRDefault="00A7760B">
      <w:pPr>
        <w:pStyle w:val="TableofAuthorities"/>
        <w:tabs>
          <w:tab w:val="right" w:leader="dot" w:pos="9350"/>
        </w:tabs>
        <w:rPr>
          <w:noProof/>
        </w:rPr>
      </w:pPr>
      <w:r>
        <w:rPr>
          <w:noProof/>
        </w:rPr>
        <w:t>Article 23</w:t>
      </w:r>
      <w:r>
        <w:rPr>
          <w:noProof/>
        </w:rPr>
        <w:tab/>
        <w:t>15</w:t>
      </w:r>
    </w:p>
    <w:p w:rsidR="00A7760B" w:rsidRDefault="00444CA0">
      <w:pPr>
        <w:pStyle w:val="TOAHeading"/>
        <w:tabs>
          <w:tab w:val="right" w:leader="dot" w:pos="9350"/>
        </w:tabs>
        <w:rPr>
          <w:rFonts w:asciiTheme="minorHAnsi" w:eastAsiaTheme="minorEastAsia" w:hAnsiTheme="minorHAnsi" w:cstheme="minorBidi"/>
          <w:b w:val="0"/>
          <w:bCs w:val="0"/>
          <w:noProof/>
          <w:sz w:val="22"/>
          <w:szCs w:val="22"/>
        </w:rPr>
      </w:pPr>
      <w:r w:rsidRPr="00AE1663">
        <w:rPr>
          <w:rFonts w:cs="Times New Roman"/>
        </w:rPr>
        <w:fldChar w:fldCharType="end"/>
      </w:r>
      <w:r w:rsidR="007430C8" w:rsidRPr="00AE1663">
        <w:rPr>
          <w:rFonts w:cs="Times New Roman"/>
        </w:rPr>
        <w:fldChar w:fldCharType="begin"/>
      </w:r>
      <w:r w:rsidR="007430C8" w:rsidRPr="00AE1663">
        <w:rPr>
          <w:rFonts w:cs="Times New Roman"/>
        </w:rPr>
        <w:instrText xml:space="preserve"> TOA \h \c "1" \p </w:instrText>
      </w:r>
      <w:r w:rsidR="007430C8" w:rsidRPr="00AE1663">
        <w:rPr>
          <w:rFonts w:cs="Times New Roman"/>
        </w:rPr>
        <w:fldChar w:fldCharType="separate"/>
      </w:r>
      <w:r w:rsidR="00A7760B">
        <w:rPr>
          <w:noProof/>
        </w:rPr>
        <w:t>Universal Declaration of Human Rights</w:t>
      </w:r>
    </w:p>
    <w:p w:rsidR="00A7760B" w:rsidRDefault="00A7760B">
      <w:pPr>
        <w:pStyle w:val="TableofAuthorities"/>
        <w:tabs>
          <w:tab w:val="right" w:leader="dot" w:pos="9350"/>
        </w:tabs>
        <w:rPr>
          <w:noProof/>
        </w:rPr>
      </w:pPr>
      <w:r>
        <w:rPr>
          <w:noProof/>
        </w:rPr>
        <w:t>Article 21</w:t>
      </w:r>
      <w:r>
        <w:rPr>
          <w:noProof/>
        </w:rPr>
        <w:tab/>
        <w:t>21</w:t>
      </w:r>
    </w:p>
    <w:p w:rsidR="00A7760B" w:rsidRDefault="007430C8">
      <w:pPr>
        <w:pStyle w:val="TOAHeading"/>
        <w:tabs>
          <w:tab w:val="right" w:leader="dot" w:pos="9350"/>
        </w:tabs>
        <w:rPr>
          <w:rFonts w:asciiTheme="minorHAnsi" w:eastAsiaTheme="minorEastAsia" w:hAnsiTheme="minorHAnsi" w:cstheme="minorBidi"/>
          <w:b w:val="0"/>
          <w:bCs w:val="0"/>
          <w:noProof/>
          <w:sz w:val="22"/>
          <w:szCs w:val="22"/>
        </w:rPr>
      </w:pPr>
      <w:r w:rsidRPr="00AE1663">
        <w:rPr>
          <w:rFonts w:cs="Times New Roman"/>
        </w:rPr>
        <w:fldChar w:fldCharType="end"/>
      </w:r>
      <w:r w:rsidR="00444CA0" w:rsidRPr="00AE1663">
        <w:rPr>
          <w:rFonts w:cs="Times New Roman"/>
        </w:rPr>
        <w:fldChar w:fldCharType="begin"/>
      </w:r>
      <w:r w:rsidR="007857CF" w:rsidRPr="00AE1663">
        <w:rPr>
          <w:rFonts w:cs="Times New Roman"/>
        </w:rPr>
        <w:instrText xml:space="preserve"> TOA \h \c "4" \p </w:instrText>
      </w:r>
      <w:r w:rsidR="00444CA0" w:rsidRPr="00AE1663">
        <w:rPr>
          <w:rFonts w:cs="Times New Roman"/>
        </w:rPr>
        <w:fldChar w:fldCharType="separate"/>
      </w:r>
      <w:r w:rsidR="00A7760B">
        <w:rPr>
          <w:noProof/>
        </w:rPr>
        <w:t>Vienna Convention of the Law of Treaties</w:t>
      </w:r>
    </w:p>
    <w:p w:rsidR="00A7760B" w:rsidRDefault="00A7760B">
      <w:pPr>
        <w:pStyle w:val="TableofAuthorities"/>
        <w:tabs>
          <w:tab w:val="right" w:leader="dot" w:pos="9350"/>
        </w:tabs>
        <w:rPr>
          <w:noProof/>
        </w:rPr>
      </w:pPr>
      <w:r>
        <w:rPr>
          <w:noProof/>
        </w:rPr>
        <w:t>Article 31</w:t>
      </w:r>
      <w:r>
        <w:rPr>
          <w:noProof/>
        </w:rPr>
        <w:tab/>
        <w:t>15</w:t>
      </w:r>
    </w:p>
    <w:p w:rsidR="00767AB7" w:rsidRPr="00AE1663" w:rsidRDefault="00444CA0" w:rsidP="00391EA8">
      <w:pPr>
        <w:rPr>
          <w:rFonts w:ascii="Times New Roman" w:hAnsi="Times New Roman" w:cs="Times New Roman"/>
          <w:b/>
          <w:caps/>
          <w:sz w:val="24"/>
          <w:szCs w:val="24"/>
          <w:u w:val="single"/>
        </w:rPr>
      </w:pPr>
      <w:r w:rsidRPr="00AE1663">
        <w:rPr>
          <w:rFonts w:ascii="Times New Roman" w:hAnsi="Times New Roman" w:cs="Times New Roman"/>
          <w:sz w:val="24"/>
          <w:szCs w:val="24"/>
        </w:rPr>
        <w:fldChar w:fldCharType="end"/>
      </w:r>
    </w:p>
    <w:p w:rsidR="007857CF" w:rsidRPr="00AE1663" w:rsidRDefault="007857CF" w:rsidP="007857CF">
      <w:pPr>
        <w:rPr>
          <w:rFonts w:ascii="Times New Roman" w:hAnsi="Times New Roman" w:cs="Times New Roman"/>
          <w:b/>
          <w:caps/>
          <w:sz w:val="24"/>
          <w:szCs w:val="24"/>
          <w:u w:val="single"/>
        </w:rPr>
      </w:pPr>
      <w:r w:rsidRPr="00AE1663">
        <w:rPr>
          <w:rFonts w:ascii="Times New Roman" w:hAnsi="Times New Roman" w:cs="Times New Roman"/>
          <w:b/>
          <w:caps/>
          <w:sz w:val="24"/>
          <w:szCs w:val="24"/>
          <w:u w:val="single"/>
        </w:rPr>
        <w:t>Inter-American Commission of Human Rights</w:t>
      </w:r>
    </w:p>
    <w:p w:rsidR="00A7760B" w:rsidRDefault="00444CA0">
      <w:pPr>
        <w:pStyle w:val="TOAHeading"/>
        <w:tabs>
          <w:tab w:val="right" w:leader="dot" w:pos="9350"/>
        </w:tabs>
        <w:rPr>
          <w:rFonts w:asciiTheme="minorHAnsi" w:eastAsiaTheme="minorEastAsia" w:hAnsiTheme="minorHAnsi" w:cstheme="minorBidi"/>
          <w:b w:val="0"/>
          <w:bCs w:val="0"/>
          <w:noProof/>
          <w:sz w:val="22"/>
          <w:szCs w:val="22"/>
        </w:rPr>
      </w:pPr>
      <w:r w:rsidRPr="00AE1663">
        <w:rPr>
          <w:rFonts w:cs="Times New Roman"/>
        </w:rPr>
        <w:fldChar w:fldCharType="begin"/>
      </w:r>
      <w:r w:rsidR="007857CF" w:rsidRPr="00AE1663">
        <w:rPr>
          <w:rFonts w:cs="Times New Roman"/>
        </w:rPr>
        <w:instrText xml:space="preserve"> TOA \h \c "12" \p </w:instrText>
      </w:r>
      <w:r w:rsidRPr="00AE1663">
        <w:rPr>
          <w:rFonts w:cs="Times New Roman"/>
        </w:rPr>
        <w:fldChar w:fldCharType="separate"/>
      </w:r>
      <w:r w:rsidR="00A7760B">
        <w:rPr>
          <w:noProof/>
        </w:rPr>
        <w:t xml:space="preserve">Inter-American Commission of Human Rights Basic Documents </w:t>
      </w:r>
    </w:p>
    <w:p w:rsidR="00A7760B" w:rsidRDefault="00A7760B">
      <w:pPr>
        <w:pStyle w:val="TableofAuthorities"/>
        <w:tabs>
          <w:tab w:val="right" w:leader="dot" w:pos="9350"/>
        </w:tabs>
        <w:rPr>
          <w:noProof/>
        </w:rPr>
      </w:pPr>
      <w:r w:rsidRPr="00AC5AF3">
        <w:rPr>
          <w:rFonts w:cs="Times New Roman"/>
          <w:noProof/>
        </w:rPr>
        <w:t>Inter-American Commission on Human Rights Petitions and Case System Informational Brochure</w:t>
      </w:r>
      <w:r>
        <w:rPr>
          <w:noProof/>
        </w:rPr>
        <w:tab/>
        <w:t>12</w:t>
      </w:r>
    </w:p>
    <w:p w:rsidR="00A7760B" w:rsidRDefault="00444CA0">
      <w:pPr>
        <w:pStyle w:val="TOAHeading"/>
        <w:tabs>
          <w:tab w:val="right" w:leader="dot" w:pos="9350"/>
        </w:tabs>
        <w:rPr>
          <w:rFonts w:asciiTheme="minorHAnsi" w:eastAsiaTheme="minorEastAsia" w:hAnsiTheme="minorHAnsi" w:cstheme="minorBidi"/>
          <w:b w:val="0"/>
          <w:bCs w:val="0"/>
          <w:noProof/>
          <w:sz w:val="22"/>
          <w:szCs w:val="22"/>
        </w:rPr>
      </w:pPr>
      <w:r w:rsidRPr="00AE1663">
        <w:rPr>
          <w:rFonts w:cs="Times New Roman"/>
        </w:rPr>
        <w:fldChar w:fldCharType="end"/>
      </w:r>
      <w:r w:rsidRPr="00AE1663">
        <w:rPr>
          <w:rFonts w:cs="Times New Roman"/>
        </w:rPr>
        <w:fldChar w:fldCharType="begin"/>
      </w:r>
      <w:r w:rsidR="007857CF" w:rsidRPr="00AE1663">
        <w:rPr>
          <w:rFonts w:cs="Times New Roman"/>
        </w:rPr>
        <w:instrText xml:space="preserve"> TOA \h \c "11" \p </w:instrText>
      </w:r>
      <w:r w:rsidRPr="00AE1663">
        <w:rPr>
          <w:rFonts w:cs="Times New Roman"/>
        </w:rPr>
        <w:fldChar w:fldCharType="separate"/>
      </w:r>
      <w:r w:rsidR="00A7760B">
        <w:rPr>
          <w:noProof/>
        </w:rPr>
        <w:t>Inter-American Commission of Human Rights Contentious Cases</w:t>
      </w:r>
    </w:p>
    <w:p w:rsidR="00A7760B" w:rsidRDefault="00A7760B">
      <w:pPr>
        <w:pStyle w:val="TableofAuthorities"/>
        <w:tabs>
          <w:tab w:val="right" w:leader="dot" w:pos="9350"/>
        </w:tabs>
        <w:rPr>
          <w:noProof/>
        </w:rPr>
      </w:pPr>
      <w:r w:rsidRPr="0078754B">
        <w:rPr>
          <w:i/>
          <w:noProof/>
        </w:rPr>
        <w:t>Clifton Wright v. Jamaica</w:t>
      </w:r>
      <w:r>
        <w:rPr>
          <w:noProof/>
        </w:rPr>
        <w:t xml:space="preserve"> </w:t>
      </w:r>
      <w:r>
        <w:rPr>
          <w:noProof/>
        </w:rPr>
        <w:br/>
        <w:t xml:space="preserve">Case 9260, </w:t>
      </w:r>
      <w:r w:rsidRPr="0078754B">
        <w:rPr>
          <w:bCs/>
          <w:noProof/>
        </w:rPr>
        <w:t xml:space="preserve">Report No. 29/88 </w:t>
      </w:r>
      <w:r w:rsidRPr="0078754B">
        <w:rPr>
          <w:bCs/>
          <w:noProof/>
        </w:rPr>
        <w:br/>
      </w:r>
      <w:r>
        <w:rPr>
          <w:noProof/>
        </w:rPr>
        <w:t>Inter-Am. Comm’n H.R., OEA/Ser.L/V/II.74, doc. 10 rev. (14 Sept., 1988)</w:t>
      </w:r>
      <w:r>
        <w:rPr>
          <w:noProof/>
        </w:rPr>
        <w:tab/>
        <w:t>14</w:t>
      </w:r>
    </w:p>
    <w:p w:rsidR="00A7760B" w:rsidRDefault="00A7760B">
      <w:pPr>
        <w:pStyle w:val="TableofAuthorities"/>
        <w:tabs>
          <w:tab w:val="right" w:leader="dot" w:pos="9350"/>
        </w:tabs>
        <w:rPr>
          <w:noProof/>
        </w:rPr>
      </w:pPr>
      <w:r w:rsidRPr="0078754B">
        <w:rPr>
          <w:rFonts w:cs="Times New Roman"/>
          <w:i/>
          <w:noProof/>
        </w:rPr>
        <w:t>David Austin Smith v. Commonwealth of the Bahamas</w:t>
      </w:r>
      <w:r w:rsidRPr="0078754B">
        <w:rPr>
          <w:rFonts w:cs="Times New Roman"/>
          <w:i/>
          <w:noProof/>
        </w:rPr>
        <w:br/>
      </w:r>
      <w:r w:rsidRPr="0078754B">
        <w:rPr>
          <w:rFonts w:cs="Times New Roman"/>
          <w:noProof/>
        </w:rPr>
        <w:t xml:space="preserve">Case 12.399, Report No. 26/07 </w:t>
      </w:r>
      <w:r w:rsidRPr="0078754B">
        <w:rPr>
          <w:rFonts w:cs="Times New Roman"/>
          <w:noProof/>
        </w:rPr>
        <w:br/>
        <w:t xml:space="preserve">Inter-Am. Comm’n H.R., </w:t>
      </w:r>
      <w:r w:rsidRPr="0078754B">
        <w:rPr>
          <w:rFonts w:cs="Times New Roman"/>
          <w:bCs/>
          <w:noProof/>
        </w:rPr>
        <w:t>OEA/Ser.L/V/II.130, doc. 22, rev. 1</w:t>
      </w:r>
      <w:r w:rsidRPr="0078754B">
        <w:rPr>
          <w:rFonts w:cs="Times New Roman"/>
          <w:noProof/>
        </w:rPr>
        <w:t xml:space="preserve"> (9 March, 2007)</w:t>
      </w:r>
      <w:r>
        <w:rPr>
          <w:noProof/>
        </w:rPr>
        <w:tab/>
        <w:t>12</w:t>
      </w:r>
    </w:p>
    <w:p w:rsidR="00A7760B" w:rsidRDefault="00A7760B">
      <w:pPr>
        <w:pStyle w:val="TableofAuthorities"/>
        <w:tabs>
          <w:tab w:val="right" w:leader="dot" w:pos="9350"/>
        </w:tabs>
        <w:rPr>
          <w:noProof/>
        </w:rPr>
      </w:pPr>
      <w:r w:rsidRPr="0078754B">
        <w:rPr>
          <w:rFonts w:cs="Times New Roman"/>
          <w:i/>
          <w:noProof/>
        </w:rPr>
        <w:lastRenderedPageBreak/>
        <w:t>Santiago Marzioni v. Argentina</w:t>
      </w:r>
      <w:r w:rsidRPr="0078754B">
        <w:rPr>
          <w:rFonts w:cs="Times New Roman"/>
          <w:noProof/>
        </w:rPr>
        <w:br/>
        <w:t xml:space="preserve">Case 11.673, Report No. 39/96 </w:t>
      </w:r>
      <w:r w:rsidRPr="0078754B">
        <w:rPr>
          <w:rFonts w:cs="Times New Roman"/>
          <w:noProof/>
        </w:rPr>
        <w:br/>
        <w:t>Inter-Am. Comm’n HR, OEA/Ser.L/V/II.95, doc. 7 rev. (15 Oct., 1996)</w:t>
      </w:r>
      <w:r>
        <w:rPr>
          <w:noProof/>
        </w:rPr>
        <w:tab/>
        <w:t>14, 26, 27, 28</w:t>
      </w:r>
    </w:p>
    <w:p w:rsidR="007857CF" w:rsidRPr="00AE1663" w:rsidRDefault="00444CA0" w:rsidP="007857CF">
      <w:pPr>
        <w:rPr>
          <w:rFonts w:ascii="Times New Roman" w:hAnsi="Times New Roman" w:cs="Times New Roman"/>
          <w:sz w:val="24"/>
          <w:szCs w:val="24"/>
        </w:rPr>
      </w:pPr>
      <w:r w:rsidRPr="00AE1663">
        <w:rPr>
          <w:rFonts w:ascii="Times New Roman" w:hAnsi="Times New Roman" w:cs="Times New Roman"/>
          <w:sz w:val="24"/>
          <w:szCs w:val="24"/>
        </w:rPr>
        <w:fldChar w:fldCharType="end"/>
      </w:r>
    </w:p>
    <w:p w:rsidR="007857CF" w:rsidRPr="00AE1663" w:rsidRDefault="007857CF" w:rsidP="007857CF">
      <w:pPr>
        <w:rPr>
          <w:rFonts w:ascii="Times New Roman" w:hAnsi="Times New Roman" w:cs="Times New Roman"/>
          <w:b/>
          <w:caps/>
          <w:sz w:val="24"/>
          <w:szCs w:val="24"/>
          <w:u w:val="single"/>
        </w:rPr>
      </w:pPr>
      <w:r w:rsidRPr="00AE1663">
        <w:rPr>
          <w:rFonts w:ascii="Times New Roman" w:hAnsi="Times New Roman" w:cs="Times New Roman"/>
          <w:b/>
          <w:caps/>
          <w:sz w:val="24"/>
          <w:szCs w:val="24"/>
          <w:u w:val="single"/>
        </w:rPr>
        <w:t>Inter-American Court of Human Rights</w:t>
      </w:r>
    </w:p>
    <w:p w:rsidR="00A7760B" w:rsidRDefault="00444CA0">
      <w:pPr>
        <w:pStyle w:val="TOAHeading"/>
        <w:tabs>
          <w:tab w:val="right" w:leader="dot" w:pos="9350"/>
        </w:tabs>
        <w:rPr>
          <w:rFonts w:asciiTheme="minorHAnsi" w:eastAsiaTheme="minorEastAsia" w:hAnsiTheme="minorHAnsi" w:cstheme="minorBidi"/>
          <w:b w:val="0"/>
          <w:bCs w:val="0"/>
          <w:noProof/>
          <w:sz w:val="22"/>
          <w:szCs w:val="22"/>
        </w:rPr>
      </w:pPr>
      <w:r w:rsidRPr="00AE1663">
        <w:rPr>
          <w:rFonts w:cs="Times New Roman"/>
        </w:rPr>
        <w:fldChar w:fldCharType="begin"/>
      </w:r>
      <w:r w:rsidR="007857CF" w:rsidRPr="00AE1663">
        <w:rPr>
          <w:rFonts w:cs="Times New Roman"/>
        </w:rPr>
        <w:instrText xml:space="preserve"> TOA \h \c "9" \p </w:instrText>
      </w:r>
      <w:r w:rsidRPr="00AE1663">
        <w:rPr>
          <w:rFonts w:cs="Times New Roman"/>
        </w:rPr>
        <w:fldChar w:fldCharType="separate"/>
      </w:r>
      <w:r w:rsidR="00A7760B">
        <w:rPr>
          <w:noProof/>
        </w:rPr>
        <w:t>Inter-American Court of Human Rights Advisory Opinions</w:t>
      </w:r>
    </w:p>
    <w:p w:rsidR="00A7760B" w:rsidRDefault="00A7760B">
      <w:pPr>
        <w:pStyle w:val="TableofAuthorities"/>
        <w:tabs>
          <w:tab w:val="right" w:leader="dot" w:pos="9350"/>
        </w:tabs>
        <w:rPr>
          <w:noProof/>
        </w:rPr>
      </w:pPr>
      <w:r w:rsidRPr="00F92A4C">
        <w:rPr>
          <w:rFonts w:cs="Times New Roman"/>
          <w:i/>
          <w:noProof/>
        </w:rPr>
        <w:t>Exceptions to the Exhaustion of Domestic Remedies (Arts. 46(1), 46(2)(a) and 46(2)(b) of the American Convention on Human Rights)</w:t>
      </w:r>
      <w:r w:rsidRPr="00F92A4C">
        <w:rPr>
          <w:rFonts w:cs="Times New Roman"/>
          <w:noProof/>
        </w:rPr>
        <w:t xml:space="preserve"> </w:t>
      </w:r>
      <w:r w:rsidRPr="00F92A4C">
        <w:rPr>
          <w:rFonts w:cs="Times New Roman"/>
          <w:noProof/>
        </w:rPr>
        <w:br/>
        <w:t>Advisory Opinion OC-11/90, Inter-Am. Ct. H.R., Ser. A, No. 11 (10 Aug., 1990)</w:t>
      </w:r>
      <w:r>
        <w:rPr>
          <w:noProof/>
        </w:rPr>
        <w:tab/>
        <w:t>12</w:t>
      </w:r>
    </w:p>
    <w:p w:rsidR="00A7760B" w:rsidRDefault="00A7760B">
      <w:pPr>
        <w:pStyle w:val="TableofAuthorities"/>
        <w:tabs>
          <w:tab w:val="right" w:leader="dot" w:pos="9350"/>
        </w:tabs>
        <w:rPr>
          <w:noProof/>
        </w:rPr>
      </w:pPr>
      <w:r w:rsidRPr="00F92A4C">
        <w:rPr>
          <w:i/>
          <w:noProof/>
        </w:rPr>
        <w:t>The Right to Information on Consular Assistance in the Framework of the Guarantees of the Due Process of Law</w:t>
      </w:r>
      <w:r>
        <w:rPr>
          <w:noProof/>
        </w:rPr>
        <w:t xml:space="preserve"> </w:t>
      </w:r>
      <w:r>
        <w:rPr>
          <w:noProof/>
        </w:rPr>
        <w:br/>
        <w:t>Advisory Opinion OC-16/99, Inter-Am. Ct. H.R., Ser. A, No. 16 (1 Oct., 1999)</w:t>
      </w:r>
      <w:r>
        <w:rPr>
          <w:noProof/>
        </w:rPr>
        <w:tab/>
        <w:t>27</w:t>
      </w:r>
    </w:p>
    <w:p w:rsidR="00A7760B" w:rsidRDefault="00444CA0">
      <w:pPr>
        <w:pStyle w:val="TOAHeading"/>
        <w:tabs>
          <w:tab w:val="right" w:leader="dot" w:pos="9350"/>
        </w:tabs>
        <w:rPr>
          <w:rFonts w:asciiTheme="minorHAnsi" w:eastAsiaTheme="minorEastAsia" w:hAnsiTheme="minorHAnsi" w:cstheme="minorBidi"/>
          <w:b w:val="0"/>
          <w:bCs w:val="0"/>
          <w:noProof/>
          <w:sz w:val="22"/>
          <w:szCs w:val="22"/>
        </w:rPr>
      </w:pPr>
      <w:r w:rsidRPr="00AE1663">
        <w:rPr>
          <w:rFonts w:cs="Times New Roman"/>
        </w:rPr>
        <w:fldChar w:fldCharType="end"/>
      </w:r>
      <w:r w:rsidRPr="00AE1663">
        <w:rPr>
          <w:rFonts w:cs="Times New Roman"/>
        </w:rPr>
        <w:fldChar w:fldCharType="begin"/>
      </w:r>
      <w:r w:rsidR="005928DB" w:rsidRPr="00AE1663">
        <w:rPr>
          <w:rFonts w:cs="Times New Roman"/>
        </w:rPr>
        <w:instrText xml:space="preserve"> TOA \h \c "13" \p </w:instrText>
      </w:r>
      <w:r w:rsidRPr="00AE1663">
        <w:rPr>
          <w:rFonts w:cs="Times New Roman"/>
        </w:rPr>
        <w:fldChar w:fldCharType="separate"/>
      </w:r>
      <w:r w:rsidR="00A7760B">
        <w:rPr>
          <w:noProof/>
        </w:rPr>
        <w:t>Inter-American Court of Human Rights Contentious Cases</w:t>
      </w:r>
    </w:p>
    <w:p w:rsidR="00A7760B" w:rsidRDefault="00A7760B">
      <w:pPr>
        <w:pStyle w:val="TableofAuthorities"/>
        <w:tabs>
          <w:tab w:val="right" w:leader="dot" w:pos="9350"/>
        </w:tabs>
        <w:rPr>
          <w:noProof/>
        </w:rPr>
      </w:pPr>
      <w:r w:rsidRPr="00A30D08">
        <w:rPr>
          <w:rFonts w:cs="Times New Roman"/>
          <w:i/>
          <w:noProof/>
        </w:rPr>
        <w:t>Case of Apitz Barbera et al. (“First Court of Administrative Disputes”) v. Venezuela</w:t>
      </w:r>
      <w:r w:rsidRPr="00A30D08">
        <w:rPr>
          <w:rFonts w:cs="Times New Roman"/>
          <w:noProof/>
        </w:rPr>
        <w:t xml:space="preserve"> (Judgment)</w:t>
      </w:r>
      <w:r w:rsidRPr="00A30D08">
        <w:rPr>
          <w:rFonts w:cs="Times New Roman"/>
          <w:noProof/>
        </w:rPr>
        <w:br/>
        <w:t>Inter-Am. Ct. H.R., Ser. C, No. 182, (5 Aug., 2008)</w:t>
      </w:r>
      <w:r>
        <w:rPr>
          <w:noProof/>
        </w:rPr>
        <w:tab/>
        <w:t>25</w:t>
      </w:r>
    </w:p>
    <w:p w:rsidR="00A7760B" w:rsidRDefault="00A7760B">
      <w:pPr>
        <w:pStyle w:val="TableofAuthorities"/>
        <w:tabs>
          <w:tab w:val="right" w:leader="dot" w:pos="9350"/>
        </w:tabs>
        <w:rPr>
          <w:noProof/>
        </w:rPr>
      </w:pPr>
      <w:r w:rsidRPr="00A30D08">
        <w:rPr>
          <w:i/>
          <w:noProof/>
        </w:rPr>
        <w:t xml:space="preserve">Case of Atala Riffo and Children v. Chile </w:t>
      </w:r>
      <w:r>
        <w:rPr>
          <w:noProof/>
        </w:rPr>
        <w:t xml:space="preserve">(Judgment) </w:t>
      </w:r>
      <w:r>
        <w:rPr>
          <w:noProof/>
        </w:rPr>
        <w:br/>
        <w:t>Inter-Am. Ct. H.R., Ser. C, No. 239, (24 Feb., 2012)</w:t>
      </w:r>
      <w:r>
        <w:rPr>
          <w:noProof/>
        </w:rPr>
        <w:tab/>
        <w:t>passim</w:t>
      </w:r>
    </w:p>
    <w:p w:rsidR="00A7760B" w:rsidRDefault="00A7760B">
      <w:pPr>
        <w:pStyle w:val="TableofAuthorities"/>
        <w:tabs>
          <w:tab w:val="right" w:leader="dot" w:pos="9350"/>
        </w:tabs>
        <w:rPr>
          <w:noProof/>
        </w:rPr>
      </w:pPr>
      <w:r w:rsidRPr="00A30D08">
        <w:rPr>
          <w:i/>
          <w:noProof/>
        </w:rPr>
        <w:t xml:space="preserve">Case of Barabani Duarte </w:t>
      </w:r>
      <w:r w:rsidRPr="00A30D08">
        <w:rPr>
          <w:i/>
          <w:iCs/>
          <w:noProof/>
        </w:rPr>
        <w:t xml:space="preserve">et al. v. </w:t>
      </w:r>
      <w:r w:rsidRPr="00A30D08">
        <w:rPr>
          <w:i/>
          <w:noProof/>
        </w:rPr>
        <w:t>Uraguay</w:t>
      </w:r>
      <w:r>
        <w:rPr>
          <w:noProof/>
        </w:rPr>
        <w:t xml:space="preserve"> (Judgment) </w:t>
      </w:r>
      <w:r>
        <w:rPr>
          <w:noProof/>
        </w:rPr>
        <w:br/>
        <w:t>Inter-Am. Ct. H.R., Ser. C, No.234, (13 Oct., 2011)</w:t>
      </w:r>
      <w:r>
        <w:rPr>
          <w:noProof/>
        </w:rPr>
        <w:tab/>
        <w:t>27</w:t>
      </w:r>
    </w:p>
    <w:p w:rsidR="00A7760B" w:rsidRDefault="00A7760B">
      <w:pPr>
        <w:pStyle w:val="TableofAuthorities"/>
        <w:tabs>
          <w:tab w:val="right" w:leader="dot" w:pos="9350"/>
        </w:tabs>
        <w:rPr>
          <w:noProof/>
        </w:rPr>
      </w:pPr>
      <w:r w:rsidRPr="00A30D08">
        <w:rPr>
          <w:rFonts w:cs="Times New Roman"/>
          <w:i/>
          <w:noProof/>
        </w:rPr>
        <w:t>Case of</w:t>
      </w:r>
      <w:r w:rsidRPr="00A30D08">
        <w:rPr>
          <w:rFonts w:cs="Times New Roman"/>
          <w:noProof/>
        </w:rPr>
        <w:t xml:space="preserve"> </w:t>
      </w:r>
      <w:r w:rsidRPr="00A30D08">
        <w:rPr>
          <w:rFonts w:cs="Times New Roman"/>
          <w:i/>
          <w:noProof/>
        </w:rPr>
        <w:t>Palamara Iribarne v. Chile</w:t>
      </w:r>
      <w:r w:rsidRPr="00A30D08">
        <w:rPr>
          <w:rFonts w:cs="Times New Roman"/>
          <w:noProof/>
        </w:rPr>
        <w:t xml:space="preserve"> (Judgment) </w:t>
      </w:r>
      <w:r w:rsidRPr="00A30D08">
        <w:rPr>
          <w:rFonts w:cs="Times New Roman"/>
          <w:noProof/>
        </w:rPr>
        <w:br/>
        <w:t>Inter-Am. Ct. H.R., Ser. C, No. 135, (22 Nov., 2005)</w:t>
      </w:r>
      <w:r>
        <w:rPr>
          <w:noProof/>
        </w:rPr>
        <w:tab/>
        <w:t>25</w:t>
      </w:r>
    </w:p>
    <w:p w:rsidR="00A7760B" w:rsidRDefault="00A7760B">
      <w:pPr>
        <w:pStyle w:val="TableofAuthorities"/>
        <w:tabs>
          <w:tab w:val="right" w:leader="dot" w:pos="9350"/>
        </w:tabs>
        <w:rPr>
          <w:noProof/>
        </w:rPr>
      </w:pPr>
      <w:r w:rsidRPr="00A30D08">
        <w:rPr>
          <w:i/>
          <w:noProof/>
        </w:rPr>
        <w:t>Case of the “The Last Temptation of Christ” (Olmedo-Bustos et al.) v. Chile</w:t>
      </w:r>
      <w:r>
        <w:rPr>
          <w:noProof/>
        </w:rPr>
        <w:t xml:space="preserve"> (Judgment)</w:t>
      </w:r>
      <w:r>
        <w:rPr>
          <w:noProof/>
        </w:rPr>
        <w:br/>
        <w:t>Inter-Am. Ct.H.R., ser. C, No. 73, (5 Feb., 2001)</w:t>
      </w:r>
      <w:r>
        <w:rPr>
          <w:noProof/>
        </w:rPr>
        <w:tab/>
        <w:t>17</w:t>
      </w:r>
    </w:p>
    <w:p w:rsidR="00A7760B" w:rsidRDefault="00A7760B">
      <w:pPr>
        <w:pStyle w:val="TableofAuthorities"/>
        <w:tabs>
          <w:tab w:val="right" w:leader="dot" w:pos="9350"/>
        </w:tabs>
        <w:rPr>
          <w:noProof/>
        </w:rPr>
      </w:pPr>
      <w:r w:rsidRPr="00A30D08">
        <w:rPr>
          <w:rFonts w:cs="Times New Roman"/>
          <w:i/>
          <w:iCs/>
          <w:noProof/>
        </w:rPr>
        <w:t>Case of Tristán Donoso v. Panama</w:t>
      </w:r>
      <w:r w:rsidRPr="00A30D08">
        <w:rPr>
          <w:rFonts w:cs="Times New Roman"/>
          <w:iCs/>
          <w:noProof/>
        </w:rPr>
        <w:t xml:space="preserve"> (</w:t>
      </w:r>
      <w:r w:rsidRPr="00A30D08">
        <w:rPr>
          <w:rFonts w:cs="Times New Roman"/>
          <w:noProof/>
        </w:rPr>
        <w:t>Judgment)</w:t>
      </w:r>
      <w:r w:rsidRPr="00A30D08">
        <w:rPr>
          <w:rFonts w:cs="Times New Roman"/>
          <w:iCs/>
          <w:noProof/>
        </w:rPr>
        <w:t xml:space="preserve"> </w:t>
      </w:r>
      <w:r w:rsidRPr="00A30D08">
        <w:rPr>
          <w:rFonts w:cs="Times New Roman"/>
          <w:iCs/>
          <w:noProof/>
        </w:rPr>
        <w:br/>
        <w:t>Inter-Am. Ct. H.R., Ser. C, No. 193, (</w:t>
      </w:r>
      <w:r w:rsidRPr="00A30D08">
        <w:rPr>
          <w:rFonts w:cs="Times New Roman"/>
          <w:noProof/>
        </w:rPr>
        <w:t>27 Jan., 2009)</w:t>
      </w:r>
      <w:r>
        <w:rPr>
          <w:noProof/>
        </w:rPr>
        <w:tab/>
        <w:t>22</w:t>
      </w:r>
    </w:p>
    <w:p w:rsidR="00A7760B" w:rsidRDefault="00A7760B">
      <w:pPr>
        <w:pStyle w:val="TableofAuthorities"/>
        <w:tabs>
          <w:tab w:val="right" w:leader="dot" w:pos="9350"/>
        </w:tabs>
        <w:rPr>
          <w:noProof/>
        </w:rPr>
      </w:pPr>
      <w:r w:rsidRPr="00A30D08">
        <w:rPr>
          <w:i/>
          <w:noProof/>
        </w:rPr>
        <w:t>Case of</w:t>
      </w:r>
      <w:r>
        <w:rPr>
          <w:noProof/>
        </w:rPr>
        <w:t xml:space="preserve"> </w:t>
      </w:r>
      <w:r w:rsidRPr="00A30D08">
        <w:rPr>
          <w:i/>
          <w:noProof/>
        </w:rPr>
        <w:t>Valle Jaramillo v. Columbia</w:t>
      </w:r>
      <w:r>
        <w:rPr>
          <w:noProof/>
        </w:rPr>
        <w:t xml:space="preserve"> (Judgment) </w:t>
      </w:r>
      <w:r>
        <w:rPr>
          <w:noProof/>
        </w:rPr>
        <w:br/>
        <w:t>Inter-Am. Ct. H.R., Ser. C, No. 192, (27 Nov., 2008)</w:t>
      </w:r>
      <w:r>
        <w:rPr>
          <w:noProof/>
        </w:rPr>
        <w:tab/>
        <w:t>29</w:t>
      </w:r>
    </w:p>
    <w:p w:rsidR="00A7760B" w:rsidRDefault="00A7760B">
      <w:pPr>
        <w:pStyle w:val="TableofAuthorities"/>
        <w:tabs>
          <w:tab w:val="right" w:leader="dot" w:pos="9350"/>
        </w:tabs>
        <w:rPr>
          <w:noProof/>
        </w:rPr>
      </w:pPr>
      <w:r w:rsidRPr="00A30D08">
        <w:rPr>
          <w:i/>
          <w:noProof/>
        </w:rPr>
        <w:t xml:space="preserve">Case of </w:t>
      </w:r>
      <w:r w:rsidRPr="00A30D08">
        <w:rPr>
          <w:i/>
          <w:iCs/>
          <w:noProof/>
        </w:rPr>
        <w:t xml:space="preserve">Velásquez Rodríguez v. Honduras </w:t>
      </w:r>
      <w:r>
        <w:rPr>
          <w:noProof/>
        </w:rPr>
        <w:t xml:space="preserve">(Judgment) </w:t>
      </w:r>
      <w:r>
        <w:rPr>
          <w:noProof/>
        </w:rPr>
        <w:br/>
        <w:t>Inter-Am. Ct. H.R., Ser. C, No. 4, (29 July, 1988)</w:t>
      </w:r>
      <w:r>
        <w:rPr>
          <w:noProof/>
        </w:rPr>
        <w:tab/>
        <w:t>26, 28</w:t>
      </w:r>
    </w:p>
    <w:p w:rsidR="00A7760B" w:rsidRDefault="00A7760B">
      <w:pPr>
        <w:pStyle w:val="TableofAuthorities"/>
        <w:tabs>
          <w:tab w:val="right" w:leader="dot" w:pos="9350"/>
        </w:tabs>
        <w:rPr>
          <w:noProof/>
        </w:rPr>
      </w:pPr>
      <w:r w:rsidRPr="00A30D08">
        <w:rPr>
          <w:rFonts w:cs="Times New Roman"/>
          <w:i/>
          <w:noProof/>
        </w:rPr>
        <w:t>Viviana Gallardo et al</w:t>
      </w:r>
      <w:r w:rsidRPr="00A30D08">
        <w:rPr>
          <w:rFonts w:cs="Times New Roman"/>
          <w:noProof/>
        </w:rPr>
        <w:t xml:space="preserve">., (Advisory Opinion) </w:t>
      </w:r>
      <w:r w:rsidRPr="00A30D08">
        <w:rPr>
          <w:rFonts w:cs="Times New Roman"/>
          <w:noProof/>
        </w:rPr>
        <w:br/>
        <w:t>Inter-Am. Ct. H.R., Ser. A, No. G 101/81, (15 July, 1981)</w:t>
      </w:r>
      <w:r>
        <w:rPr>
          <w:noProof/>
        </w:rPr>
        <w:tab/>
        <w:t>12</w:t>
      </w:r>
    </w:p>
    <w:p w:rsidR="00A7760B" w:rsidRDefault="00444CA0">
      <w:pPr>
        <w:pStyle w:val="TOAHeading"/>
        <w:tabs>
          <w:tab w:val="right" w:leader="dot" w:pos="9350"/>
        </w:tabs>
        <w:rPr>
          <w:rFonts w:asciiTheme="minorHAnsi" w:eastAsiaTheme="minorEastAsia" w:hAnsiTheme="minorHAnsi" w:cstheme="minorBidi"/>
          <w:b w:val="0"/>
          <w:bCs w:val="0"/>
          <w:noProof/>
          <w:sz w:val="22"/>
          <w:szCs w:val="22"/>
        </w:rPr>
      </w:pPr>
      <w:r w:rsidRPr="00AE1663">
        <w:rPr>
          <w:rFonts w:cs="Times New Roman"/>
        </w:rPr>
        <w:fldChar w:fldCharType="end"/>
      </w:r>
      <w:r w:rsidRPr="00AE1663">
        <w:rPr>
          <w:rFonts w:cs="Times New Roman"/>
        </w:rPr>
        <w:fldChar w:fldCharType="begin"/>
      </w:r>
      <w:r w:rsidR="005928DB" w:rsidRPr="00AE1663">
        <w:rPr>
          <w:rFonts w:cs="Times New Roman"/>
        </w:rPr>
        <w:instrText xml:space="preserve"> TOA \h \c "15" \p </w:instrText>
      </w:r>
      <w:r w:rsidRPr="00AE1663">
        <w:rPr>
          <w:rFonts w:cs="Times New Roman"/>
        </w:rPr>
        <w:fldChar w:fldCharType="separate"/>
      </w:r>
      <w:r w:rsidR="00A7760B">
        <w:rPr>
          <w:noProof/>
        </w:rPr>
        <w:t>Other Commissions and Courts</w:t>
      </w:r>
    </w:p>
    <w:p w:rsidR="00A7760B" w:rsidRDefault="00A7760B">
      <w:pPr>
        <w:pStyle w:val="TableofAuthorities"/>
        <w:tabs>
          <w:tab w:val="right" w:leader="dot" w:pos="9350"/>
        </w:tabs>
        <w:rPr>
          <w:noProof/>
        </w:rPr>
      </w:pPr>
      <w:r w:rsidRPr="00480DC1">
        <w:rPr>
          <w:rFonts w:cs="Times New Roman"/>
          <w:i/>
          <w:noProof/>
        </w:rPr>
        <w:t xml:space="preserve">Joslin v. New Zealand, </w:t>
      </w:r>
      <w:r w:rsidRPr="00480DC1">
        <w:rPr>
          <w:rFonts w:cs="Times New Roman"/>
          <w:noProof/>
        </w:rPr>
        <w:t>U.N. Hum. Rts. Comm., Commc'n No. 902/1999, U.N. Doc. A/57/40 (2002)</w:t>
      </w:r>
      <w:r>
        <w:rPr>
          <w:noProof/>
        </w:rPr>
        <w:tab/>
        <w:t>15, 30, 32</w:t>
      </w:r>
    </w:p>
    <w:p w:rsidR="00A7760B" w:rsidRDefault="00444CA0">
      <w:pPr>
        <w:pStyle w:val="TOAHeading"/>
        <w:tabs>
          <w:tab w:val="right" w:leader="dot" w:pos="9350"/>
        </w:tabs>
        <w:rPr>
          <w:rFonts w:asciiTheme="minorHAnsi" w:eastAsiaTheme="minorEastAsia" w:hAnsiTheme="minorHAnsi" w:cstheme="minorBidi"/>
          <w:b w:val="0"/>
          <w:bCs w:val="0"/>
          <w:noProof/>
          <w:sz w:val="22"/>
          <w:szCs w:val="22"/>
        </w:rPr>
      </w:pPr>
      <w:r w:rsidRPr="00AE1663">
        <w:rPr>
          <w:rFonts w:cs="Times New Roman"/>
        </w:rPr>
        <w:fldChar w:fldCharType="end"/>
      </w:r>
      <w:r w:rsidRPr="00AE1663">
        <w:rPr>
          <w:rFonts w:cs="Times New Roman"/>
        </w:rPr>
        <w:fldChar w:fldCharType="begin"/>
      </w:r>
      <w:r w:rsidR="00D501B4" w:rsidRPr="00AE1663">
        <w:rPr>
          <w:rFonts w:cs="Times New Roman"/>
        </w:rPr>
        <w:instrText xml:space="preserve"> TOA \h \c "6" \p </w:instrText>
      </w:r>
      <w:r w:rsidRPr="00AE1663">
        <w:rPr>
          <w:rFonts w:cs="Times New Roman"/>
        </w:rPr>
        <w:fldChar w:fldCharType="separate"/>
      </w:r>
      <w:r w:rsidR="00A7760B">
        <w:rPr>
          <w:noProof/>
        </w:rPr>
        <w:t>European Court of Human Rights Contentious Cases</w:t>
      </w:r>
    </w:p>
    <w:p w:rsidR="00A7760B" w:rsidRDefault="00A7760B">
      <w:pPr>
        <w:pStyle w:val="TableofAuthorities"/>
        <w:tabs>
          <w:tab w:val="right" w:leader="dot" w:pos="9350"/>
        </w:tabs>
        <w:rPr>
          <w:noProof/>
        </w:rPr>
      </w:pPr>
      <w:r w:rsidRPr="006612A0">
        <w:rPr>
          <w:i/>
          <w:noProof/>
        </w:rPr>
        <w:lastRenderedPageBreak/>
        <w:t>Calogero Diana v. Italy</w:t>
      </w:r>
      <w:r>
        <w:rPr>
          <w:noProof/>
        </w:rPr>
        <w:t xml:space="preserve"> (Judgment)</w:t>
      </w:r>
      <w:r>
        <w:rPr>
          <w:noProof/>
        </w:rPr>
        <w:br/>
        <w:t>App. No. 56/1995/562/648, (15 Nov., 1996)</w:t>
      </w:r>
      <w:r>
        <w:rPr>
          <w:noProof/>
        </w:rPr>
        <w:tab/>
        <w:t>26</w:t>
      </w:r>
    </w:p>
    <w:p w:rsidR="00A7760B" w:rsidRDefault="00A7760B">
      <w:pPr>
        <w:pStyle w:val="TableofAuthorities"/>
        <w:tabs>
          <w:tab w:val="right" w:leader="dot" w:pos="9350"/>
        </w:tabs>
        <w:rPr>
          <w:noProof/>
        </w:rPr>
      </w:pPr>
      <w:r w:rsidRPr="006612A0">
        <w:rPr>
          <w:i/>
          <w:noProof/>
        </w:rPr>
        <w:t>Case of Christine Goodwin v. United Kingdom</w:t>
      </w:r>
      <w:r>
        <w:rPr>
          <w:noProof/>
        </w:rPr>
        <w:t xml:space="preserve"> (Judgment)</w:t>
      </w:r>
      <w:r>
        <w:rPr>
          <w:noProof/>
        </w:rPr>
        <w:br/>
        <w:t>App. No. 28957/95, (11 July, 2002)</w:t>
      </w:r>
      <w:r>
        <w:rPr>
          <w:noProof/>
        </w:rPr>
        <w:tab/>
        <w:t>31</w:t>
      </w:r>
    </w:p>
    <w:p w:rsidR="00A7760B" w:rsidRDefault="00A7760B">
      <w:pPr>
        <w:pStyle w:val="TableofAuthorities"/>
        <w:tabs>
          <w:tab w:val="right" w:leader="dot" w:pos="9350"/>
        </w:tabs>
        <w:rPr>
          <w:noProof/>
        </w:rPr>
      </w:pPr>
      <w:r w:rsidRPr="006612A0">
        <w:rPr>
          <w:i/>
          <w:noProof/>
        </w:rPr>
        <w:t>Case of Klass and Others v. Germany</w:t>
      </w:r>
      <w:r>
        <w:rPr>
          <w:noProof/>
        </w:rPr>
        <w:t xml:space="preserve"> (Judgment) </w:t>
      </w:r>
      <w:r>
        <w:rPr>
          <w:noProof/>
        </w:rPr>
        <w:br/>
        <w:t>App. No. 5029/71, (6 Sept., 1978)</w:t>
      </w:r>
      <w:r>
        <w:rPr>
          <w:noProof/>
        </w:rPr>
        <w:tab/>
        <w:t>26</w:t>
      </w:r>
    </w:p>
    <w:p w:rsidR="00A7760B" w:rsidRDefault="00A7760B">
      <w:pPr>
        <w:pStyle w:val="TableofAuthorities"/>
        <w:tabs>
          <w:tab w:val="right" w:leader="dot" w:pos="9350"/>
        </w:tabs>
        <w:rPr>
          <w:noProof/>
        </w:rPr>
      </w:pPr>
      <w:r w:rsidRPr="006612A0">
        <w:rPr>
          <w:rFonts w:cs="Times New Roman"/>
          <w:i/>
          <w:noProof/>
        </w:rPr>
        <w:t xml:space="preserve">Case of </w:t>
      </w:r>
      <w:r w:rsidRPr="006612A0">
        <w:rPr>
          <w:rFonts w:cs="Times New Roman"/>
          <w:i/>
          <w:iCs/>
          <w:noProof/>
        </w:rPr>
        <w:t>Schalk and Kopf v. Austria</w:t>
      </w:r>
      <w:r w:rsidRPr="006612A0">
        <w:rPr>
          <w:rFonts w:cs="Times New Roman"/>
          <w:iCs/>
          <w:noProof/>
        </w:rPr>
        <w:t xml:space="preserve"> (Judgment)</w:t>
      </w:r>
      <w:r w:rsidRPr="006612A0">
        <w:rPr>
          <w:rFonts w:cs="Times New Roman"/>
          <w:iCs/>
          <w:noProof/>
        </w:rPr>
        <w:br/>
      </w:r>
      <w:r w:rsidRPr="006612A0">
        <w:rPr>
          <w:rFonts w:cs="Times New Roman"/>
          <w:noProof/>
        </w:rPr>
        <w:t>App. No. 30141/04, (24 June 2010)</w:t>
      </w:r>
      <w:r>
        <w:rPr>
          <w:noProof/>
        </w:rPr>
        <w:tab/>
        <w:t>19</w:t>
      </w:r>
    </w:p>
    <w:p w:rsidR="00A7760B" w:rsidRDefault="00A7760B">
      <w:pPr>
        <w:pStyle w:val="TableofAuthorities"/>
        <w:tabs>
          <w:tab w:val="right" w:leader="dot" w:pos="9350"/>
        </w:tabs>
        <w:rPr>
          <w:noProof/>
        </w:rPr>
      </w:pPr>
      <w:r w:rsidRPr="006612A0">
        <w:rPr>
          <w:i/>
          <w:noProof/>
        </w:rPr>
        <w:t xml:space="preserve">Case of Van Kück v. Germany </w:t>
      </w:r>
      <w:r>
        <w:rPr>
          <w:noProof/>
        </w:rPr>
        <w:t xml:space="preserve">(Judgment) </w:t>
      </w:r>
      <w:r>
        <w:rPr>
          <w:noProof/>
        </w:rPr>
        <w:br/>
        <w:t>App. No. 35968/97, (12 June, 2003)</w:t>
      </w:r>
      <w:r>
        <w:rPr>
          <w:noProof/>
        </w:rPr>
        <w:tab/>
        <w:t>22, 23</w:t>
      </w:r>
    </w:p>
    <w:p w:rsidR="007857CF" w:rsidRPr="00AE1663" w:rsidRDefault="00444CA0" w:rsidP="00D501B4">
      <w:pPr>
        <w:pStyle w:val="TOAHeading"/>
        <w:tabs>
          <w:tab w:val="right" w:leader="dot" w:pos="9350"/>
        </w:tabs>
        <w:rPr>
          <w:rFonts w:cs="Times New Roman"/>
        </w:rPr>
      </w:pPr>
      <w:r w:rsidRPr="00AE1663">
        <w:rPr>
          <w:rFonts w:cs="Times New Roman"/>
        </w:rPr>
        <w:fldChar w:fldCharType="end"/>
      </w:r>
    </w:p>
    <w:p w:rsidR="00391EA8" w:rsidRPr="00AE1663" w:rsidRDefault="00391EA8">
      <w:pPr>
        <w:rPr>
          <w:rFonts w:ascii="Times New Roman" w:eastAsiaTheme="majorEastAsia" w:hAnsi="Times New Roman" w:cs="Times New Roman"/>
          <w:b/>
          <w:bCs/>
          <w:sz w:val="24"/>
          <w:szCs w:val="24"/>
          <w:u w:val="single"/>
        </w:rPr>
      </w:pPr>
      <w:r w:rsidRPr="00AE1663">
        <w:rPr>
          <w:rFonts w:ascii="Times New Roman" w:hAnsi="Times New Roman" w:cs="Times New Roman"/>
          <w:sz w:val="24"/>
          <w:szCs w:val="24"/>
          <w:u w:val="single"/>
        </w:rPr>
        <w:br w:type="page"/>
      </w:r>
    </w:p>
    <w:p w:rsidR="000F0BD5" w:rsidRPr="00AE1663" w:rsidRDefault="00254B14" w:rsidP="00D501B4">
      <w:pPr>
        <w:pStyle w:val="Heading1"/>
        <w:spacing w:before="0"/>
        <w:contextualSpacing/>
        <w:jc w:val="center"/>
        <w:rPr>
          <w:rFonts w:ascii="Times New Roman" w:hAnsi="Times New Roman" w:cs="Times New Roman"/>
          <w:color w:val="auto"/>
          <w:sz w:val="24"/>
          <w:szCs w:val="24"/>
          <w:u w:val="single"/>
        </w:rPr>
      </w:pPr>
      <w:bookmarkStart w:id="3" w:name="_Toc352003536"/>
      <w:r w:rsidRPr="00AE1663">
        <w:rPr>
          <w:rFonts w:ascii="Times New Roman" w:hAnsi="Times New Roman" w:cs="Times New Roman"/>
          <w:color w:val="auto"/>
          <w:sz w:val="24"/>
          <w:szCs w:val="24"/>
          <w:u w:val="single"/>
        </w:rPr>
        <w:lastRenderedPageBreak/>
        <w:t>STATEMENT OF</w:t>
      </w:r>
      <w:r w:rsidR="000F0BD5" w:rsidRPr="00AE1663">
        <w:rPr>
          <w:rFonts w:ascii="Times New Roman" w:hAnsi="Times New Roman" w:cs="Times New Roman"/>
          <w:color w:val="auto"/>
          <w:sz w:val="24"/>
          <w:szCs w:val="24"/>
          <w:u w:val="single"/>
        </w:rPr>
        <w:t xml:space="preserve"> F</w:t>
      </w:r>
      <w:r w:rsidRPr="00AE1663">
        <w:rPr>
          <w:rFonts w:ascii="Times New Roman" w:hAnsi="Times New Roman" w:cs="Times New Roman"/>
          <w:color w:val="auto"/>
          <w:sz w:val="24"/>
          <w:szCs w:val="24"/>
          <w:u w:val="single"/>
        </w:rPr>
        <w:t>ACTS</w:t>
      </w:r>
      <w:bookmarkEnd w:id="3"/>
    </w:p>
    <w:p w:rsidR="00254B14" w:rsidRPr="00AE1663" w:rsidRDefault="00254B14" w:rsidP="00254B14">
      <w:pPr>
        <w:rPr>
          <w:rFonts w:ascii="Times New Roman" w:hAnsi="Times New Roman" w:cs="Times New Roman"/>
          <w:sz w:val="24"/>
          <w:szCs w:val="24"/>
        </w:rPr>
      </w:pPr>
    </w:p>
    <w:p w:rsidR="00681316" w:rsidRPr="00AE1663" w:rsidRDefault="00681316" w:rsidP="00681316">
      <w:pPr>
        <w:autoSpaceDE w:val="0"/>
        <w:autoSpaceDN w:val="0"/>
        <w:adjustRightInd w:val="0"/>
        <w:spacing w:after="0" w:line="480" w:lineRule="auto"/>
        <w:ind w:firstLine="720"/>
        <w:rPr>
          <w:rFonts w:ascii="Times New Roman" w:hAnsi="Times New Roman" w:cs="Times New Roman"/>
          <w:bCs/>
          <w:sz w:val="24"/>
          <w:szCs w:val="24"/>
        </w:rPr>
      </w:pPr>
      <w:r w:rsidRPr="00AE1663">
        <w:rPr>
          <w:rFonts w:ascii="Times New Roman" w:hAnsi="Times New Roman" w:cs="Times New Roman"/>
          <w:bCs/>
          <w:sz w:val="24"/>
          <w:szCs w:val="24"/>
        </w:rPr>
        <w:t>Elizabetia ratified all Inter-American Human Rights instruments, including the American Convention on Human Rights (ACHR), and accepted all optional clauses without reservation on January 1, 1990.</w:t>
      </w:r>
      <w:r w:rsidRPr="00A7760B">
        <w:rPr>
          <w:rFonts w:ascii="Times New Roman" w:hAnsi="Times New Roman" w:cs="Times New Roman"/>
          <w:bCs/>
          <w:sz w:val="20"/>
          <w:szCs w:val="24"/>
          <w:vertAlign w:val="superscript"/>
        </w:rPr>
        <w:footnoteReference w:id="1"/>
      </w:r>
      <w:r w:rsidRPr="00AE1663">
        <w:rPr>
          <w:rFonts w:ascii="Times New Roman" w:hAnsi="Times New Roman" w:cs="Times New Roman"/>
          <w:bCs/>
          <w:sz w:val="24"/>
          <w:szCs w:val="24"/>
        </w:rPr>
        <w:t xml:space="preserve"> Elizabetia has been a democratic State since the adoption of its Constitution in 1960.</w:t>
      </w:r>
      <w:r w:rsidRPr="00A7760B">
        <w:rPr>
          <w:rFonts w:ascii="Times New Roman" w:hAnsi="Times New Roman" w:cs="Times New Roman"/>
          <w:bCs/>
          <w:sz w:val="20"/>
          <w:szCs w:val="24"/>
          <w:vertAlign w:val="superscript"/>
        </w:rPr>
        <w:footnoteReference w:id="2"/>
      </w:r>
      <w:r w:rsidRPr="00AE1663">
        <w:rPr>
          <w:rFonts w:ascii="Times New Roman" w:hAnsi="Times New Roman" w:cs="Times New Roman"/>
          <w:bCs/>
          <w:sz w:val="24"/>
          <w:szCs w:val="24"/>
        </w:rPr>
        <w:t xml:space="preserve"> Executive power has alternated every five years between the Conservative Pink Party, and the more liberal Blue Party.</w:t>
      </w:r>
      <w:r w:rsidRPr="00A7760B">
        <w:rPr>
          <w:rFonts w:ascii="Times New Roman" w:hAnsi="Times New Roman" w:cs="Times New Roman"/>
          <w:bCs/>
          <w:sz w:val="20"/>
          <w:szCs w:val="24"/>
          <w:vertAlign w:val="superscript"/>
        </w:rPr>
        <w:footnoteReference w:id="3"/>
      </w:r>
    </w:p>
    <w:p w:rsidR="00681316" w:rsidRPr="00AE1663" w:rsidRDefault="00681316" w:rsidP="00681316">
      <w:pPr>
        <w:autoSpaceDE w:val="0"/>
        <w:autoSpaceDN w:val="0"/>
        <w:adjustRightInd w:val="0"/>
        <w:spacing w:after="0" w:line="480" w:lineRule="auto"/>
        <w:rPr>
          <w:rFonts w:ascii="Times New Roman" w:hAnsi="Times New Roman" w:cs="Times New Roman"/>
          <w:bCs/>
          <w:sz w:val="24"/>
          <w:szCs w:val="24"/>
        </w:rPr>
      </w:pPr>
      <w:r w:rsidRPr="00AE1663">
        <w:rPr>
          <w:rFonts w:ascii="Times New Roman" w:hAnsi="Times New Roman" w:cs="Times New Roman"/>
          <w:b/>
          <w:bCs/>
          <w:sz w:val="24"/>
          <w:szCs w:val="24"/>
        </w:rPr>
        <w:tab/>
      </w:r>
      <w:r w:rsidR="00E206E7" w:rsidRPr="00AE1663">
        <w:rPr>
          <w:rFonts w:ascii="Times New Roman" w:hAnsi="Times New Roman" w:cs="Times New Roman"/>
          <w:bCs/>
          <w:sz w:val="24"/>
          <w:szCs w:val="24"/>
        </w:rPr>
        <w:t>Before</w:t>
      </w:r>
      <w:r w:rsidRPr="00AE1663">
        <w:rPr>
          <w:rFonts w:ascii="Times New Roman" w:hAnsi="Times New Roman" w:cs="Times New Roman"/>
          <w:bCs/>
          <w:sz w:val="24"/>
          <w:szCs w:val="24"/>
        </w:rPr>
        <w:t xml:space="preserve"> European colonization, Elizabetia was the ancestral home of the Granti indigenous people.</w:t>
      </w:r>
      <w:r w:rsidRPr="00A7760B">
        <w:rPr>
          <w:rFonts w:ascii="Times New Roman" w:hAnsi="Times New Roman" w:cs="Times New Roman"/>
          <w:bCs/>
          <w:sz w:val="20"/>
          <w:szCs w:val="24"/>
          <w:vertAlign w:val="superscript"/>
        </w:rPr>
        <w:footnoteReference w:id="4"/>
      </w:r>
      <w:r w:rsidRPr="00AE1663">
        <w:rPr>
          <w:rFonts w:ascii="Times New Roman" w:hAnsi="Times New Roman" w:cs="Times New Roman"/>
          <w:bCs/>
          <w:sz w:val="24"/>
          <w:szCs w:val="24"/>
        </w:rPr>
        <w:t xml:space="preserve"> The Grantis occupied all of Elizabetia, but lived mainly in the southeastern region.</w:t>
      </w:r>
      <w:r w:rsidRPr="00A7760B">
        <w:rPr>
          <w:rFonts w:ascii="Times New Roman" w:hAnsi="Times New Roman" w:cs="Times New Roman"/>
          <w:bCs/>
          <w:sz w:val="20"/>
          <w:szCs w:val="24"/>
          <w:vertAlign w:val="superscript"/>
        </w:rPr>
        <w:footnoteReference w:id="5"/>
      </w:r>
      <w:r w:rsidRPr="00AE1663">
        <w:rPr>
          <w:rFonts w:ascii="Times New Roman" w:hAnsi="Times New Roman" w:cs="Times New Roman"/>
          <w:bCs/>
          <w:sz w:val="24"/>
          <w:szCs w:val="24"/>
        </w:rPr>
        <w:t xml:space="preserve"> </w:t>
      </w:r>
      <w:r w:rsidR="00E206E7" w:rsidRPr="00AE1663">
        <w:rPr>
          <w:rFonts w:ascii="Times New Roman" w:hAnsi="Times New Roman" w:cs="Times New Roman"/>
          <w:bCs/>
          <w:sz w:val="24"/>
          <w:szCs w:val="24"/>
        </w:rPr>
        <w:t>Granti’Itna, a supreme deity worshipped by the Grantis, who was born as a man and died as a woman, was ideal because of this transformation.</w:t>
      </w:r>
      <w:r w:rsidR="00E206E7" w:rsidRPr="00A7760B">
        <w:rPr>
          <w:rFonts w:ascii="Times New Roman" w:hAnsi="Times New Roman" w:cs="Times New Roman"/>
          <w:bCs/>
          <w:sz w:val="20"/>
          <w:szCs w:val="24"/>
          <w:vertAlign w:val="superscript"/>
        </w:rPr>
        <w:footnoteReference w:id="6"/>
      </w:r>
    </w:p>
    <w:p w:rsidR="00681316" w:rsidRPr="00AE1663" w:rsidRDefault="00681316" w:rsidP="00681316">
      <w:pPr>
        <w:tabs>
          <w:tab w:val="left" w:pos="360"/>
        </w:tabs>
        <w:autoSpaceDE w:val="0"/>
        <w:autoSpaceDN w:val="0"/>
        <w:adjustRightInd w:val="0"/>
        <w:spacing w:after="0" w:line="480" w:lineRule="auto"/>
        <w:rPr>
          <w:rFonts w:ascii="Times New Roman" w:hAnsi="Times New Roman" w:cs="Times New Roman"/>
          <w:bCs/>
          <w:sz w:val="24"/>
          <w:szCs w:val="24"/>
        </w:rPr>
      </w:pPr>
      <w:r w:rsidRPr="00AE1663">
        <w:rPr>
          <w:rFonts w:ascii="Times New Roman" w:hAnsi="Times New Roman" w:cs="Times New Roman"/>
          <w:bCs/>
          <w:sz w:val="24"/>
          <w:szCs w:val="24"/>
        </w:rPr>
        <w:tab/>
        <w:t>Fernando Caceres studied the Granti people from 1505 to 1509.</w:t>
      </w:r>
      <w:r w:rsidRPr="00A7760B">
        <w:rPr>
          <w:rFonts w:ascii="Times New Roman" w:hAnsi="Times New Roman" w:cs="Times New Roman"/>
          <w:bCs/>
          <w:sz w:val="20"/>
          <w:szCs w:val="24"/>
          <w:vertAlign w:val="superscript"/>
        </w:rPr>
        <w:footnoteReference w:id="7"/>
      </w:r>
      <w:r w:rsidRPr="00AE1663">
        <w:rPr>
          <w:rFonts w:ascii="Times New Roman" w:hAnsi="Times New Roman" w:cs="Times New Roman"/>
          <w:bCs/>
          <w:sz w:val="24"/>
          <w:szCs w:val="24"/>
        </w:rPr>
        <w:t xml:space="preserve"> His journals chronicle ceremonial worship of sexual transformation, without specific reference to marriage or unions between people of the same sex.</w:t>
      </w:r>
      <w:r w:rsidRPr="00A7760B">
        <w:rPr>
          <w:rFonts w:ascii="Times New Roman" w:hAnsi="Times New Roman" w:cs="Times New Roman"/>
          <w:bCs/>
          <w:sz w:val="20"/>
          <w:szCs w:val="24"/>
          <w:vertAlign w:val="superscript"/>
        </w:rPr>
        <w:footnoteReference w:id="8"/>
      </w:r>
      <w:r w:rsidRPr="00AE1663">
        <w:rPr>
          <w:rFonts w:ascii="Times New Roman" w:hAnsi="Times New Roman" w:cs="Times New Roman"/>
          <w:bCs/>
          <w:sz w:val="24"/>
          <w:szCs w:val="24"/>
        </w:rPr>
        <w:t xml:space="preserve"> Colonial elites considered Granti customs </w:t>
      </w:r>
      <w:r w:rsidR="00990BA6" w:rsidRPr="00AE1663">
        <w:rPr>
          <w:rFonts w:ascii="Times New Roman" w:hAnsi="Times New Roman" w:cs="Times New Roman"/>
          <w:bCs/>
          <w:sz w:val="24"/>
          <w:szCs w:val="24"/>
        </w:rPr>
        <w:t>barbaric</w:t>
      </w:r>
      <w:r w:rsidRPr="00AE1663">
        <w:rPr>
          <w:rFonts w:ascii="Times New Roman" w:hAnsi="Times New Roman" w:cs="Times New Roman"/>
          <w:bCs/>
          <w:sz w:val="24"/>
          <w:szCs w:val="24"/>
        </w:rPr>
        <w:t xml:space="preserve"> and immoral.</w:t>
      </w:r>
      <w:r w:rsidRPr="00A7760B">
        <w:rPr>
          <w:rFonts w:ascii="Times New Roman" w:hAnsi="Times New Roman" w:cs="Times New Roman"/>
          <w:bCs/>
          <w:sz w:val="20"/>
          <w:szCs w:val="24"/>
          <w:vertAlign w:val="superscript"/>
        </w:rPr>
        <w:footnoteReference w:id="9"/>
      </w:r>
      <w:r w:rsidRPr="00AE1663">
        <w:rPr>
          <w:rFonts w:ascii="Times New Roman" w:hAnsi="Times New Roman" w:cs="Times New Roman"/>
          <w:bCs/>
          <w:sz w:val="24"/>
          <w:szCs w:val="24"/>
        </w:rPr>
        <w:t xml:space="preserve"> Over time, Granti culture and language disappeared, though many aspects have been assimilated into the Elizabetian culture.</w:t>
      </w:r>
      <w:r w:rsidRPr="00A7760B">
        <w:rPr>
          <w:rFonts w:ascii="Times New Roman" w:hAnsi="Times New Roman" w:cs="Times New Roman"/>
          <w:bCs/>
          <w:sz w:val="20"/>
          <w:szCs w:val="24"/>
          <w:vertAlign w:val="superscript"/>
        </w:rPr>
        <w:footnoteReference w:id="10"/>
      </w:r>
      <w:r w:rsidRPr="00AE1663">
        <w:rPr>
          <w:rFonts w:ascii="Times New Roman" w:hAnsi="Times New Roman" w:cs="Times New Roman"/>
          <w:bCs/>
          <w:sz w:val="24"/>
          <w:szCs w:val="24"/>
        </w:rPr>
        <w:t xml:space="preserve"> Inhabitants of the southeast provinces maintain agrarian practices passed down by their Granti descendants,</w:t>
      </w:r>
      <w:r w:rsidRPr="00A7760B">
        <w:rPr>
          <w:rFonts w:ascii="Times New Roman" w:hAnsi="Times New Roman" w:cs="Times New Roman"/>
          <w:bCs/>
          <w:sz w:val="20"/>
          <w:szCs w:val="24"/>
          <w:vertAlign w:val="superscript"/>
        </w:rPr>
        <w:footnoteReference w:id="11"/>
      </w:r>
      <w:r w:rsidRPr="00AE1663">
        <w:rPr>
          <w:rFonts w:ascii="Times New Roman" w:hAnsi="Times New Roman" w:cs="Times New Roman"/>
          <w:bCs/>
          <w:sz w:val="24"/>
          <w:szCs w:val="24"/>
        </w:rPr>
        <w:t xml:space="preserve"> and often live under the dominance of descendants of aristocrats.</w:t>
      </w:r>
      <w:r w:rsidRPr="00A7760B">
        <w:rPr>
          <w:rFonts w:ascii="Times New Roman" w:hAnsi="Times New Roman" w:cs="Times New Roman"/>
          <w:bCs/>
          <w:sz w:val="20"/>
          <w:szCs w:val="24"/>
          <w:vertAlign w:val="superscript"/>
        </w:rPr>
        <w:footnoteReference w:id="12"/>
      </w:r>
    </w:p>
    <w:p w:rsidR="00681316" w:rsidRPr="00AE1663" w:rsidRDefault="00681316" w:rsidP="00681316">
      <w:pPr>
        <w:spacing w:after="0" w:line="480" w:lineRule="auto"/>
        <w:rPr>
          <w:rFonts w:ascii="Times New Roman" w:hAnsi="Times New Roman" w:cs="Times New Roman"/>
          <w:bCs/>
          <w:sz w:val="24"/>
          <w:szCs w:val="24"/>
        </w:rPr>
      </w:pPr>
      <w:r w:rsidRPr="00AE1663">
        <w:rPr>
          <w:rFonts w:ascii="Times New Roman" w:hAnsi="Times New Roman" w:cs="Times New Roman"/>
          <w:bCs/>
          <w:sz w:val="24"/>
          <w:szCs w:val="24"/>
        </w:rPr>
        <w:lastRenderedPageBreak/>
        <w:tab/>
        <w:t>Elizabetia adopted its Constitution after the victorious faction of the final civil war created the Constituent Assembly.</w:t>
      </w:r>
      <w:r w:rsidRPr="00A7760B">
        <w:rPr>
          <w:rFonts w:ascii="Times New Roman" w:hAnsi="Times New Roman" w:cs="Times New Roman"/>
          <w:bCs/>
          <w:sz w:val="20"/>
          <w:szCs w:val="24"/>
          <w:vertAlign w:val="superscript"/>
        </w:rPr>
        <w:footnoteReference w:id="13"/>
      </w:r>
      <w:r w:rsidRPr="00AE1663">
        <w:rPr>
          <w:rFonts w:ascii="Times New Roman" w:hAnsi="Times New Roman" w:cs="Times New Roman"/>
          <w:bCs/>
          <w:sz w:val="24"/>
          <w:szCs w:val="24"/>
        </w:rPr>
        <w:t xml:space="preserve"> This Constitution establishes many important legal definitions and rights, including a definition for a marriage and domestic partnership, right to family, the right to equality and nondiscrimination, and an unconstitutionality action for the possible removal of a defective provision in the legal system.</w:t>
      </w:r>
      <w:r w:rsidRPr="00A7760B">
        <w:rPr>
          <w:rFonts w:ascii="Times New Roman" w:hAnsi="Times New Roman" w:cs="Times New Roman"/>
          <w:bCs/>
          <w:sz w:val="20"/>
          <w:szCs w:val="24"/>
          <w:vertAlign w:val="superscript"/>
        </w:rPr>
        <w:footnoteReference w:id="14"/>
      </w:r>
      <w:r w:rsidRPr="00AE1663">
        <w:rPr>
          <w:rFonts w:ascii="Times New Roman" w:hAnsi="Times New Roman" w:cs="Times New Roman"/>
          <w:bCs/>
          <w:sz w:val="24"/>
          <w:szCs w:val="24"/>
        </w:rPr>
        <w:t xml:space="preserve"> In 2010, the legislature made respective changes, considering the phrase “between a man and a woman,” in regards to domestic partnerships upon a finding that existing laws in this area were unconstitutional.</w:t>
      </w:r>
      <w:r w:rsidRPr="00A7760B">
        <w:rPr>
          <w:rFonts w:ascii="Times New Roman" w:hAnsi="Times New Roman" w:cs="Times New Roman"/>
          <w:bCs/>
          <w:sz w:val="20"/>
          <w:szCs w:val="24"/>
          <w:vertAlign w:val="superscript"/>
        </w:rPr>
        <w:footnoteReference w:id="15"/>
      </w:r>
      <w:r w:rsidRPr="00AE1663">
        <w:rPr>
          <w:rFonts w:ascii="Times New Roman" w:hAnsi="Times New Roman" w:cs="Times New Roman"/>
          <w:bCs/>
          <w:sz w:val="24"/>
          <w:szCs w:val="24"/>
        </w:rPr>
        <w:t xml:space="preserve"> If two individuals can prove, with suitable evidence, uninterrupted cohabitation for at least five years, it would constitute a domestic partnership.</w:t>
      </w:r>
      <w:r w:rsidRPr="00A7760B">
        <w:rPr>
          <w:rFonts w:ascii="Times New Roman" w:hAnsi="Times New Roman" w:cs="Times New Roman"/>
          <w:bCs/>
          <w:sz w:val="20"/>
          <w:szCs w:val="24"/>
          <w:vertAlign w:val="superscript"/>
        </w:rPr>
        <w:footnoteReference w:id="16"/>
      </w:r>
      <w:r w:rsidRPr="00AE1663">
        <w:rPr>
          <w:rFonts w:ascii="Times New Roman" w:hAnsi="Times New Roman" w:cs="Times New Roman"/>
          <w:bCs/>
          <w:sz w:val="24"/>
          <w:szCs w:val="24"/>
        </w:rPr>
        <w:t xml:space="preserve"> A domestic partnership has all of the effects of a married couple, with the exception that they are not authorized to jointly adopt.</w:t>
      </w:r>
      <w:r w:rsidRPr="00A7760B">
        <w:rPr>
          <w:rFonts w:ascii="Times New Roman" w:hAnsi="Times New Roman" w:cs="Times New Roman"/>
          <w:bCs/>
          <w:sz w:val="20"/>
          <w:szCs w:val="24"/>
          <w:vertAlign w:val="superscript"/>
        </w:rPr>
        <w:footnoteReference w:id="17"/>
      </w:r>
    </w:p>
    <w:p w:rsidR="00681316" w:rsidRPr="00AE1663" w:rsidRDefault="00681316" w:rsidP="00681316">
      <w:pPr>
        <w:autoSpaceDE w:val="0"/>
        <w:autoSpaceDN w:val="0"/>
        <w:adjustRightInd w:val="0"/>
        <w:spacing w:after="0" w:line="480" w:lineRule="auto"/>
        <w:rPr>
          <w:rFonts w:ascii="Times New Roman" w:hAnsi="Times New Roman" w:cs="Times New Roman"/>
          <w:bCs/>
          <w:sz w:val="24"/>
          <w:szCs w:val="24"/>
        </w:rPr>
      </w:pPr>
      <w:r w:rsidRPr="00AE1663">
        <w:rPr>
          <w:rFonts w:ascii="Times New Roman" w:hAnsi="Times New Roman" w:cs="Times New Roman"/>
          <w:b/>
          <w:bCs/>
          <w:sz w:val="24"/>
          <w:szCs w:val="24"/>
        </w:rPr>
        <w:tab/>
      </w:r>
      <w:r w:rsidRPr="00AE1663">
        <w:rPr>
          <w:rFonts w:ascii="Times New Roman" w:hAnsi="Times New Roman" w:cs="Times New Roman"/>
          <w:bCs/>
          <w:sz w:val="24"/>
          <w:szCs w:val="24"/>
        </w:rPr>
        <w:t>Serafin Conejo Gallo was born male in the Southeast of Elizabetia, where her family worked as farm workers for the de la Goblana de Atelo family, descendants of the aristocracy.</w:t>
      </w:r>
      <w:r w:rsidRPr="00A7760B">
        <w:rPr>
          <w:rFonts w:ascii="Times New Roman" w:hAnsi="Times New Roman" w:cs="Times New Roman"/>
          <w:bCs/>
          <w:sz w:val="20"/>
          <w:szCs w:val="24"/>
          <w:vertAlign w:val="superscript"/>
        </w:rPr>
        <w:footnoteReference w:id="18"/>
      </w:r>
      <w:r w:rsidRPr="00AE1663">
        <w:rPr>
          <w:rFonts w:ascii="Times New Roman" w:hAnsi="Times New Roman" w:cs="Times New Roman"/>
          <w:bCs/>
          <w:sz w:val="24"/>
          <w:szCs w:val="24"/>
        </w:rPr>
        <w:t xml:space="preserve"> Serafin exhibited feminine behavior from a young age. At eleven years old, Serafin’s teacher and Mrs. De la Goblana felt that due to their “Indian” roots, her parents tolerated Serafin’s perverse behavior.</w:t>
      </w:r>
      <w:r w:rsidRPr="00A7760B">
        <w:rPr>
          <w:rFonts w:ascii="Times New Roman" w:hAnsi="Times New Roman" w:cs="Times New Roman"/>
          <w:bCs/>
          <w:sz w:val="20"/>
          <w:szCs w:val="24"/>
          <w:vertAlign w:val="superscript"/>
        </w:rPr>
        <w:footnoteReference w:id="19"/>
      </w:r>
      <w:r w:rsidRPr="00AE1663">
        <w:rPr>
          <w:rFonts w:ascii="Times New Roman" w:hAnsi="Times New Roman" w:cs="Times New Roman"/>
          <w:bCs/>
          <w:sz w:val="24"/>
          <w:szCs w:val="24"/>
        </w:rPr>
        <w:t xml:space="preserve"> Child Protective Services accused Serafin’s parents for refusing to let go of the barbaric Granti values, and removed Serafin from their custody.</w:t>
      </w:r>
      <w:r w:rsidRPr="00A7760B">
        <w:rPr>
          <w:rFonts w:ascii="Times New Roman" w:hAnsi="Times New Roman" w:cs="Times New Roman"/>
          <w:bCs/>
          <w:sz w:val="20"/>
          <w:szCs w:val="24"/>
          <w:vertAlign w:val="superscript"/>
        </w:rPr>
        <w:footnoteReference w:id="20"/>
      </w:r>
      <w:r w:rsidRPr="00AE1663">
        <w:rPr>
          <w:rFonts w:ascii="Times New Roman" w:hAnsi="Times New Roman" w:cs="Times New Roman"/>
          <w:bCs/>
          <w:sz w:val="24"/>
          <w:szCs w:val="24"/>
        </w:rPr>
        <w:t xml:space="preserve"> Serafin was placed at an abandoned Youth Center where fellow detainees and custodians repeatedly raped her.</w:t>
      </w:r>
      <w:r w:rsidRPr="00A7760B">
        <w:rPr>
          <w:rFonts w:ascii="Times New Roman" w:hAnsi="Times New Roman" w:cs="Times New Roman"/>
          <w:bCs/>
          <w:sz w:val="20"/>
          <w:szCs w:val="24"/>
          <w:vertAlign w:val="superscript"/>
        </w:rPr>
        <w:footnoteReference w:id="21"/>
      </w:r>
      <w:r w:rsidRPr="00AE1663">
        <w:rPr>
          <w:rFonts w:ascii="Times New Roman" w:hAnsi="Times New Roman" w:cs="Times New Roman"/>
          <w:bCs/>
          <w:sz w:val="24"/>
          <w:szCs w:val="24"/>
        </w:rPr>
        <w:t xml:space="preserve"> </w:t>
      </w:r>
    </w:p>
    <w:p w:rsidR="00681316" w:rsidRPr="00AE1663" w:rsidRDefault="00E206E7" w:rsidP="00681316">
      <w:pPr>
        <w:autoSpaceDE w:val="0"/>
        <w:autoSpaceDN w:val="0"/>
        <w:adjustRightInd w:val="0"/>
        <w:spacing w:after="0" w:line="480" w:lineRule="auto"/>
        <w:rPr>
          <w:rFonts w:ascii="Times New Roman" w:hAnsi="Times New Roman" w:cs="Times New Roman"/>
          <w:bCs/>
          <w:sz w:val="24"/>
          <w:szCs w:val="24"/>
        </w:rPr>
      </w:pPr>
      <w:r w:rsidRPr="00AE1663">
        <w:rPr>
          <w:rFonts w:ascii="Times New Roman" w:hAnsi="Times New Roman" w:cs="Times New Roman"/>
          <w:bCs/>
          <w:sz w:val="24"/>
          <w:szCs w:val="24"/>
        </w:rPr>
        <w:lastRenderedPageBreak/>
        <w:tab/>
        <w:t>When Serafin was sixteen</w:t>
      </w:r>
      <w:r w:rsidR="00681316" w:rsidRPr="00AE1663">
        <w:rPr>
          <w:rFonts w:ascii="Times New Roman" w:hAnsi="Times New Roman" w:cs="Times New Roman"/>
          <w:bCs/>
          <w:sz w:val="24"/>
          <w:szCs w:val="24"/>
        </w:rPr>
        <w:t>, became a prostitute under the name Serafina, and underwent several operations to relinquish her male identity.</w:t>
      </w:r>
      <w:r w:rsidR="00681316" w:rsidRPr="00A7760B">
        <w:rPr>
          <w:rFonts w:ascii="Times New Roman" w:hAnsi="Times New Roman" w:cs="Times New Roman"/>
          <w:bCs/>
          <w:sz w:val="20"/>
          <w:szCs w:val="24"/>
          <w:vertAlign w:val="superscript"/>
        </w:rPr>
        <w:footnoteReference w:id="22"/>
      </w:r>
      <w:r w:rsidR="00681316" w:rsidRPr="00AE1663">
        <w:rPr>
          <w:rFonts w:ascii="Times New Roman" w:hAnsi="Times New Roman" w:cs="Times New Roman"/>
          <w:bCs/>
          <w:sz w:val="24"/>
          <w:szCs w:val="24"/>
        </w:rPr>
        <w:t xml:space="preserve"> In 1990, Serafina started the Mariposa movement, an informal organization to engage in activism, education, and training in light of the HIV-AIDS pandemic.</w:t>
      </w:r>
      <w:r w:rsidR="00681316" w:rsidRPr="00A7760B">
        <w:rPr>
          <w:rFonts w:ascii="Times New Roman" w:hAnsi="Times New Roman" w:cs="Times New Roman"/>
          <w:bCs/>
          <w:sz w:val="20"/>
          <w:szCs w:val="24"/>
          <w:vertAlign w:val="superscript"/>
        </w:rPr>
        <w:footnoteReference w:id="23"/>
      </w:r>
      <w:r w:rsidR="00681316" w:rsidRPr="00AE1663">
        <w:rPr>
          <w:rFonts w:ascii="Times New Roman" w:hAnsi="Times New Roman" w:cs="Times New Roman"/>
          <w:bCs/>
          <w:sz w:val="24"/>
          <w:szCs w:val="24"/>
        </w:rPr>
        <w:t xml:space="preserve"> From 1993 to 1999, Serafina sought to gain acknowledgement of her name and identity as a woman, but was unable to gain this recognition through the Offices of Vital Records and the Constitutional Chamber of the Supreme Court.</w:t>
      </w:r>
      <w:r w:rsidR="00681316" w:rsidRPr="00A7760B">
        <w:rPr>
          <w:rFonts w:ascii="Times New Roman" w:hAnsi="Times New Roman" w:cs="Times New Roman"/>
          <w:bCs/>
          <w:sz w:val="20"/>
          <w:szCs w:val="24"/>
          <w:vertAlign w:val="superscript"/>
        </w:rPr>
        <w:footnoteReference w:id="24"/>
      </w:r>
    </w:p>
    <w:p w:rsidR="00681316" w:rsidRPr="00AE1663" w:rsidRDefault="00681316" w:rsidP="00681316">
      <w:pPr>
        <w:autoSpaceDE w:val="0"/>
        <w:autoSpaceDN w:val="0"/>
        <w:adjustRightInd w:val="0"/>
        <w:spacing w:after="0" w:line="480" w:lineRule="auto"/>
        <w:rPr>
          <w:rFonts w:ascii="Times New Roman" w:hAnsi="Times New Roman" w:cs="Times New Roman"/>
          <w:bCs/>
          <w:sz w:val="24"/>
          <w:szCs w:val="24"/>
        </w:rPr>
      </w:pPr>
      <w:r w:rsidRPr="00AE1663">
        <w:rPr>
          <w:rFonts w:ascii="Times New Roman" w:hAnsi="Times New Roman" w:cs="Times New Roman"/>
          <w:bCs/>
          <w:sz w:val="24"/>
          <w:szCs w:val="24"/>
        </w:rPr>
        <w:tab/>
        <w:t>In 2000, Serafina filed an individual petition before the Commission for Elizabetia’s refusal to recognize her gender identity as a female.</w:t>
      </w:r>
      <w:r w:rsidRPr="00A7760B">
        <w:rPr>
          <w:rFonts w:ascii="Times New Roman" w:hAnsi="Times New Roman" w:cs="Times New Roman"/>
          <w:bCs/>
          <w:sz w:val="20"/>
          <w:szCs w:val="24"/>
          <w:vertAlign w:val="superscript"/>
        </w:rPr>
        <w:footnoteReference w:id="25"/>
      </w:r>
      <w:r w:rsidRPr="00AE1663">
        <w:rPr>
          <w:rFonts w:ascii="Times New Roman" w:hAnsi="Times New Roman" w:cs="Times New Roman"/>
          <w:bCs/>
          <w:sz w:val="24"/>
          <w:szCs w:val="24"/>
        </w:rPr>
        <w:t xml:space="preserve"> The Commission issued a report on 10 March, 2005, finding Elizabetia in violation of Articles under the ACHR.</w:t>
      </w:r>
      <w:r w:rsidRPr="00A7760B">
        <w:rPr>
          <w:rFonts w:ascii="Times New Roman" w:hAnsi="Times New Roman" w:cs="Times New Roman"/>
          <w:bCs/>
          <w:sz w:val="20"/>
          <w:szCs w:val="24"/>
          <w:vertAlign w:val="superscript"/>
        </w:rPr>
        <w:footnoteReference w:id="26"/>
      </w:r>
      <w:r w:rsidRPr="00AE1663">
        <w:rPr>
          <w:rFonts w:ascii="Times New Roman" w:hAnsi="Times New Roman" w:cs="Times New Roman"/>
          <w:bCs/>
          <w:sz w:val="24"/>
          <w:szCs w:val="24"/>
        </w:rPr>
        <w:t xml:space="preserve"> </w:t>
      </w:r>
    </w:p>
    <w:p w:rsidR="00681316" w:rsidRPr="00AE1663" w:rsidRDefault="00681316" w:rsidP="00681316">
      <w:pPr>
        <w:autoSpaceDE w:val="0"/>
        <w:autoSpaceDN w:val="0"/>
        <w:adjustRightInd w:val="0"/>
        <w:spacing w:after="0" w:line="480" w:lineRule="auto"/>
        <w:rPr>
          <w:rFonts w:ascii="Times New Roman" w:hAnsi="Times New Roman" w:cs="Times New Roman"/>
          <w:bCs/>
          <w:sz w:val="24"/>
          <w:szCs w:val="24"/>
        </w:rPr>
      </w:pPr>
      <w:r w:rsidRPr="00AE1663">
        <w:rPr>
          <w:rFonts w:ascii="Times New Roman" w:hAnsi="Times New Roman" w:cs="Times New Roman"/>
          <w:bCs/>
          <w:sz w:val="24"/>
          <w:szCs w:val="24"/>
        </w:rPr>
        <w:tab/>
        <w:t>Following elections in December 2005, President Marcela Aldana de Zambrano of the Blue Party declared full compliance with the recommendations from the Commission Report.</w:t>
      </w:r>
      <w:r w:rsidRPr="00A7760B">
        <w:rPr>
          <w:rFonts w:ascii="Times New Roman" w:hAnsi="Times New Roman" w:cs="Times New Roman"/>
          <w:bCs/>
          <w:sz w:val="20"/>
          <w:szCs w:val="24"/>
          <w:vertAlign w:val="superscript"/>
        </w:rPr>
        <w:footnoteReference w:id="27"/>
      </w:r>
      <w:r w:rsidRPr="00AE1663">
        <w:rPr>
          <w:rFonts w:ascii="Times New Roman" w:hAnsi="Times New Roman" w:cs="Times New Roman"/>
          <w:bCs/>
          <w:sz w:val="24"/>
          <w:szCs w:val="24"/>
        </w:rPr>
        <w:t xml:space="preserve"> In apologizing to Serafina, President Zambrano implemented the Gender Identity Act advocated by Mariposa for the social inclusion of trans-gender women in Elizabetia, with Serafina being the first trans-gender woman in Elizabetia to obtain recognition of her identity.</w:t>
      </w:r>
      <w:r w:rsidRPr="00A7760B">
        <w:rPr>
          <w:rFonts w:ascii="Times New Roman" w:hAnsi="Times New Roman" w:cs="Times New Roman"/>
          <w:bCs/>
          <w:sz w:val="20"/>
          <w:szCs w:val="24"/>
          <w:vertAlign w:val="superscript"/>
        </w:rPr>
        <w:footnoteReference w:id="28"/>
      </w:r>
      <w:r w:rsidRPr="00AE1663">
        <w:rPr>
          <w:rFonts w:ascii="Times New Roman" w:hAnsi="Times New Roman" w:cs="Times New Roman"/>
          <w:bCs/>
          <w:sz w:val="24"/>
          <w:szCs w:val="24"/>
        </w:rPr>
        <w:t xml:space="preserve">  </w:t>
      </w:r>
    </w:p>
    <w:p w:rsidR="00681316" w:rsidRPr="00AE1663" w:rsidRDefault="00681316" w:rsidP="00681316">
      <w:pPr>
        <w:autoSpaceDE w:val="0"/>
        <w:autoSpaceDN w:val="0"/>
        <w:adjustRightInd w:val="0"/>
        <w:spacing w:after="0" w:line="480" w:lineRule="auto"/>
        <w:rPr>
          <w:rFonts w:ascii="Times New Roman" w:hAnsi="Times New Roman" w:cs="Times New Roman"/>
          <w:bCs/>
          <w:sz w:val="24"/>
          <w:szCs w:val="24"/>
        </w:rPr>
      </w:pPr>
      <w:r w:rsidRPr="00AE1663">
        <w:rPr>
          <w:rFonts w:ascii="Times New Roman" w:hAnsi="Times New Roman" w:cs="Times New Roman"/>
          <w:b/>
          <w:bCs/>
          <w:sz w:val="24"/>
          <w:szCs w:val="24"/>
        </w:rPr>
        <w:tab/>
      </w:r>
      <w:r w:rsidRPr="00AE1663">
        <w:rPr>
          <w:rFonts w:ascii="Times New Roman" w:hAnsi="Times New Roman" w:cs="Times New Roman"/>
          <w:bCs/>
          <w:sz w:val="24"/>
          <w:szCs w:val="24"/>
        </w:rPr>
        <w:t>In January 2010, newly elected Pink Party candidate, Antonio de la Goblana del Atelo, stated in his inaugural address that there would be no discrimination against any man or woman, but that the sacred institution of marriage would not be sacrificed.</w:t>
      </w:r>
      <w:r w:rsidRPr="00A7760B">
        <w:rPr>
          <w:rFonts w:ascii="Times New Roman" w:hAnsi="Times New Roman" w:cs="Times New Roman"/>
          <w:bCs/>
          <w:sz w:val="20"/>
          <w:szCs w:val="24"/>
          <w:vertAlign w:val="superscript"/>
        </w:rPr>
        <w:footnoteReference w:id="29"/>
      </w:r>
      <w:r w:rsidRPr="00AE1663">
        <w:rPr>
          <w:rFonts w:ascii="Times New Roman" w:hAnsi="Times New Roman" w:cs="Times New Roman"/>
          <w:bCs/>
          <w:sz w:val="24"/>
          <w:szCs w:val="24"/>
        </w:rPr>
        <w:t xml:space="preserve"> A public opinion poll, administered by the private company </w:t>
      </w:r>
      <w:r w:rsidRPr="00AE1663">
        <w:rPr>
          <w:rFonts w:ascii="Times New Roman" w:hAnsi="Times New Roman" w:cs="Times New Roman"/>
          <w:bCs/>
          <w:i/>
          <w:sz w:val="24"/>
          <w:szCs w:val="24"/>
        </w:rPr>
        <w:t>Consultex</w:t>
      </w:r>
      <w:r w:rsidRPr="00AE1663">
        <w:rPr>
          <w:rFonts w:ascii="Times New Roman" w:hAnsi="Times New Roman" w:cs="Times New Roman"/>
          <w:bCs/>
          <w:sz w:val="24"/>
          <w:szCs w:val="24"/>
        </w:rPr>
        <w:t xml:space="preserve">, showed that 59% of Elizabetians approved of domestic partnerships between same sex couples, but that 76% disapproved of its being equal to </w:t>
      </w:r>
      <w:r w:rsidRPr="00AE1663">
        <w:rPr>
          <w:rFonts w:ascii="Times New Roman" w:hAnsi="Times New Roman" w:cs="Times New Roman"/>
          <w:bCs/>
          <w:sz w:val="24"/>
          <w:szCs w:val="24"/>
        </w:rPr>
        <w:lastRenderedPageBreak/>
        <w:t>marriage.</w:t>
      </w:r>
      <w:r w:rsidRPr="00A7760B">
        <w:rPr>
          <w:rFonts w:ascii="Times New Roman" w:hAnsi="Times New Roman" w:cs="Times New Roman"/>
          <w:bCs/>
          <w:sz w:val="20"/>
          <w:szCs w:val="24"/>
          <w:vertAlign w:val="superscript"/>
        </w:rPr>
        <w:footnoteReference w:id="30"/>
      </w:r>
      <w:r w:rsidRPr="00AE1663">
        <w:rPr>
          <w:rFonts w:ascii="Times New Roman" w:hAnsi="Times New Roman" w:cs="Times New Roman"/>
          <w:bCs/>
          <w:sz w:val="24"/>
          <w:szCs w:val="24"/>
        </w:rPr>
        <w:t xml:space="preserve"> Civil society and academia have both broadly accepted this poll as an accurate reflection of the social perceptions in Elizabetia.</w:t>
      </w:r>
      <w:r w:rsidRPr="00A7760B">
        <w:rPr>
          <w:rFonts w:ascii="Times New Roman" w:hAnsi="Times New Roman" w:cs="Times New Roman"/>
          <w:bCs/>
          <w:sz w:val="20"/>
          <w:szCs w:val="24"/>
          <w:vertAlign w:val="superscript"/>
        </w:rPr>
        <w:footnoteReference w:id="31"/>
      </w:r>
      <w:r w:rsidRPr="00AE1663">
        <w:rPr>
          <w:rFonts w:ascii="Times New Roman" w:hAnsi="Times New Roman" w:cs="Times New Roman"/>
          <w:bCs/>
          <w:sz w:val="24"/>
          <w:szCs w:val="24"/>
        </w:rPr>
        <w:t xml:space="preserve"> </w:t>
      </w:r>
    </w:p>
    <w:p w:rsidR="00681316" w:rsidRPr="00AE1663" w:rsidRDefault="00681316" w:rsidP="00681316">
      <w:pPr>
        <w:autoSpaceDE w:val="0"/>
        <w:autoSpaceDN w:val="0"/>
        <w:adjustRightInd w:val="0"/>
        <w:spacing w:after="0" w:line="480" w:lineRule="auto"/>
        <w:rPr>
          <w:rFonts w:ascii="Times New Roman" w:hAnsi="Times New Roman" w:cs="Times New Roman"/>
          <w:bCs/>
          <w:sz w:val="24"/>
          <w:szCs w:val="24"/>
        </w:rPr>
      </w:pPr>
      <w:r w:rsidRPr="00AE1663">
        <w:rPr>
          <w:rFonts w:ascii="Times New Roman" w:hAnsi="Times New Roman" w:cs="Times New Roman"/>
          <w:bCs/>
          <w:sz w:val="24"/>
          <w:szCs w:val="24"/>
        </w:rPr>
        <w:tab/>
        <w:t>In 2010, Serafina began a romantic relationship with Adriana Timor, and after living together for a year, the two women decided to get married.</w:t>
      </w:r>
      <w:r w:rsidRPr="00A7760B">
        <w:rPr>
          <w:rFonts w:ascii="Times New Roman" w:hAnsi="Times New Roman" w:cs="Times New Roman"/>
          <w:bCs/>
          <w:sz w:val="20"/>
          <w:szCs w:val="24"/>
          <w:vertAlign w:val="superscript"/>
        </w:rPr>
        <w:footnoteReference w:id="32"/>
      </w:r>
      <w:r w:rsidRPr="00AE1663">
        <w:rPr>
          <w:rFonts w:ascii="Times New Roman" w:hAnsi="Times New Roman" w:cs="Times New Roman"/>
          <w:bCs/>
          <w:sz w:val="24"/>
          <w:szCs w:val="24"/>
        </w:rPr>
        <w:t xml:space="preserve"> On 15 March, 2011, Serafina and Adriana requested marriage authorization from the National Secretariat of the Family, indicating that Article 9 prohibited all discrimination based on sexual orientation, and superseded Article 396 which establishes marriage between a man and a woman.</w:t>
      </w:r>
      <w:r w:rsidRPr="00A7760B">
        <w:rPr>
          <w:rFonts w:ascii="Times New Roman" w:hAnsi="Times New Roman" w:cs="Times New Roman"/>
          <w:bCs/>
          <w:sz w:val="20"/>
          <w:szCs w:val="24"/>
          <w:vertAlign w:val="superscript"/>
        </w:rPr>
        <w:footnoteReference w:id="33"/>
      </w:r>
      <w:r w:rsidRPr="00AE1663">
        <w:rPr>
          <w:rFonts w:ascii="Times New Roman" w:hAnsi="Times New Roman" w:cs="Times New Roman"/>
          <w:bCs/>
          <w:sz w:val="24"/>
          <w:szCs w:val="24"/>
        </w:rPr>
        <w:t xml:space="preserve"> On 29 May, 2011, the National Secretariat denied the application on the legal basis of Article 396; Serafina and Adriana’s later motion for reconsideration was also denied.</w:t>
      </w:r>
      <w:r w:rsidRPr="00A7760B">
        <w:rPr>
          <w:rFonts w:ascii="Times New Roman" w:hAnsi="Times New Roman" w:cs="Times New Roman"/>
          <w:bCs/>
          <w:sz w:val="20"/>
          <w:szCs w:val="24"/>
          <w:vertAlign w:val="superscript"/>
        </w:rPr>
        <w:footnoteReference w:id="34"/>
      </w:r>
    </w:p>
    <w:p w:rsidR="00681316" w:rsidRPr="00AE1663" w:rsidRDefault="00681316" w:rsidP="00681316">
      <w:pPr>
        <w:autoSpaceDE w:val="0"/>
        <w:autoSpaceDN w:val="0"/>
        <w:adjustRightInd w:val="0"/>
        <w:spacing w:after="0" w:line="480" w:lineRule="auto"/>
        <w:rPr>
          <w:rFonts w:ascii="Times New Roman" w:hAnsi="Times New Roman" w:cs="Times New Roman"/>
          <w:bCs/>
          <w:sz w:val="24"/>
          <w:szCs w:val="24"/>
        </w:rPr>
      </w:pPr>
      <w:r w:rsidRPr="00AE1663">
        <w:rPr>
          <w:rFonts w:ascii="Times New Roman" w:hAnsi="Times New Roman" w:cs="Times New Roman"/>
          <w:bCs/>
          <w:sz w:val="24"/>
          <w:szCs w:val="24"/>
        </w:rPr>
        <w:tab/>
        <w:t>Serafina and Adriana timely filed a motion to vacate before Court No.7 for review of the legality of the administrative decision, and expressed that the institution of marriage should enable them to be considered a family in the constitutional sense.</w:t>
      </w:r>
      <w:r w:rsidRPr="00A7760B">
        <w:rPr>
          <w:rFonts w:ascii="Times New Roman" w:hAnsi="Times New Roman" w:cs="Times New Roman"/>
          <w:bCs/>
          <w:sz w:val="20"/>
          <w:szCs w:val="24"/>
          <w:vertAlign w:val="superscript"/>
        </w:rPr>
        <w:footnoteReference w:id="35"/>
      </w:r>
      <w:r w:rsidRPr="00AE1663">
        <w:rPr>
          <w:rFonts w:ascii="Times New Roman" w:hAnsi="Times New Roman" w:cs="Times New Roman"/>
          <w:bCs/>
          <w:sz w:val="24"/>
          <w:szCs w:val="24"/>
        </w:rPr>
        <w:t xml:space="preserve"> Court No. 7 denied this motion on August 5, 2011 because the challenged administrative decision was not unlawful in light of Article 396.</w:t>
      </w:r>
      <w:r w:rsidRPr="00A7760B">
        <w:rPr>
          <w:rFonts w:ascii="Times New Roman" w:hAnsi="Times New Roman" w:cs="Times New Roman"/>
          <w:bCs/>
          <w:sz w:val="20"/>
          <w:szCs w:val="24"/>
          <w:vertAlign w:val="superscript"/>
        </w:rPr>
        <w:footnoteReference w:id="36"/>
      </w:r>
      <w:r w:rsidRPr="00AE1663">
        <w:rPr>
          <w:rFonts w:ascii="Times New Roman" w:hAnsi="Times New Roman" w:cs="Times New Roman"/>
          <w:bCs/>
          <w:sz w:val="24"/>
          <w:szCs w:val="24"/>
        </w:rPr>
        <w:t xml:space="preserve"> The court held that excluding a same sex couple from marriage was a reasonable restriction necessary to preserve the concept of family.</w:t>
      </w:r>
      <w:r w:rsidRPr="00A7760B">
        <w:rPr>
          <w:rFonts w:ascii="Times New Roman" w:hAnsi="Times New Roman" w:cs="Times New Roman"/>
          <w:bCs/>
          <w:sz w:val="20"/>
          <w:szCs w:val="24"/>
          <w:vertAlign w:val="superscript"/>
        </w:rPr>
        <w:footnoteReference w:id="37"/>
      </w:r>
      <w:r w:rsidRPr="00AE1663">
        <w:rPr>
          <w:rFonts w:ascii="Times New Roman" w:hAnsi="Times New Roman" w:cs="Times New Roman"/>
          <w:bCs/>
          <w:sz w:val="24"/>
          <w:szCs w:val="24"/>
        </w:rPr>
        <w:t xml:space="preserve"> This decision was final and not subject to appeal.</w:t>
      </w:r>
      <w:r w:rsidRPr="00A7760B">
        <w:rPr>
          <w:rFonts w:ascii="Times New Roman" w:hAnsi="Times New Roman" w:cs="Times New Roman"/>
          <w:bCs/>
          <w:sz w:val="20"/>
          <w:szCs w:val="24"/>
          <w:vertAlign w:val="superscript"/>
        </w:rPr>
        <w:footnoteReference w:id="38"/>
      </w:r>
    </w:p>
    <w:p w:rsidR="00681316" w:rsidRPr="00AE1663" w:rsidRDefault="00681316" w:rsidP="00681316">
      <w:pPr>
        <w:autoSpaceDE w:val="0"/>
        <w:autoSpaceDN w:val="0"/>
        <w:adjustRightInd w:val="0"/>
        <w:spacing w:after="0" w:line="480" w:lineRule="auto"/>
        <w:rPr>
          <w:rFonts w:ascii="Times New Roman" w:hAnsi="Times New Roman" w:cs="Times New Roman"/>
          <w:bCs/>
          <w:sz w:val="24"/>
          <w:szCs w:val="24"/>
        </w:rPr>
      </w:pPr>
      <w:r w:rsidRPr="00AE1663">
        <w:rPr>
          <w:rFonts w:ascii="Times New Roman" w:hAnsi="Times New Roman" w:cs="Times New Roman"/>
          <w:bCs/>
          <w:sz w:val="24"/>
          <w:szCs w:val="24"/>
        </w:rPr>
        <w:tab/>
        <w:t xml:space="preserve">On 18 November, 2011, Serafina and Adriana challenged Court No. 7’s decision and filed a petition for constitutional remedy, where the judicial authority must render a decision </w:t>
      </w:r>
      <w:r w:rsidRPr="00AE1663">
        <w:rPr>
          <w:rFonts w:ascii="Times New Roman" w:hAnsi="Times New Roman" w:cs="Times New Roman"/>
          <w:bCs/>
          <w:sz w:val="24"/>
          <w:szCs w:val="24"/>
        </w:rPr>
        <w:lastRenderedPageBreak/>
        <w:t>immediately, or within three months for complex cases.</w:t>
      </w:r>
      <w:r w:rsidRPr="00A7760B">
        <w:rPr>
          <w:rFonts w:ascii="Times New Roman" w:hAnsi="Times New Roman" w:cs="Times New Roman"/>
          <w:bCs/>
          <w:sz w:val="20"/>
          <w:szCs w:val="24"/>
          <w:vertAlign w:val="superscript"/>
        </w:rPr>
        <w:footnoteReference w:id="39"/>
      </w:r>
      <w:r w:rsidRPr="00AE1663">
        <w:rPr>
          <w:rFonts w:ascii="Times New Roman" w:hAnsi="Times New Roman" w:cs="Times New Roman"/>
          <w:bCs/>
          <w:sz w:val="24"/>
          <w:szCs w:val="24"/>
        </w:rPr>
        <w:t xml:space="preserve"> On 18 February, 2012, Family Court No.3 dismissed Serafina’s case without ruling on the merits, because she did not provide sufficient facts to demonstrate manifest arbitrariness.</w:t>
      </w:r>
      <w:r w:rsidRPr="00A7760B">
        <w:rPr>
          <w:rFonts w:ascii="Times New Roman" w:hAnsi="Times New Roman" w:cs="Times New Roman"/>
          <w:bCs/>
          <w:sz w:val="20"/>
          <w:szCs w:val="24"/>
          <w:vertAlign w:val="superscript"/>
        </w:rPr>
        <w:footnoteReference w:id="40"/>
      </w:r>
      <w:r w:rsidRPr="00AE1663">
        <w:rPr>
          <w:rFonts w:ascii="Times New Roman" w:hAnsi="Times New Roman" w:cs="Times New Roman"/>
          <w:bCs/>
          <w:sz w:val="24"/>
          <w:szCs w:val="24"/>
        </w:rPr>
        <w:t xml:space="preserve"> Serafina appealed this decision to the Three-judge Plenary Tribunal, who affirmed Family Court No. 3’s decision on 16 May, 2012.</w:t>
      </w:r>
      <w:r w:rsidRPr="00A7760B">
        <w:rPr>
          <w:rFonts w:ascii="Times New Roman" w:hAnsi="Times New Roman" w:cs="Times New Roman"/>
          <w:bCs/>
          <w:sz w:val="20"/>
          <w:szCs w:val="24"/>
          <w:vertAlign w:val="superscript"/>
        </w:rPr>
        <w:footnoteReference w:id="41"/>
      </w:r>
    </w:p>
    <w:p w:rsidR="00681316" w:rsidRPr="00AE1663" w:rsidRDefault="00681316" w:rsidP="00681316">
      <w:pPr>
        <w:autoSpaceDE w:val="0"/>
        <w:autoSpaceDN w:val="0"/>
        <w:adjustRightInd w:val="0"/>
        <w:spacing w:after="0" w:line="480" w:lineRule="auto"/>
        <w:rPr>
          <w:rFonts w:ascii="Times New Roman" w:hAnsi="Times New Roman" w:cs="Times New Roman"/>
          <w:bCs/>
          <w:sz w:val="24"/>
          <w:szCs w:val="24"/>
        </w:rPr>
      </w:pPr>
      <w:r w:rsidRPr="00AE1663">
        <w:rPr>
          <w:rFonts w:ascii="Times New Roman" w:hAnsi="Times New Roman" w:cs="Times New Roman"/>
          <w:bCs/>
          <w:sz w:val="24"/>
          <w:szCs w:val="24"/>
        </w:rPr>
        <w:tab/>
        <w:t>Mariposa filed a petition before the Commission on 1 February, 2012.</w:t>
      </w:r>
      <w:r w:rsidRPr="00A7760B">
        <w:rPr>
          <w:rFonts w:ascii="Times New Roman" w:hAnsi="Times New Roman" w:cs="Times New Roman"/>
          <w:bCs/>
          <w:sz w:val="20"/>
          <w:szCs w:val="24"/>
          <w:vertAlign w:val="superscript"/>
        </w:rPr>
        <w:footnoteReference w:id="42"/>
      </w:r>
      <w:r w:rsidRPr="00AE1663">
        <w:rPr>
          <w:rFonts w:ascii="Times New Roman" w:hAnsi="Times New Roman" w:cs="Times New Roman"/>
          <w:bCs/>
          <w:sz w:val="24"/>
          <w:szCs w:val="24"/>
        </w:rPr>
        <w:t xml:space="preserve"> The Commission began processing the petition on 10 May, 2012, providing notice to Elizabetia and initiating the admissibility stage.</w:t>
      </w:r>
      <w:r w:rsidRPr="00A7760B">
        <w:rPr>
          <w:rFonts w:ascii="Times New Roman" w:hAnsi="Times New Roman" w:cs="Times New Roman"/>
          <w:bCs/>
          <w:sz w:val="20"/>
          <w:szCs w:val="24"/>
          <w:vertAlign w:val="superscript"/>
        </w:rPr>
        <w:footnoteReference w:id="43"/>
      </w:r>
      <w:r w:rsidRPr="00AE1663">
        <w:rPr>
          <w:rFonts w:ascii="Times New Roman" w:hAnsi="Times New Roman" w:cs="Times New Roman"/>
          <w:bCs/>
          <w:sz w:val="24"/>
          <w:szCs w:val="24"/>
        </w:rPr>
        <w:t xml:space="preserve"> During this stage, Elizabetia objected because the petition did not describe any ACHR violations and because it was inadmissible for failure to exhaust domestic remedies.</w:t>
      </w:r>
      <w:r w:rsidRPr="00A7760B">
        <w:rPr>
          <w:rFonts w:ascii="Times New Roman" w:hAnsi="Times New Roman" w:cs="Times New Roman"/>
          <w:bCs/>
          <w:sz w:val="20"/>
          <w:szCs w:val="24"/>
          <w:vertAlign w:val="superscript"/>
        </w:rPr>
        <w:footnoteReference w:id="44"/>
      </w:r>
      <w:r w:rsidRPr="00AE1663">
        <w:rPr>
          <w:rFonts w:ascii="Times New Roman" w:hAnsi="Times New Roman" w:cs="Times New Roman"/>
          <w:bCs/>
          <w:sz w:val="24"/>
          <w:szCs w:val="24"/>
        </w:rPr>
        <w:t xml:space="preserve"> Nevertheless, the Commission issued its Report on 22 September, 2012, and declared that domestic remedies had been exhausted when admissibility was determined and it was irrelevant to examine the status of exhaustion at the time the petition was submitted.</w:t>
      </w:r>
      <w:r w:rsidRPr="00A7760B">
        <w:rPr>
          <w:rFonts w:ascii="Times New Roman" w:hAnsi="Times New Roman" w:cs="Times New Roman"/>
          <w:bCs/>
          <w:sz w:val="20"/>
          <w:szCs w:val="24"/>
          <w:vertAlign w:val="superscript"/>
        </w:rPr>
        <w:footnoteReference w:id="45"/>
      </w:r>
      <w:r w:rsidRPr="00AE1663">
        <w:rPr>
          <w:rFonts w:ascii="Times New Roman" w:hAnsi="Times New Roman" w:cs="Times New Roman"/>
          <w:bCs/>
          <w:sz w:val="24"/>
          <w:szCs w:val="24"/>
        </w:rPr>
        <w:t xml:space="preserve"> The Commission also indicated it was unnecessary to require exhaustion of the unconstitutionality action because the facts alleged in the petition could amount to possible violations of Articles 11, 17, 24, 8 and 25, in conjunction with Article 1.1.</w:t>
      </w:r>
      <w:r w:rsidRPr="00A7760B">
        <w:rPr>
          <w:rFonts w:ascii="Times New Roman" w:hAnsi="Times New Roman" w:cs="Times New Roman"/>
          <w:bCs/>
          <w:sz w:val="20"/>
          <w:szCs w:val="24"/>
          <w:vertAlign w:val="superscript"/>
        </w:rPr>
        <w:footnoteReference w:id="46"/>
      </w:r>
      <w:r w:rsidRPr="00AE1663">
        <w:rPr>
          <w:rFonts w:ascii="Times New Roman" w:hAnsi="Times New Roman" w:cs="Times New Roman"/>
          <w:bCs/>
          <w:sz w:val="24"/>
          <w:szCs w:val="24"/>
        </w:rPr>
        <w:t xml:space="preserve"> </w:t>
      </w:r>
    </w:p>
    <w:p w:rsidR="00681316" w:rsidRPr="00AE1663" w:rsidRDefault="00681316" w:rsidP="00681316">
      <w:pPr>
        <w:autoSpaceDE w:val="0"/>
        <w:autoSpaceDN w:val="0"/>
        <w:adjustRightInd w:val="0"/>
        <w:spacing w:after="0" w:line="480" w:lineRule="auto"/>
        <w:rPr>
          <w:rFonts w:ascii="Times New Roman" w:hAnsi="Times New Roman" w:cs="Times New Roman"/>
          <w:bCs/>
          <w:sz w:val="24"/>
          <w:szCs w:val="24"/>
        </w:rPr>
      </w:pPr>
      <w:r w:rsidRPr="00AE1663">
        <w:rPr>
          <w:rFonts w:ascii="Times New Roman" w:hAnsi="Times New Roman" w:cs="Times New Roman"/>
          <w:bCs/>
          <w:sz w:val="24"/>
          <w:szCs w:val="24"/>
        </w:rPr>
        <w:tab/>
        <w:t>On 3 January, 2013, the Commission issued a Merits Report and found Elizabetia violated Articles 11, 17, 8.1, 24, and 25 in conjunction with Article 1.1.</w:t>
      </w:r>
      <w:r w:rsidRPr="00A7760B">
        <w:rPr>
          <w:rFonts w:ascii="Times New Roman" w:hAnsi="Times New Roman" w:cs="Times New Roman"/>
          <w:bCs/>
          <w:sz w:val="20"/>
          <w:szCs w:val="24"/>
          <w:vertAlign w:val="superscript"/>
        </w:rPr>
        <w:footnoteReference w:id="47"/>
      </w:r>
      <w:r w:rsidRPr="00AE1663">
        <w:rPr>
          <w:rFonts w:ascii="Times New Roman" w:hAnsi="Times New Roman" w:cs="Times New Roman"/>
          <w:bCs/>
          <w:sz w:val="24"/>
          <w:szCs w:val="24"/>
        </w:rPr>
        <w:t xml:space="preserve"> It also found an Article 2 violation under the principle of </w:t>
      </w:r>
      <w:r w:rsidRPr="00AE1663">
        <w:rPr>
          <w:rFonts w:ascii="Times New Roman" w:hAnsi="Times New Roman" w:cs="Times New Roman"/>
          <w:bCs/>
          <w:i/>
          <w:sz w:val="24"/>
          <w:szCs w:val="24"/>
        </w:rPr>
        <w:t>iura novit curia</w:t>
      </w:r>
      <w:r w:rsidRPr="00AE1663">
        <w:rPr>
          <w:rFonts w:ascii="Times New Roman" w:hAnsi="Times New Roman" w:cs="Times New Roman"/>
          <w:bCs/>
          <w:sz w:val="24"/>
          <w:szCs w:val="24"/>
        </w:rPr>
        <w:t>.</w:t>
      </w:r>
      <w:r w:rsidRPr="00A7760B">
        <w:rPr>
          <w:rFonts w:ascii="Times New Roman" w:hAnsi="Times New Roman" w:cs="Times New Roman"/>
          <w:bCs/>
          <w:sz w:val="20"/>
          <w:szCs w:val="24"/>
          <w:vertAlign w:val="superscript"/>
        </w:rPr>
        <w:footnoteReference w:id="48"/>
      </w:r>
      <w:r w:rsidRPr="00AE1663">
        <w:rPr>
          <w:rFonts w:ascii="Times New Roman" w:hAnsi="Times New Roman" w:cs="Times New Roman"/>
          <w:bCs/>
          <w:sz w:val="24"/>
          <w:szCs w:val="24"/>
        </w:rPr>
        <w:t xml:space="preserve"> On 1 February, 2013, Elizabetia submitted the case to the Inter-American Court of Human Rights (IACtHR) to review the legality of the </w:t>
      </w:r>
      <w:r w:rsidRPr="00AE1663">
        <w:rPr>
          <w:rFonts w:ascii="Times New Roman" w:hAnsi="Times New Roman" w:cs="Times New Roman"/>
          <w:bCs/>
          <w:sz w:val="24"/>
          <w:szCs w:val="24"/>
        </w:rPr>
        <w:lastRenderedPageBreak/>
        <w:t>Commission’s proceedings.</w:t>
      </w:r>
      <w:r w:rsidRPr="00A7760B">
        <w:rPr>
          <w:rFonts w:ascii="Times New Roman" w:hAnsi="Times New Roman" w:cs="Times New Roman"/>
          <w:bCs/>
          <w:sz w:val="20"/>
          <w:szCs w:val="24"/>
          <w:vertAlign w:val="superscript"/>
        </w:rPr>
        <w:footnoteReference w:id="49"/>
      </w:r>
      <w:r w:rsidRPr="00AE1663">
        <w:rPr>
          <w:rFonts w:ascii="Times New Roman" w:hAnsi="Times New Roman" w:cs="Times New Roman"/>
          <w:bCs/>
          <w:sz w:val="24"/>
          <w:szCs w:val="24"/>
        </w:rPr>
        <w:t xml:space="preserve"> The IACtHR allowed all procedural issues raised to be treated as preliminary objections, and set a hearing on preliminary objections, merits, reparations, and costs, for May of 2013.</w:t>
      </w:r>
      <w:r w:rsidRPr="00A7760B">
        <w:rPr>
          <w:rFonts w:ascii="Times New Roman" w:hAnsi="Times New Roman" w:cs="Times New Roman"/>
          <w:bCs/>
          <w:sz w:val="20"/>
          <w:szCs w:val="24"/>
          <w:vertAlign w:val="superscript"/>
        </w:rPr>
        <w:footnoteReference w:id="50"/>
      </w:r>
      <w:r w:rsidRPr="00AE1663">
        <w:rPr>
          <w:rFonts w:ascii="Times New Roman" w:hAnsi="Times New Roman" w:cs="Times New Roman"/>
          <w:bCs/>
          <w:sz w:val="24"/>
          <w:szCs w:val="24"/>
        </w:rPr>
        <w:t xml:space="preserve"> </w:t>
      </w:r>
    </w:p>
    <w:p w:rsidR="00681316" w:rsidRPr="00AE1663" w:rsidRDefault="00681316" w:rsidP="00681316">
      <w:pPr>
        <w:autoSpaceDE w:val="0"/>
        <w:autoSpaceDN w:val="0"/>
        <w:adjustRightInd w:val="0"/>
        <w:spacing w:after="0" w:line="480" w:lineRule="auto"/>
        <w:rPr>
          <w:rFonts w:ascii="Times New Roman" w:hAnsi="Times New Roman" w:cs="Times New Roman"/>
          <w:bCs/>
          <w:sz w:val="24"/>
          <w:szCs w:val="24"/>
        </w:rPr>
      </w:pPr>
      <w:r w:rsidRPr="00AE1663">
        <w:rPr>
          <w:rFonts w:ascii="Times New Roman" w:hAnsi="Times New Roman" w:cs="Times New Roman"/>
          <w:b/>
          <w:bCs/>
          <w:sz w:val="24"/>
          <w:szCs w:val="24"/>
        </w:rPr>
        <w:tab/>
      </w:r>
      <w:r w:rsidRPr="00AE1663">
        <w:rPr>
          <w:rFonts w:ascii="Times New Roman" w:hAnsi="Times New Roman" w:cs="Times New Roman"/>
          <w:bCs/>
          <w:sz w:val="24"/>
          <w:szCs w:val="24"/>
        </w:rPr>
        <w:t>Three days before the hearing, Mariposa filed a request for provisional measures in order to give Serafina the opportunity to provide consent in an urgent health situation.</w:t>
      </w:r>
      <w:r w:rsidRPr="00A7760B">
        <w:rPr>
          <w:rFonts w:ascii="Times New Roman" w:hAnsi="Times New Roman" w:cs="Times New Roman"/>
          <w:bCs/>
          <w:sz w:val="20"/>
          <w:szCs w:val="24"/>
          <w:vertAlign w:val="superscript"/>
        </w:rPr>
        <w:footnoteReference w:id="51"/>
      </w:r>
      <w:r w:rsidRPr="00AE1663">
        <w:rPr>
          <w:rFonts w:ascii="Times New Roman" w:hAnsi="Times New Roman" w:cs="Times New Roman"/>
          <w:bCs/>
          <w:sz w:val="24"/>
          <w:szCs w:val="24"/>
        </w:rPr>
        <w:t xml:space="preserve"> Adriana suffered a congenital cerebral aneurysm, and two options are available for dealing with the effects of the hemorrhage: (1) doctors could perform a high-risk intracranial surgery with consent of a spouse or relative; (2) or doctors could continue monitoring the situation.</w:t>
      </w:r>
      <w:r w:rsidRPr="00A7760B">
        <w:rPr>
          <w:rFonts w:ascii="Times New Roman" w:hAnsi="Times New Roman" w:cs="Times New Roman"/>
          <w:bCs/>
          <w:sz w:val="20"/>
          <w:szCs w:val="24"/>
          <w:vertAlign w:val="superscript"/>
        </w:rPr>
        <w:footnoteReference w:id="52"/>
      </w:r>
      <w:r w:rsidRPr="00AE1663">
        <w:rPr>
          <w:rFonts w:ascii="Times New Roman" w:hAnsi="Times New Roman" w:cs="Times New Roman"/>
          <w:bCs/>
          <w:sz w:val="24"/>
          <w:szCs w:val="24"/>
        </w:rPr>
        <w:t xml:space="preserve"> The latter is less risky, but entails near certainty that Adriana would experience anterograde amnesia.</w:t>
      </w:r>
      <w:r w:rsidRPr="00A7760B">
        <w:rPr>
          <w:rFonts w:ascii="Times New Roman" w:hAnsi="Times New Roman" w:cs="Times New Roman"/>
          <w:bCs/>
          <w:sz w:val="20"/>
          <w:szCs w:val="24"/>
          <w:vertAlign w:val="superscript"/>
        </w:rPr>
        <w:footnoteReference w:id="53"/>
      </w:r>
      <w:r w:rsidRPr="00AE1663">
        <w:rPr>
          <w:rFonts w:ascii="Times New Roman" w:hAnsi="Times New Roman" w:cs="Times New Roman"/>
          <w:bCs/>
          <w:sz w:val="24"/>
          <w:szCs w:val="24"/>
        </w:rPr>
        <w:t xml:space="preserve"> Without informed consent, Adriana’s doctor will take the second course of least risk; however, Serafina knows Adriana would prefer to risk death rather than live with anterograde amnesia.</w:t>
      </w:r>
      <w:r w:rsidRPr="00A7760B">
        <w:rPr>
          <w:rFonts w:ascii="Times New Roman" w:hAnsi="Times New Roman" w:cs="Times New Roman"/>
          <w:bCs/>
          <w:sz w:val="20"/>
          <w:szCs w:val="24"/>
          <w:vertAlign w:val="superscript"/>
        </w:rPr>
        <w:footnoteReference w:id="54"/>
      </w:r>
    </w:p>
    <w:p w:rsidR="00681316" w:rsidRPr="00AE1663" w:rsidRDefault="00681316" w:rsidP="00681316">
      <w:pPr>
        <w:autoSpaceDE w:val="0"/>
        <w:autoSpaceDN w:val="0"/>
        <w:adjustRightInd w:val="0"/>
        <w:spacing w:after="0" w:line="480" w:lineRule="auto"/>
        <w:rPr>
          <w:rFonts w:ascii="Times New Roman" w:hAnsi="Times New Roman" w:cs="Times New Roman"/>
          <w:bCs/>
          <w:sz w:val="24"/>
          <w:szCs w:val="24"/>
        </w:rPr>
      </w:pPr>
      <w:r w:rsidRPr="00AE1663">
        <w:rPr>
          <w:rFonts w:ascii="Times New Roman" w:hAnsi="Times New Roman" w:cs="Times New Roman"/>
          <w:bCs/>
          <w:sz w:val="24"/>
          <w:szCs w:val="24"/>
        </w:rPr>
        <w:tab/>
        <w:t>A relative of Adriana’s, no matter how distant, must consent to the surgery or the decision will be submitted to the Regional Medical Committee in five days.</w:t>
      </w:r>
      <w:r w:rsidRPr="00A7760B">
        <w:rPr>
          <w:rFonts w:ascii="Times New Roman" w:hAnsi="Times New Roman" w:cs="Times New Roman"/>
          <w:bCs/>
          <w:sz w:val="20"/>
          <w:szCs w:val="24"/>
          <w:vertAlign w:val="superscript"/>
        </w:rPr>
        <w:footnoteReference w:id="55"/>
      </w:r>
      <w:r w:rsidRPr="00AE1663">
        <w:rPr>
          <w:rFonts w:ascii="Times New Roman" w:hAnsi="Times New Roman" w:cs="Times New Roman"/>
          <w:bCs/>
          <w:sz w:val="24"/>
          <w:szCs w:val="24"/>
        </w:rPr>
        <w:t xml:space="preserve"> However, Adriana’s parents died in a natural disaster and she lost all contacts with her relatives 15 years ago, so Mariposa asks that the IACtHR require Elizabetia to allow Serafina to provide informed consent for Adriana.</w:t>
      </w:r>
      <w:r w:rsidRPr="00A7760B">
        <w:rPr>
          <w:rFonts w:ascii="Times New Roman" w:hAnsi="Times New Roman" w:cs="Times New Roman"/>
          <w:bCs/>
          <w:sz w:val="20"/>
          <w:szCs w:val="24"/>
          <w:vertAlign w:val="superscript"/>
        </w:rPr>
        <w:footnoteReference w:id="56"/>
      </w:r>
    </w:p>
    <w:p w:rsidR="000F0BD5" w:rsidRPr="00AE1663" w:rsidRDefault="007E73FD" w:rsidP="00CE0D4F">
      <w:pPr>
        <w:pStyle w:val="Heading1"/>
        <w:spacing w:before="0"/>
        <w:jc w:val="center"/>
        <w:rPr>
          <w:rFonts w:ascii="Times New Roman" w:hAnsi="Times New Roman" w:cs="Times New Roman"/>
          <w:color w:val="auto"/>
          <w:sz w:val="24"/>
          <w:szCs w:val="24"/>
          <w:u w:val="single"/>
        </w:rPr>
      </w:pPr>
      <w:bookmarkStart w:id="4" w:name="_Toc352003537"/>
      <w:r w:rsidRPr="00AE1663">
        <w:rPr>
          <w:rFonts w:ascii="Times New Roman" w:hAnsi="Times New Roman" w:cs="Times New Roman"/>
          <w:color w:val="auto"/>
          <w:sz w:val="24"/>
          <w:szCs w:val="24"/>
          <w:u w:val="single"/>
        </w:rPr>
        <w:t>LEGAL</w:t>
      </w:r>
      <w:r w:rsidR="000F0BD5" w:rsidRPr="00AE1663">
        <w:rPr>
          <w:rFonts w:ascii="Times New Roman" w:hAnsi="Times New Roman" w:cs="Times New Roman"/>
          <w:color w:val="auto"/>
          <w:sz w:val="24"/>
          <w:szCs w:val="24"/>
          <w:u w:val="single"/>
        </w:rPr>
        <w:t xml:space="preserve"> A</w:t>
      </w:r>
      <w:r w:rsidRPr="00AE1663">
        <w:rPr>
          <w:rFonts w:ascii="Times New Roman" w:hAnsi="Times New Roman" w:cs="Times New Roman"/>
          <w:color w:val="auto"/>
          <w:sz w:val="24"/>
          <w:szCs w:val="24"/>
          <w:u w:val="single"/>
        </w:rPr>
        <w:t>NALYSIS</w:t>
      </w:r>
      <w:bookmarkEnd w:id="4"/>
    </w:p>
    <w:p w:rsidR="00B805F5" w:rsidRPr="00AE1663" w:rsidRDefault="00B805F5" w:rsidP="00B805F5">
      <w:pPr>
        <w:rPr>
          <w:rFonts w:ascii="Times New Roman" w:hAnsi="Times New Roman" w:cs="Times New Roman"/>
          <w:sz w:val="24"/>
          <w:szCs w:val="24"/>
        </w:rPr>
      </w:pPr>
    </w:p>
    <w:p w:rsidR="007E73FD" w:rsidRPr="00AE1663" w:rsidRDefault="00DC6C97" w:rsidP="00CE0D4F">
      <w:pPr>
        <w:pStyle w:val="Heading2"/>
        <w:numPr>
          <w:ilvl w:val="0"/>
          <w:numId w:val="7"/>
        </w:numPr>
        <w:spacing w:before="0"/>
        <w:ind w:left="720"/>
        <w:rPr>
          <w:rFonts w:ascii="Times New Roman" w:hAnsi="Times New Roman" w:cs="Times New Roman"/>
          <w:color w:val="auto"/>
          <w:sz w:val="24"/>
          <w:szCs w:val="24"/>
        </w:rPr>
      </w:pPr>
      <w:bookmarkStart w:id="5" w:name="_Toc352003538"/>
      <w:r w:rsidRPr="00AE1663">
        <w:rPr>
          <w:rFonts w:ascii="Times New Roman" w:hAnsi="Times New Roman" w:cs="Times New Roman"/>
          <w:color w:val="auto"/>
          <w:sz w:val="24"/>
          <w:szCs w:val="24"/>
        </w:rPr>
        <w:t>PRELIMINARY</w:t>
      </w:r>
      <w:r w:rsidR="000F0BD5" w:rsidRPr="00AE1663">
        <w:rPr>
          <w:rFonts w:ascii="Times New Roman" w:hAnsi="Times New Roman" w:cs="Times New Roman"/>
          <w:color w:val="auto"/>
          <w:sz w:val="24"/>
          <w:szCs w:val="24"/>
        </w:rPr>
        <w:t xml:space="preserve"> O</w:t>
      </w:r>
      <w:r w:rsidRPr="00AE1663">
        <w:rPr>
          <w:rFonts w:ascii="Times New Roman" w:hAnsi="Times New Roman" w:cs="Times New Roman"/>
          <w:color w:val="auto"/>
          <w:sz w:val="24"/>
          <w:szCs w:val="24"/>
        </w:rPr>
        <w:t>BJECTIONS</w:t>
      </w:r>
      <w:bookmarkEnd w:id="5"/>
    </w:p>
    <w:p w:rsidR="001B2737" w:rsidRPr="00AE1663" w:rsidRDefault="001B2737" w:rsidP="001B2737">
      <w:pPr>
        <w:spacing w:after="0"/>
        <w:rPr>
          <w:rFonts w:ascii="Times New Roman" w:hAnsi="Times New Roman" w:cs="Times New Roman"/>
          <w:sz w:val="24"/>
          <w:szCs w:val="24"/>
        </w:rPr>
      </w:pPr>
    </w:p>
    <w:p w:rsidR="007E73FD" w:rsidRPr="00AE1663" w:rsidRDefault="00681316" w:rsidP="00681316">
      <w:pPr>
        <w:autoSpaceDE w:val="0"/>
        <w:autoSpaceDN w:val="0"/>
        <w:adjustRightInd w:val="0"/>
        <w:spacing w:after="0" w:line="480" w:lineRule="auto"/>
        <w:ind w:firstLine="720"/>
        <w:rPr>
          <w:rFonts w:ascii="Times New Roman" w:hAnsi="Times New Roman" w:cs="Times New Roman"/>
          <w:bCs/>
          <w:sz w:val="24"/>
          <w:szCs w:val="24"/>
        </w:rPr>
      </w:pPr>
      <w:r w:rsidRPr="00AE1663">
        <w:rPr>
          <w:rFonts w:ascii="Times New Roman" w:hAnsi="Times New Roman" w:cs="Times New Roman"/>
          <w:bCs/>
          <w:sz w:val="24"/>
          <w:szCs w:val="24"/>
        </w:rPr>
        <w:lastRenderedPageBreak/>
        <w:t xml:space="preserve">Elizabetia has ratified all regional and universal human rights instruments, including the ACHR. Elizabetia accepted this Court’s jurisdiction on January 1, 1990. Nonetheless, </w:t>
      </w:r>
      <w:r w:rsidR="00E206E7" w:rsidRPr="00AE1663">
        <w:rPr>
          <w:rFonts w:ascii="Times New Roman" w:hAnsi="Times New Roman" w:cs="Times New Roman"/>
          <w:bCs/>
          <w:sz w:val="24"/>
          <w:szCs w:val="24"/>
        </w:rPr>
        <w:t xml:space="preserve">the </w:t>
      </w:r>
      <w:r w:rsidRPr="00AE1663">
        <w:rPr>
          <w:rFonts w:ascii="Times New Roman" w:hAnsi="Times New Roman" w:cs="Times New Roman"/>
          <w:bCs/>
          <w:sz w:val="24"/>
          <w:szCs w:val="24"/>
        </w:rPr>
        <w:t>Commission has prematurely and improperly invoked the Court’s authority.</w:t>
      </w:r>
    </w:p>
    <w:p w:rsidR="000F0BD5" w:rsidRPr="00AE1663" w:rsidRDefault="003D1F38" w:rsidP="00CE0D4F">
      <w:pPr>
        <w:pStyle w:val="Heading3"/>
        <w:numPr>
          <w:ilvl w:val="0"/>
          <w:numId w:val="8"/>
        </w:numPr>
        <w:spacing w:before="0"/>
        <w:ind w:left="1440" w:hanging="720"/>
        <w:rPr>
          <w:rFonts w:ascii="Times New Roman" w:hAnsi="Times New Roman" w:cs="Times New Roman"/>
          <w:color w:val="auto"/>
          <w:sz w:val="24"/>
          <w:szCs w:val="24"/>
        </w:rPr>
      </w:pPr>
      <w:bookmarkStart w:id="6" w:name="_Toc352003539"/>
      <w:r w:rsidRPr="00AE1663">
        <w:rPr>
          <w:rFonts w:ascii="Times New Roman" w:hAnsi="Times New Roman" w:cs="Times New Roman"/>
          <w:color w:val="auto"/>
          <w:sz w:val="24"/>
          <w:szCs w:val="24"/>
        </w:rPr>
        <w:t>Petitioner</w:t>
      </w:r>
      <w:r w:rsidR="000F2775" w:rsidRPr="00AE1663">
        <w:rPr>
          <w:rFonts w:ascii="Times New Roman" w:hAnsi="Times New Roman" w:cs="Times New Roman"/>
          <w:color w:val="auto"/>
          <w:sz w:val="24"/>
          <w:szCs w:val="24"/>
        </w:rPr>
        <w:t>s</w:t>
      </w:r>
      <w:r w:rsidRPr="00AE1663">
        <w:rPr>
          <w:rFonts w:ascii="Times New Roman" w:hAnsi="Times New Roman" w:cs="Times New Roman"/>
          <w:color w:val="auto"/>
          <w:sz w:val="24"/>
          <w:szCs w:val="24"/>
        </w:rPr>
        <w:t xml:space="preserve"> Did Not Exhaust A</w:t>
      </w:r>
      <w:r w:rsidR="001B2737" w:rsidRPr="00AE1663">
        <w:rPr>
          <w:rFonts w:ascii="Times New Roman" w:hAnsi="Times New Roman" w:cs="Times New Roman"/>
          <w:color w:val="auto"/>
          <w:sz w:val="24"/>
          <w:szCs w:val="24"/>
        </w:rPr>
        <w:t>ll Domestic Remedies</w:t>
      </w:r>
      <w:bookmarkEnd w:id="6"/>
    </w:p>
    <w:p w:rsidR="001B2737" w:rsidRPr="00AE1663" w:rsidRDefault="001B2737" w:rsidP="001B2737">
      <w:pPr>
        <w:pStyle w:val="ListParagraph"/>
        <w:autoSpaceDE w:val="0"/>
        <w:autoSpaceDN w:val="0"/>
        <w:adjustRightInd w:val="0"/>
        <w:spacing w:after="0" w:line="240" w:lineRule="auto"/>
        <w:ind w:left="1080"/>
        <w:rPr>
          <w:rFonts w:ascii="Times New Roman" w:hAnsi="Times New Roman" w:cs="Times New Roman"/>
          <w:b/>
          <w:bCs/>
          <w:sz w:val="24"/>
          <w:szCs w:val="24"/>
          <w:u w:val="single"/>
        </w:rPr>
      </w:pPr>
    </w:p>
    <w:p w:rsidR="00681316" w:rsidRPr="00AE1663" w:rsidRDefault="00681316" w:rsidP="00681316">
      <w:pPr>
        <w:autoSpaceDE w:val="0"/>
        <w:autoSpaceDN w:val="0"/>
        <w:adjustRightInd w:val="0"/>
        <w:spacing w:after="0" w:line="480" w:lineRule="auto"/>
        <w:ind w:firstLine="720"/>
        <w:rPr>
          <w:rFonts w:ascii="Times New Roman" w:hAnsi="Times New Roman" w:cs="Times New Roman"/>
          <w:spacing w:val="-3"/>
          <w:sz w:val="24"/>
          <w:szCs w:val="24"/>
        </w:rPr>
      </w:pPr>
      <w:r w:rsidRPr="00AE1663">
        <w:rPr>
          <w:rFonts w:ascii="Times New Roman" w:hAnsi="Times New Roman" w:cs="Times New Roman"/>
          <w:spacing w:val="-3"/>
          <w:sz w:val="24"/>
          <w:szCs w:val="24"/>
        </w:rPr>
        <w:t xml:space="preserve">The Commission improperly lodged this petition because Petitioners had not exhausted all available domestic remedies at the time when Mariposa filed the petition. </w:t>
      </w:r>
      <w:r w:rsidR="00E206E7" w:rsidRPr="00AE1663">
        <w:rPr>
          <w:rFonts w:ascii="Times New Roman" w:hAnsi="Times New Roman" w:cs="Times New Roman"/>
          <w:spacing w:val="-3"/>
          <w:sz w:val="24"/>
          <w:szCs w:val="24"/>
        </w:rPr>
        <w:t xml:space="preserve">Petitioners do not have to exhaust </w:t>
      </w:r>
      <w:r w:rsidR="00E206E7" w:rsidRPr="00AE1663">
        <w:rPr>
          <w:rFonts w:ascii="Times New Roman" w:hAnsi="Times New Roman" w:cs="Times New Roman"/>
          <w:bCs/>
          <w:sz w:val="24"/>
          <w:szCs w:val="24"/>
        </w:rPr>
        <w:t>d</w:t>
      </w:r>
      <w:r w:rsidRPr="00AE1663">
        <w:rPr>
          <w:rFonts w:ascii="Times New Roman" w:hAnsi="Times New Roman" w:cs="Times New Roman"/>
          <w:bCs/>
          <w:sz w:val="24"/>
          <w:szCs w:val="24"/>
        </w:rPr>
        <w:t>omestic remedies if: (1) domestic law does not afford due process, (2) the State has denied access to domestic remedies, or (3) there has been a delay in rendering a final judgment.</w:t>
      </w:r>
      <w:r w:rsidRPr="00A7760B">
        <w:rPr>
          <w:rStyle w:val="FootnoteReference"/>
          <w:rFonts w:ascii="Times New Roman" w:hAnsi="Times New Roman" w:cs="Times New Roman"/>
          <w:bCs/>
          <w:sz w:val="20"/>
          <w:szCs w:val="24"/>
        </w:rPr>
        <w:footnoteReference w:id="57"/>
      </w:r>
      <w:r w:rsidRPr="00AE1663">
        <w:rPr>
          <w:rFonts w:ascii="Times New Roman" w:hAnsi="Times New Roman" w:cs="Times New Roman"/>
          <w:bCs/>
          <w:sz w:val="24"/>
          <w:szCs w:val="24"/>
        </w:rPr>
        <w:t xml:space="preserve"> Domestic remedies must be adequate and effective in character, in order for exhaustion to be required.</w:t>
      </w:r>
      <w:r w:rsidRPr="00A7760B">
        <w:rPr>
          <w:rStyle w:val="FootnoteReference"/>
          <w:rFonts w:ascii="Times New Roman" w:hAnsi="Times New Roman" w:cs="Times New Roman"/>
          <w:bCs/>
          <w:sz w:val="20"/>
          <w:szCs w:val="24"/>
        </w:rPr>
        <w:footnoteReference w:id="58"/>
      </w:r>
      <w:r w:rsidRPr="00AE1663">
        <w:rPr>
          <w:rFonts w:ascii="Times New Roman" w:hAnsi="Times New Roman" w:cs="Times New Roman"/>
          <w:bCs/>
          <w:sz w:val="24"/>
          <w:szCs w:val="24"/>
        </w:rPr>
        <w:t xml:space="preserve"> </w:t>
      </w:r>
      <w:r w:rsidRPr="00AE1663">
        <w:rPr>
          <w:rFonts w:ascii="Times New Roman" w:hAnsi="Times New Roman" w:cs="Times New Roman"/>
          <w:spacing w:val="-3"/>
          <w:sz w:val="24"/>
          <w:szCs w:val="24"/>
        </w:rPr>
        <w:t>The rule is designed for the “benefit of the State,” protecting a State from unwarranted international proceedings, and allows it to resolve the problem under its internal law.</w:t>
      </w:r>
      <w:r w:rsidRPr="00A7760B">
        <w:rPr>
          <w:rStyle w:val="FootnoteReference"/>
          <w:rFonts w:ascii="Times New Roman" w:hAnsi="Times New Roman" w:cs="Times New Roman"/>
          <w:spacing w:val="-3"/>
          <w:sz w:val="20"/>
          <w:szCs w:val="24"/>
        </w:rPr>
        <w:footnoteReference w:id="59"/>
      </w:r>
      <w:r w:rsidRPr="00AE1663">
        <w:rPr>
          <w:rFonts w:ascii="Times New Roman" w:hAnsi="Times New Roman" w:cs="Times New Roman"/>
          <w:spacing w:val="-3"/>
          <w:sz w:val="24"/>
          <w:szCs w:val="24"/>
        </w:rPr>
        <w:t xml:space="preserve"> </w:t>
      </w:r>
    </w:p>
    <w:p w:rsidR="00681316" w:rsidRPr="00AE1663" w:rsidRDefault="00681316" w:rsidP="00681316">
      <w:pPr>
        <w:autoSpaceDE w:val="0"/>
        <w:autoSpaceDN w:val="0"/>
        <w:adjustRightInd w:val="0"/>
        <w:spacing w:after="0" w:line="480" w:lineRule="auto"/>
        <w:rPr>
          <w:rFonts w:ascii="Times New Roman" w:hAnsi="Times New Roman" w:cs="Times New Roman"/>
          <w:spacing w:val="-3"/>
          <w:sz w:val="24"/>
          <w:szCs w:val="24"/>
        </w:rPr>
      </w:pPr>
      <w:r w:rsidRPr="00AE1663">
        <w:rPr>
          <w:rFonts w:ascii="Times New Roman" w:hAnsi="Times New Roman" w:cs="Times New Roman"/>
          <w:spacing w:val="-3"/>
          <w:sz w:val="24"/>
          <w:szCs w:val="24"/>
        </w:rPr>
        <w:tab/>
        <w:t>The Commission has stated that exhausting domestic remedies enables national authorities to resolve an alleged violation prior to any submission before an international mechanism.</w:t>
      </w:r>
      <w:r w:rsidRPr="00A7760B">
        <w:rPr>
          <w:rStyle w:val="FootnoteReference"/>
          <w:rFonts w:ascii="Times New Roman" w:hAnsi="Times New Roman" w:cs="Times New Roman"/>
          <w:spacing w:val="-3"/>
          <w:sz w:val="20"/>
          <w:szCs w:val="24"/>
        </w:rPr>
        <w:footnoteReference w:id="60"/>
      </w:r>
      <w:r w:rsidRPr="00AE1663">
        <w:rPr>
          <w:rFonts w:ascii="Times New Roman" w:hAnsi="Times New Roman" w:cs="Times New Roman"/>
          <w:spacing w:val="-3"/>
          <w:sz w:val="24"/>
          <w:szCs w:val="24"/>
        </w:rPr>
        <w:t xml:space="preserve"> Under the OAS Guide for Submitting a Petition, parties who want to file a petition must first attempt to have domestic courts decide on the situation, or raise an exception.</w:t>
      </w:r>
      <w:r w:rsidRPr="00A7760B">
        <w:rPr>
          <w:rStyle w:val="FootnoteReference"/>
          <w:rFonts w:ascii="Times New Roman" w:hAnsi="Times New Roman" w:cs="Times New Roman"/>
          <w:spacing w:val="-3"/>
          <w:sz w:val="20"/>
          <w:szCs w:val="24"/>
        </w:rPr>
        <w:footnoteReference w:id="61"/>
      </w:r>
      <w:r w:rsidRPr="00AE1663">
        <w:rPr>
          <w:rFonts w:ascii="Times New Roman" w:hAnsi="Times New Roman" w:cs="Times New Roman"/>
          <w:spacing w:val="-3"/>
          <w:sz w:val="24"/>
          <w:szCs w:val="24"/>
        </w:rPr>
        <w:t xml:space="preserve"> Indigency, or a lack of available domestic representation, exempts a person from exhaustion.</w:t>
      </w:r>
      <w:r w:rsidRPr="00A7760B">
        <w:rPr>
          <w:rStyle w:val="FootnoteReference"/>
          <w:rFonts w:ascii="Times New Roman" w:hAnsi="Times New Roman" w:cs="Times New Roman"/>
          <w:spacing w:val="-3"/>
          <w:sz w:val="20"/>
          <w:szCs w:val="24"/>
        </w:rPr>
        <w:footnoteReference w:id="62"/>
      </w:r>
      <w:r w:rsidRPr="00AE1663">
        <w:rPr>
          <w:rFonts w:ascii="Times New Roman" w:hAnsi="Times New Roman" w:cs="Times New Roman"/>
          <w:spacing w:val="-3"/>
          <w:sz w:val="24"/>
          <w:szCs w:val="24"/>
        </w:rPr>
        <w:t xml:space="preserve"> </w:t>
      </w:r>
    </w:p>
    <w:p w:rsidR="00681316" w:rsidRPr="00AE1663" w:rsidRDefault="00681316" w:rsidP="00681316">
      <w:pPr>
        <w:autoSpaceDE w:val="0"/>
        <w:autoSpaceDN w:val="0"/>
        <w:adjustRightInd w:val="0"/>
        <w:spacing w:after="0" w:line="480" w:lineRule="auto"/>
        <w:rPr>
          <w:rFonts w:ascii="Times New Roman" w:hAnsi="Times New Roman" w:cs="Times New Roman"/>
          <w:bCs/>
          <w:sz w:val="24"/>
          <w:szCs w:val="24"/>
        </w:rPr>
      </w:pPr>
      <w:r w:rsidRPr="00AE1663">
        <w:rPr>
          <w:rFonts w:ascii="Times New Roman" w:hAnsi="Times New Roman" w:cs="Times New Roman"/>
          <w:spacing w:val="-3"/>
          <w:sz w:val="24"/>
          <w:szCs w:val="24"/>
        </w:rPr>
        <w:tab/>
        <w:t xml:space="preserve">The Commission failed to regard the procedural status of </w:t>
      </w:r>
      <w:r w:rsidR="007430C8" w:rsidRPr="00AE1663">
        <w:rPr>
          <w:rFonts w:ascii="Times New Roman" w:hAnsi="Times New Roman" w:cs="Times New Roman"/>
          <w:spacing w:val="-3"/>
          <w:sz w:val="24"/>
          <w:szCs w:val="24"/>
        </w:rPr>
        <w:t>Petitioner</w:t>
      </w:r>
      <w:r w:rsidR="00E15F6F" w:rsidRPr="00AE1663">
        <w:rPr>
          <w:rFonts w:ascii="Times New Roman" w:hAnsi="Times New Roman" w:cs="Times New Roman"/>
          <w:spacing w:val="-3"/>
          <w:sz w:val="24"/>
          <w:szCs w:val="24"/>
        </w:rPr>
        <w:t>s</w:t>
      </w:r>
      <w:r w:rsidR="007430C8" w:rsidRPr="00AE1663">
        <w:rPr>
          <w:rFonts w:ascii="Times New Roman" w:hAnsi="Times New Roman" w:cs="Times New Roman"/>
          <w:spacing w:val="-3"/>
          <w:sz w:val="24"/>
          <w:szCs w:val="24"/>
        </w:rPr>
        <w:t>’</w:t>
      </w:r>
      <w:r w:rsidRPr="00AE1663">
        <w:rPr>
          <w:rFonts w:ascii="Times New Roman" w:hAnsi="Times New Roman" w:cs="Times New Roman"/>
          <w:spacing w:val="-3"/>
          <w:sz w:val="24"/>
          <w:szCs w:val="24"/>
        </w:rPr>
        <w:t xml:space="preserve"> case at the time of filing. Additionally, Petitioner</w:t>
      </w:r>
      <w:r w:rsidR="00E15F6F" w:rsidRPr="00AE1663">
        <w:rPr>
          <w:rFonts w:ascii="Times New Roman" w:hAnsi="Times New Roman" w:cs="Times New Roman"/>
          <w:spacing w:val="-3"/>
          <w:sz w:val="24"/>
          <w:szCs w:val="24"/>
        </w:rPr>
        <w:t>s</w:t>
      </w:r>
      <w:r w:rsidRPr="00AE1663">
        <w:rPr>
          <w:rFonts w:ascii="Times New Roman" w:hAnsi="Times New Roman" w:cs="Times New Roman"/>
          <w:spacing w:val="-3"/>
          <w:sz w:val="24"/>
          <w:szCs w:val="24"/>
        </w:rPr>
        <w:t xml:space="preserve"> did not exhaust all domestic remedies prior to filing.</w:t>
      </w:r>
      <w:r w:rsidRPr="00AE1663">
        <w:rPr>
          <w:rFonts w:ascii="Times New Roman" w:hAnsi="Times New Roman" w:cs="Times New Roman"/>
          <w:bCs/>
          <w:sz w:val="24"/>
          <w:szCs w:val="24"/>
        </w:rPr>
        <w:t xml:space="preserve"> </w:t>
      </w:r>
      <w:r w:rsidR="00E15F6F" w:rsidRPr="00AE1663">
        <w:rPr>
          <w:rFonts w:ascii="Times New Roman" w:hAnsi="Times New Roman" w:cs="Times New Roman"/>
          <w:bCs/>
          <w:sz w:val="24"/>
          <w:szCs w:val="24"/>
        </w:rPr>
        <w:t xml:space="preserve">No exception </w:t>
      </w:r>
      <w:r w:rsidR="007430C8" w:rsidRPr="00AE1663">
        <w:rPr>
          <w:rFonts w:ascii="Times New Roman" w:hAnsi="Times New Roman" w:cs="Times New Roman"/>
          <w:bCs/>
          <w:sz w:val="24"/>
          <w:szCs w:val="24"/>
        </w:rPr>
        <w:lastRenderedPageBreak/>
        <w:t>applies to Petitioners’</w:t>
      </w:r>
      <w:r w:rsidR="00E15F6F" w:rsidRPr="00AE1663">
        <w:rPr>
          <w:rFonts w:ascii="Times New Roman" w:hAnsi="Times New Roman" w:cs="Times New Roman"/>
          <w:bCs/>
          <w:sz w:val="24"/>
          <w:szCs w:val="24"/>
        </w:rPr>
        <w:t xml:space="preserve"> situation because they were not </w:t>
      </w:r>
      <w:r w:rsidRPr="00AE1663">
        <w:rPr>
          <w:rFonts w:ascii="Times New Roman" w:hAnsi="Times New Roman" w:cs="Times New Roman"/>
          <w:bCs/>
          <w:sz w:val="24"/>
          <w:szCs w:val="24"/>
        </w:rPr>
        <w:t xml:space="preserve">indigent or </w:t>
      </w:r>
      <w:r w:rsidR="00E206E7" w:rsidRPr="00AE1663">
        <w:rPr>
          <w:rFonts w:ascii="Times New Roman" w:hAnsi="Times New Roman" w:cs="Times New Roman"/>
          <w:bCs/>
          <w:sz w:val="24"/>
          <w:szCs w:val="24"/>
        </w:rPr>
        <w:t>precluded</w:t>
      </w:r>
      <w:r w:rsidR="00E15F6F" w:rsidRPr="00AE1663">
        <w:rPr>
          <w:rFonts w:ascii="Times New Roman" w:hAnsi="Times New Roman" w:cs="Times New Roman"/>
          <w:bCs/>
          <w:sz w:val="24"/>
          <w:szCs w:val="24"/>
        </w:rPr>
        <w:t xml:space="preserve"> from seeking domestic representation. </w:t>
      </w:r>
      <w:r w:rsidRPr="00AE1663">
        <w:rPr>
          <w:rFonts w:ascii="Times New Roman" w:hAnsi="Times New Roman" w:cs="Times New Roman"/>
          <w:bCs/>
          <w:sz w:val="24"/>
          <w:szCs w:val="24"/>
        </w:rPr>
        <w:t>On the contrary, Petitioners had a growing sphere of influence and was familiar with the legal system.</w:t>
      </w:r>
      <w:r w:rsidRPr="00A7760B">
        <w:rPr>
          <w:rStyle w:val="FootnoteReference"/>
          <w:rFonts w:ascii="Times New Roman" w:hAnsi="Times New Roman" w:cs="Times New Roman"/>
          <w:bCs/>
          <w:sz w:val="20"/>
          <w:szCs w:val="24"/>
        </w:rPr>
        <w:footnoteReference w:id="63"/>
      </w:r>
      <w:r w:rsidRPr="00AE1663">
        <w:rPr>
          <w:rFonts w:ascii="Times New Roman" w:hAnsi="Times New Roman" w:cs="Times New Roman"/>
          <w:bCs/>
          <w:sz w:val="24"/>
          <w:szCs w:val="24"/>
        </w:rPr>
        <w:t xml:space="preserve"> Family Court No. 3 did not rule on the petition for constitutional remedy until 18 February, 2012, but Mariposa, Petitioners’ activist</w:t>
      </w:r>
      <w:r w:rsidRPr="00AE1663">
        <w:rPr>
          <w:rFonts w:ascii="Times New Roman" w:hAnsi="Times New Roman" w:cs="Times New Roman"/>
          <w:b/>
          <w:bCs/>
          <w:i/>
          <w:sz w:val="24"/>
          <w:szCs w:val="24"/>
        </w:rPr>
        <w:t xml:space="preserve"> </w:t>
      </w:r>
      <w:r w:rsidRPr="00AE1663">
        <w:rPr>
          <w:rFonts w:ascii="Times New Roman" w:hAnsi="Times New Roman" w:cs="Times New Roman"/>
          <w:bCs/>
          <w:sz w:val="24"/>
          <w:szCs w:val="24"/>
        </w:rPr>
        <w:t>organization, filed the petition before the Commission on 1 February, 2012.</w:t>
      </w:r>
      <w:r w:rsidRPr="00A7760B">
        <w:rPr>
          <w:rStyle w:val="FootnoteReference"/>
          <w:rFonts w:ascii="Times New Roman" w:hAnsi="Times New Roman" w:cs="Times New Roman"/>
          <w:bCs/>
          <w:sz w:val="20"/>
          <w:szCs w:val="24"/>
        </w:rPr>
        <w:footnoteReference w:id="64"/>
      </w:r>
      <w:r w:rsidR="000F2775" w:rsidRPr="00AE1663">
        <w:rPr>
          <w:rFonts w:ascii="Times New Roman" w:hAnsi="Times New Roman" w:cs="Times New Roman"/>
          <w:bCs/>
          <w:sz w:val="24"/>
          <w:szCs w:val="24"/>
        </w:rPr>
        <w:t xml:space="preserve"> The Tribunal did not rule on</w:t>
      </w:r>
      <w:r w:rsidRPr="00AE1663">
        <w:rPr>
          <w:rFonts w:ascii="Times New Roman" w:hAnsi="Times New Roman" w:cs="Times New Roman"/>
          <w:bCs/>
          <w:sz w:val="24"/>
          <w:szCs w:val="24"/>
        </w:rPr>
        <w:t xml:space="preserve"> </w:t>
      </w:r>
      <w:r w:rsidR="000F2775" w:rsidRPr="00AE1663">
        <w:rPr>
          <w:rFonts w:ascii="Times New Roman" w:hAnsi="Times New Roman" w:cs="Times New Roman"/>
          <w:bCs/>
          <w:sz w:val="24"/>
          <w:szCs w:val="24"/>
        </w:rPr>
        <w:t>Petitioner</w:t>
      </w:r>
      <w:r w:rsidRPr="00AE1663">
        <w:rPr>
          <w:rFonts w:ascii="Times New Roman" w:hAnsi="Times New Roman" w:cs="Times New Roman"/>
          <w:bCs/>
          <w:sz w:val="24"/>
          <w:szCs w:val="24"/>
        </w:rPr>
        <w:t>s</w:t>
      </w:r>
      <w:r w:rsidR="000F2775" w:rsidRPr="00AE1663">
        <w:rPr>
          <w:rFonts w:ascii="Times New Roman" w:hAnsi="Times New Roman" w:cs="Times New Roman"/>
          <w:bCs/>
          <w:sz w:val="24"/>
          <w:szCs w:val="24"/>
        </w:rPr>
        <w:t>’</w:t>
      </w:r>
      <w:r w:rsidRPr="00AE1663">
        <w:rPr>
          <w:rFonts w:ascii="Times New Roman" w:hAnsi="Times New Roman" w:cs="Times New Roman"/>
          <w:bCs/>
          <w:sz w:val="24"/>
          <w:szCs w:val="24"/>
        </w:rPr>
        <w:t xml:space="preserve"> appeal until 16 May, 2012, yet the Commission began its admissibility stage on 10 May, 2012, prior to the final ruling.</w:t>
      </w:r>
      <w:r w:rsidRPr="00A7760B">
        <w:rPr>
          <w:rStyle w:val="FootnoteReference"/>
          <w:rFonts w:ascii="Times New Roman" w:hAnsi="Times New Roman" w:cs="Times New Roman"/>
          <w:bCs/>
          <w:sz w:val="20"/>
          <w:szCs w:val="24"/>
        </w:rPr>
        <w:footnoteReference w:id="65"/>
      </w:r>
      <w:r w:rsidRPr="00AE1663">
        <w:rPr>
          <w:rFonts w:ascii="Times New Roman" w:hAnsi="Times New Roman" w:cs="Times New Roman"/>
          <w:bCs/>
          <w:sz w:val="24"/>
          <w:szCs w:val="24"/>
        </w:rPr>
        <w:t xml:space="preserve"> In effect, </w:t>
      </w:r>
      <w:r w:rsidR="00E15F6F" w:rsidRPr="00AE1663">
        <w:rPr>
          <w:rFonts w:ascii="Times New Roman" w:hAnsi="Times New Roman" w:cs="Times New Roman"/>
          <w:bCs/>
          <w:sz w:val="24"/>
          <w:szCs w:val="24"/>
        </w:rPr>
        <w:t>the P</w:t>
      </w:r>
      <w:r w:rsidRPr="00AE1663">
        <w:rPr>
          <w:rFonts w:ascii="Times New Roman" w:hAnsi="Times New Roman" w:cs="Times New Roman"/>
          <w:bCs/>
          <w:sz w:val="24"/>
          <w:szCs w:val="24"/>
        </w:rPr>
        <w:t xml:space="preserve">etitioners filed with the Commission while domestic remedies were still pending. </w:t>
      </w:r>
    </w:p>
    <w:p w:rsidR="00006D65" w:rsidRPr="00AE1663" w:rsidRDefault="00681316" w:rsidP="00006D65">
      <w:pPr>
        <w:autoSpaceDE w:val="0"/>
        <w:autoSpaceDN w:val="0"/>
        <w:adjustRightInd w:val="0"/>
        <w:spacing w:after="0" w:line="480" w:lineRule="auto"/>
        <w:rPr>
          <w:rFonts w:ascii="Times New Roman" w:hAnsi="Times New Roman" w:cs="Times New Roman"/>
          <w:spacing w:val="-3"/>
          <w:sz w:val="24"/>
          <w:szCs w:val="24"/>
        </w:rPr>
      </w:pPr>
      <w:r w:rsidRPr="00AE1663">
        <w:rPr>
          <w:rFonts w:ascii="Times New Roman" w:hAnsi="Times New Roman" w:cs="Times New Roman"/>
          <w:bCs/>
          <w:sz w:val="24"/>
          <w:szCs w:val="24"/>
        </w:rPr>
        <w:tab/>
      </w:r>
      <w:r w:rsidRPr="00AE1663">
        <w:rPr>
          <w:rFonts w:ascii="Times New Roman" w:hAnsi="Times New Roman" w:cs="Times New Roman"/>
          <w:spacing w:val="-3"/>
          <w:sz w:val="24"/>
          <w:szCs w:val="24"/>
        </w:rPr>
        <w:t>The Commission ignored the fact that Petitioners could have pursued an unconstitutionality action. After the final judgment by the Plenary Tribunal, Petitioners could have filed a public right of action under Article 110 of Elizabetia’s civil code.</w:t>
      </w:r>
      <w:r w:rsidRPr="00A7760B">
        <w:rPr>
          <w:rStyle w:val="FootnoteReference"/>
          <w:rFonts w:ascii="Times New Roman" w:hAnsi="Times New Roman" w:cs="Times New Roman"/>
          <w:spacing w:val="-3"/>
          <w:sz w:val="20"/>
          <w:szCs w:val="24"/>
        </w:rPr>
        <w:footnoteReference w:id="66"/>
      </w:r>
      <w:r w:rsidRPr="00AE1663">
        <w:rPr>
          <w:rFonts w:ascii="Times New Roman" w:hAnsi="Times New Roman" w:cs="Times New Roman"/>
          <w:spacing w:val="-3"/>
          <w:sz w:val="24"/>
          <w:szCs w:val="24"/>
        </w:rPr>
        <w:t xml:space="preserve"> This remedy is </w:t>
      </w:r>
      <w:r w:rsidRPr="00AE1663">
        <w:rPr>
          <w:rFonts w:ascii="Times New Roman" w:hAnsi="Times New Roman" w:cs="Times New Roman"/>
          <w:i/>
          <w:spacing w:val="-3"/>
          <w:sz w:val="24"/>
          <w:szCs w:val="24"/>
        </w:rPr>
        <w:t>sui generis</w:t>
      </w:r>
      <w:r w:rsidRPr="00AE1663">
        <w:rPr>
          <w:rFonts w:ascii="Times New Roman" w:hAnsi="Times New Roman" w:cs="Times New Roman"/>
          <w:spacing w:val="-3"/>
          <w:sz w:val="24"/>
          <w:szCs w:val="24"/>
        </w:rPr>
        <w:t>, unlike any previous judicial recourse, and the Constitutional Chamber of the Supreme Court of Justice could potentially have removed Article 396 if it found the provision defective.</w:t>
      </w:r>
      <w:r w:rsidRPr="00A7760B">
        <w:rPr>
          <w:rStyle w:val="FootnoteReference"/>
          <w:rFonts w:ascii="Times New Roman" w:hAnsi="Times New Roman" w:cs="Times New Roman"/>
          <w:spacing w:val="-3"/>
          <w:sz w:val="20"/>
          <w:szCs w:val="24"/>
        </w:rPr>
        <w:footnoteReference w:id="67"/>
      </w:r>
      <w:r w:rsidRPr="00AE1663">
        <w:rPr>
          <w:rFonts w:ascii="Times New Roman" w:hAnsi="Times New Roman" w:cs="Times New Roman"/>
          <w:spacing w:val="-3"/>
          <w:sz w:val="24"/>
          <w:szCs w:val="24"/>
        </w:rPr>
        <w:t xml:space="preserve"> The unconstitutionality action is not inad</w:t>
      </w:r>
      <w:r w:rsidR="000F2775" w:rsidRPr="00AE1663">
        <w:rPr>
          <w:rFonts w:ascii="Times New Roman" w:hAnsi="Times New Roman" w:cs="Times New Roman"/>
          <w:spacing w:val="-3"/>
          <w:sz w:val="24"/>
          <w:szCs w:val="24"/>
        </w:rPr>
        <w:t>equate or ineffective in thi</w:t>
      </w:r>
      <w:r w:rsidRPr="00AE1663">
        <w:rPr>
          <w:rFonts w:ascii="Times New Roman" w:hAnsi="Times New Roman" w:cs="Times New Roman"/>
          <w:spacing w:val="-3"/>
          <w:sz w:val="24"/>
          <w:szCs w:val="24"/>
        </w:rPr>
        <w:t>s case because the remedy was effective in 2009 when the Constitutional Chamber ruled that limiting domestic partnerships between a man and a woman was unconstitutional.</w:t>
      </w:r>
      <w:r w:rsidRPr="00A7760B">
        <w:rPr>
          <w:rStyle w:val="FootnoteReference"/>
          <w:rFonts w:ascii="Times New Roman" w:hAnsi="Times New Roman" w:cs="Times New Roman"/>
          <w:spacing w:val="-3"/>
          <w:sz w:val="20"/>
          <w:szCs w:val="24"/>
        </w:rPr>
        <w:footnoteReference w:id="68"/>
      </w:r>
      <w:r w:rsidRPr="00AE1663">
        <w:rPr>
          <w:rFonts w:ascii="Times New Roman" w:hAnsi="Times New Roman" w:cs="Times New Roman"/>
          <w:spacing w:val="-3"/>
          <w:sz w:val="24"/>
          <w:szCs w:val="24"/>
        </w:rPr>
        <w:t xml:space="preserve"> The 2009 judgment shows how Elizabetia has resolved similar questions under its own internal law in the past, without the intrusion of international proceedings.</w:t>
      </w:r>
    </w:p>
    <w:p w:rsidR="00985610" w:rsidRPr="00AE1663" w:rsidRDefault="003D1F38" w:rsidP="00985610">
      <w:pPr>
        <w:pStyle w:val="Heading3"/>
        <w:numPr>
          <w:ilvl w:val="0"/>
          <w:numId w:val="8"/>
        </w:numPr>
        <w:spacing w:before="0" w:line="240" w:lineRule="auto"/>
        <w:ind w:left="1440" w:hanging="720"/>
        <w:rPr>
          <w:rFonts w:ascii="Times New Roman" w:hAnsi="Times New Roman" w:cs="Times New Roman"/>
          <w:color w:val="auto"/>
          <w:sz w:val="24"/>
          <w:szCs w:val="24"/>
        </w:rPr>
      </w:pPr>
      <w:bookmarkStart w:id="7" w:name="_Toc352003540"/>
      <w:r w:rsidRPr="00AE1663">
        <w:rPr>
          <w:rFonts w:ascii="Times New Roman" w:hAnsi="Times New Roman" w:cs="Times New Roman"/>
          <w:color w:val="auto"/>
          <w:sz w:val="24"/>
          <w:szCs w:val="24"/>
        </w:rPr>
        <w:t>The Commission Cannot Invoke The Court’s Jurisdiction Because I</w:t>
      </w:r>
      <w:r w:rsidR="001B2737" w:rsidRPr="00AE1663">
        <w:rPr>
          <w:rFonts w:ascii="Times New Roman" w:hAnsi="Times New Roman" w:cs="Times New Roman"/>
          <w:color w:val="auto"/>
          <w:sz w:val="24"/>
          <w:szCs w:val="24"/>
        </w:rPr>
        <w:t>t Violated the Fourth Instance Formula</w:t>
      </w:r>
      <w:bookmarkEnd w:id="7"/>
    </w:p>
    <w:p w:rsidR="00985610" w:rsidRPr="00AE1663" w:rsidRDefault="00985610" w:rsidP="00985610">
      <w:pPr>
        <w:rPr>
          <w:rFonts w:ascii="Times New Roman" w:hAnsi="Times New Roman" w:cs="Times New Roman"/>
          <w:sz w:val="24"/>
          <w:szCs w:val="24"/>
        </w:rPr>
      </w:pPr>
    </w:p>
    <w:p w:rsidR="00006D65" w:rsidRPr="00AE1663" w:rsidRDefault="00E84039" w:rsidP="00985610">
      <w:pPr>
        <w:autoSpaceDE w:val="0"/>
        <w:autoSpaceDN w:val="0"/>
        <w:adjustRightInd w:val="0"/>
        <w:spacing w:after="0" w:line="480" w:lineRule="auto"/>
        <w:ind w:firstLine="720"/>
        <w:rPr>
          <w:rFonts w:ascii="Times New Roman" w:hAnsi="Times New Roman" w:cs="Times New Roman"/>
          <w:spacing w:val="-3"/>
          <w:sz w:val="24"/>
          <w:szCs w:val="24"/>
        </w:rPr>
      </w:pPr>
      <w:r w:rsidRPr="00AE1663">
        <w:rPr>
          <w:rFonts w:ascii="Times New Roman" w:hAnsi="Times New Roman" w:cs="Times New Roman"/>
          <w:sz w:val="24"/>
          <w:szCs w:val="24"/>
        </w:rPr>
        <w:t>The IACtHR</w:t>
      </w:r>
      <w:r w:rsidR="00006D65" w:rsidRPr="00AE1663">
        <w:rPr>
          <w:rFonts w:ascii="Times New Roman" w:hAnsi="Times New Roman" w:cs="Times New Roman"/>
          <w:sz w:val="24"/>
          <w:szCs w:val="24"/>
        </w:rPr>
        <w:t xml:space="preserve"> has no jurisdiction to act as</w:t>
      </w:r>
      <w:r w:rsidRPr="00AE1663">
        <w:rPr>
          <w:rFonts w:ascii="Times New Roman" w:hAnsi="Times New Roman" w:cs="Times New Roman"/>
          <w:sz w:val="24"/>
          <w:szCs w:val="24"/>
        </w:rPr>
        <w:t xml:space="preserve"> a fourth instance appellate forum</w:t>
      </w:r>
      <w:r w:rsidR="00006D65" w:rsidRPr="00AE1663">
        <w:rPr>
          <w:rFonts w:ascii="Times New Roman" w:hAnsi="Times New Roman" w:cs="Times New Roman"/>
          <w:sz w:val="24"/>
          <w:szCs w:val="24"/>
        </w:rPr>
        <w:t>.</w:t>
      </w:r>
      <w:r w:rsidR="0071238D" w:rsidRPr="00AE1663">
        <w:rPr>
          <w:rFonts w:ascii="Times New Roman" w:hAnsi="Times New Roman" w:cs="Times New Roman"/>
          <w:sz w:val="24"/>
          <w:szCs w:val="24"/>
        </w:rPr>
        <w:t xml:space="preserve"> </w:t>
      </w:r>
      <w:r w:rsidR="00006D65" w:rsidRPr="00AE1663">
        <w:rPr>
          <w:rFonts w:ascii="Times New Roman" w:eastAsia="Times New Roman" w:hAnsi="Times New Roman" w:cs="Times New Roman"/>
          <w:spacing w:val="-3"/>
          <w:sz w:val="24"/>
          <w:szCs w:val="24"/>
        </w:rPr>
        <w:t>The rule of prior exhaustion of domesti</w:t>
      </w:r>
      <w:r w:rsidRPr="00AE1663">
        <w:rPr>
          <w:rFonts w:ascii="Times New Roman" w:eastAsia="Times New Roman" w:hAnsi="Times New Roman" w:cs="Times New Roman"/>
          <w:spacing w:val="-3"/>
          <w:sz w:val="24"/>
          <w:szCs w:val="24"/>
        </w:rPr>
        <w:t xml:space="preserve">c remedies requires that this Court not act as the state’s domestic court </w:t>
      </w:r>
      <w:r w:rsidRPr="00AE1663">
        <w:rPr>
          <w:rFonts w:ascii="Times New Roman" w:eastAsia="Times New Roman" w:hAnsi="Times New Roman" w:cs="Times New Roman"/>
          <w:spacing w:val="-3"/>
          <w:sz w:val="24"/>
          <w:szCs w:val="24"/>
        </w:rPr>
        <w:lastRenderedPageBreak/>
        <w:t>of appeals</w:t>
      </w:r>
      <w:r w:rsidR="00006D65" w:rsidRPr="00AE1663">
        <w:rPr>
          <w:rFonts w:ascii="Times New Roman" w:eastAsia="Times New Roman" w:hAnsi="Times New Roman" w:cs="Times New Roman"/>
          <w:spacing w:val="-3"/>
          <w:sz w:val="24"/>
          <w:szCs w:val="24"/>
        </w:rPr>
        <w:t>.</w:t>
      </w:r>
      <w:r w:rsidR="00006D65" w:rsidRPr="00A7760B">
        <w:rPr>
          <w:rStyle w:val="FootnoteReference"/>
          <w:rFonts w:ascii="Times New Roman" w:eastAsia="Times New Roman" w:hAnsi="Times New Roman" w:cs="Times New Roman"/>
          <w:spacing w:val="-3"/>
          <w:sz w:val="20"/>
          <w:szCs w:val="24"/>
        </w:rPr>
        <w:footnoteReference w:id="69"/>
      </w:r>
      <w:r w:rsidR="0071238D" w:rsidRPr="00AE1663">
        <w:rPr>
          <w:rFonts w:ascii="Times New Roman" w:eastAsia="Times New Roman" w:hAnsi="Times New Roman" w:cs="Times New Roman"/>
          <w:spacing w:val="-3"/>
          <w:sz w:val="24"/>
          <w:szCs w:val="24"/>
        </w:rPr>
        <w:t xml:space="preserve"> </w:t>
      </w:r>
      <w:r w:rsidR="00006D65" w:rsidRPr="00AE1663">
        <w:rPr>
          <w:rFonts w:ascii="Times New Roman" w:hAnsi="Times New Roman" w:cs="Times New Roman"/>
          <w:sz w:val="24"/>
          <w:szCs w:val="24"/>
        </w:rPr>
        <w:t>The</w:t>
      </w:r>
      <w:r w:rsidRPr="00AE1663">
        <w:rPr>
          <w:rFonts w:ascii="Times New Roman" w:hAnsi="Times New Roman" w:cs="Times New Roman"/>
          <w:sz w:val="24"/>
          <w:szCs w:val="24"/>
        </w:rPr>
        <w:t>refore, the</w:t>
      </w:r>
      <w:r w:rsidR="00006D65" w:rsidRPr="00AE1663">
        <w:rPr>
          <w:rFonts w:ascii="Times New Roman" w:hAnsi="Times New Roman" w:cs="Times New Roman"/>
          <w:sz w:val="24"/>
          <w:szCs w:val="24"/>
        </w:rPr>
        <w:t xml:space="preserve"> IACtHR cannot issue a ruling on the scope of domestic law, or a dispute between different sectors of local doctrine.</w:t>
      </w:r>
      <w:r w:rsidR="00006D65" w:rsidRPr="00A7760B">
        <w:rPr>
          <w:rStyle w:val="FootnoteReference"/>
          <w:rFonts w:ascii="Times New Roman" w:hAnsi="Times New Roman" w:cs="Times New Roman"/>
          <w:sz w:val="20"/>
          <w:szCs w:val="24"/>
        </w:rPr>
        <w:footnoteReference w:id="70"/>
      </w:r>
      <w:r w:rsidR="0071238D" w:rsidRPr="00AE1663">
        <w:rPr>
          <w:rFonts w:ascii="Times New Roman" w:hAnsi="Times New Roman" w:cs="Times New Roman"/>
          <w:sz w:val="24"/>
          <w:szCs w:val="24"/>
        </w:rPr>
        <w:t xml:space="preserve"> </w:t>
      </w:r>
      <w:r w:rsidR="00006D65" w:rsidRPr="00AE1663">
        <w:rPr>
          <w:rFonts w:ascii="Times New Roman" w:hAnsi="Times New Roman" w:cs="Times New Roman"/>
          <w:sz w:val="24"/>
          <w:szCs w:val="24"/>
        </w:rPr>
        <w:t xml:space="preserve">The Commission </w:t>
      </w:r>
      <w:r w:rsidR="000960CD" w:rsidRPr="00AE1663">
        <w:rPr>
          <w:rFonts w:ascii="Times New Roman" w:hAnsi="Times New Roman" w:cs="Times New Roman"/>
          <w:spacing w:val="-3"/>
          <w:sz w:val="24"/>
          <w:szCs w:val="24"/>
        </w:rPr>
        <w:t xml:space="preserve">has no right to examine alleged errors </w:t>
      </w:r>
      <w:r w:rsidR="00006D65" w:rsidRPr="00AE1663">
        <w:rPr>
          <w:rFonts w:ascii="Times New Roman" w:hAnsi="Times New Roman" w:cs="Times New Roman"/>
          <w:spacing w:val="-3"/>
          <w:sz w:val="24"/>
          <w:szCs w:val="24"/>
        </w:rPr>
        <w:t>committed by the domestic courts ac</w:t>
      </w:r>
      <w:r w:rsidR="000960CD" w:rsidRPr="00AE1663">
        <w:rPr>
          <w:rFonts w:ascii="Times New Roman" w:hAnsi="Times New Roman" w:cs="Times New Roman"/>
          <w:spacing w:val="-3"/>
          <w:sz w:val="24"/>
          <w:szCs w:val="24"/>
        </w:rPr>
        <w:t xml:space="preserve">ting within their jurisdiction, </w:t>
      </w:r>
      <w:r w:rsidR="00006D65" w:rsidRPr="00AE1663">
        <w:rPr>
          <w:rFonts w:ascii="Times New Roman" w:hAnsi="Times New Roman" w:cs="Times New Roman"/>
          <w:spacing w:val="-3"/>
          <w:sz w:val="24"/>
          <w:szCs w:val="24"/>
        </w:rPr>
        <w:t xml:space="preserve">unless the mistakes </w:t>
      </w:r>
      <w:r w:rsidR="000960CD" w:rsidRPr="00AE1663">
        <w:rPr>
          <w:rFonts w:ascii="Times New Roman" w:hAnsi="Times New Roman" w:cs="Times New Roman"/>
          <w:spacing w:val="-3"/>
          <w:sz w:val="24"/>
          <w:szCs w:val="24"/>
        </w:rPr>
        <w:t>entail a possible violation</w:t>
      </w:r>
      <w:r w:rsidR="00006D65" w:rsidRPr="00AE1663">
        <w:rPr>
          <w:rFonts w:ascii="Times New Roman" w:hAnsi="Times New Roman" w:cs="Times New Roman"/>
          <w:spacing w:val="-3"/>
          <w:sz w:val="24"/>
          <w:szCs w:val="24"/>
        </w:rPr>
        <w:t xml:space="preserve"> rights set forth in the ACHR.</w:t>
      </w:r>
      <w:r w:rsidR="00006D65" w:rsidRPr="00A7760B">
        <w:rPr>
          <w:rStyle w:val="FootnoteReference"/>
          <w:rFonts w:ascii="Times New Roman" w:hAnsi="Times New Roman" w:cs="Times New Roman"/>
          <w:spacing w:val="-3"/>
          <w:sz w:val="20"/>
          <w:szCs w:val="24"/>
        </w:rPr>
        <w:footnoteReference w:id="71"/>
      </w:r>
      <w:r w:rsidR="0071238D" w:rsidRPr="00AE1663">
        <w:rPr>
          <w:rFonts w:ascii="Times New Roman" w:hAnsi="Times New Roman" w:cs="Times New Roman"/>
          <w:spacing w:val="-3"/>
          <w:sz w:val="24"/>
          <w:szCs w:val="24"/>
        </w:rPr>
        <w:t xml:space="preserve"> </w:t>
      </w:r>
      <w:r w:rsidR="00006D65" w:rsidRPr="00AE1663">
        <w:rPr>
          <w:rFonts w:ascii="Times New Roman" w:hAnsi="Times New Roman" w:cs="Times New Roman"/>
          <w:spacing w:val="-3"/>
          <w:sz w:val="24"/>
          <w:szCs w:val="24"/>
        </w:rPr>
        <w:t>Same-sex marriage is not a clearly recognized custom or principle of international law an</w:t>
      </w:r>
      <w:r w:rsidR="000960CD" w:rsidRPr="00AE1663">
        <w:rPr>
          <w:rFonts w:ascii="Times New Roman" w:hAnsi="Times New Roman" w:cs="Times New Roman"/>
          <w:spacing w:val="-3"/>
          <w:sz w:val="24"/>
          <w:szCs w:val="24"/>
        </w:rPr>
        <w:t>d the ACHR includes no rights or provisions that specifically obligate signatories</w:t>
      </w:r>
      <w:r w:rsidR="00006D65" w:rsidRPr="00AE1663">
        <w:rPr>
          <w:rFonts w:ascii="Times New Roman" w:hAnsi="Times New Roman" w:cs="Times New Roman"/>
          <w:spacing w:val="-3"/>
          <w:sz w:val="24"/>
          <w:szCs w:val="24"/>
        </w:rPr>
        <w:t xml:space="preserve"> to allow same sex couples to marry.</w:t>
      </w:r>
      <w:r w:rsidR="00006D65" w:rsidRPr="00A7760B">
        <w:rPr>
          <w:rStyle w:val="FootnoteReference"/>
          <w:rFonts w:ascii="Times New Roman" w:hAnsi="Times New Roman" w:cs="Times New Roman"/>
          <w:spacing w:val="-3"/>
          <w:sz w:val="20"/>
          <w:szCs w:val="24"/>
        </w:rPr>
        <w:footnoteReference w:id="72"/>
      </w:r>
    </w:p>
    <w:p w:rsidR="00006D65" w:rsidRPr="00AE1663" w:rsidRDefault="00006D65" w:rsidP="00006D65">
      <w:pPr>
        <w:autoSpaceDE w:val="0"/>
        <w:autoSpaceDN w:val="0"/>
        <w:adjustRightInd w:val="0"/>
        <w:spacing w:after="0" w:line="480" w:lineRule="auto"/>
        <w:rPr>
          <w:rFonts w:ascii="Times New Roman" w:eastAsia="Times New Roman" w:hAnsi="Times New Roman" w:cs="Times New Roman"/>
          <w:spacing w:val="-3"/>
          <w:sz w:val="24"/>
          <w:szCs w:val="24"/>
        </w:rPr>
      </w:pPr>
      <w:r w:rsidRPr="00AE1663">
        <w:rPr>
          <w:rFonts w:ascii="Times New Roman" w:hAnsi="Times New Roman" w:cs="Times New Roman"/>
          <w:spacing w:val="-3"/>
          <w:sz w:val="24"/>
          <w:szCs w:val="24"/>
        </w:rPr>
        <w:tab/>
      </w:r>
      <w:r w:rsidRPr="00AE1663">
        <w:rPr>
          <w:rFonts w:ascii="Times New Roman" w:eastAsia="Times New Roman" w:hAnsi="Times New Roman" w:cs="Times New Roman"/>
          <w:spacing w:val="-3"/>
          <w:sz w:val="24"/>
          <w:szCs w:val="24"/>
        </w:rPr>
        <w:t>I</w:t>
      </w:r>
      <w:r w:rsidRPr="00AE1663">
        <w:rPr>
          <w:rFonts w:ascii="Times New Roman" w:hAnsi="Times New Roman" w:cs="Times New Roman"/>
          <w:spacing w:val="-3"/>
          <w:sz w:val="24"/>
          <w:szCs w:val="24"/>
        </w:rPr>
        <w:t xml:space="preserve">n the </w:t>
      </w:r>
      <w:r w:rsidRPr="00AE1663">
        <w:rPr>
          <w:rFonts w:ascii="Times New Roman" w:hAnsi="Times New Roman" w:cs="Times New Roman"/>
          <w:i/>
          <w:spacing w:val="-3"/>
          <w:sz w:val="24"/>
          <w:szCs w:val="24"/>
        </w:rPr>
        <w:t>Case of</w:t>
      </w:r>
      <w:r w:rsidRPr="00AE1663">
        <w:rPr>
          <w:rFonts w:ascii="Times New Roman" w:hAnsi="Times New Roman" w:cs="Times New Roman"/>
          <w:spacing w:val="-3"/>
          <w:sz w:val="24"/>
          <w:szCs w:val="24"/>
        </w:rPr>
        <w:t xml:space="preserve"> </w:t>
      </w:r>
      <w:r w:rsidRPr="00AE1663">
        <w:rPr>
          <w:rFonts w:ascii="Times New Roman" w:hAnsi="Times New Roman" w:cs="Times New Roman"/>
          <w:i/>
          <w:spacing w:val="-3"/>
          <w:sz w:val="24"/>
          <w:szCs w:val="24"/>
        </w:rPr>
        <w:t>Clifton Wright</w:t>
      </w:r>
      <w:r w:rsidRPr="00AE1663">
        <w:rPr>
          <w:rFonts w:ascii="Times New Roman" w:hAnsi="Times New Roman" w:cs="Times New Roman"/>
          <w:spacing w:val="-3"/>
          <w:sz w:val="24"/>
          <w:szCs w:val="24"/>
        </w:rPr>
        <w:t xml:space="preserve">, the </w:t>
      </w:r>
      <w:r w:rsidR="001F1F24" w:rsidRPr="00AE1663">
        <w:rPr>
          <w:rFonts w:ascii="Times New Roman" w:hAnsi="Times New Roman" w:cs="Times New Roman"/>
          <w:spacing w:val="-3"/>
          <w:sz w:val="24"/>
          <w:szCs w:val="24"/>
        </w:rPr>
        <w:t xml:space="preserve">Commission reasoned that the </w:t>
      </w:r>
      <w:r w:rsidRPr="00AE1663">
        <w:rPr>
          <w:rFonts w:ascii="Times New Roman" w:hAnsi="Times New Roman" w:cs="Times New Roman"/>
          <w:spacing w:val="-3"/>
          <w:sz w:val="24"/>
          <w:szCs w:val="24"/>
        </w:rPr>
        <w:t xml:space="preserve">Jamaican domestic system had no process of appeal, leaving Mr. Wright without recourse once </w:t>
      </w:r>
      <w:r w:rsidR="00E206E7" w:rsidRPr="00AE1663">
        <w:rPr>
          <w:rFonts w:ascii="Times New Roman" w:hAnsi="Times New Roman" w:cs="Times New Roman"/>
          <w:spacing w:val="-3"/>
          <w:sz w:val="24"/>
          <w:szCs w:val="24"/>
        </w:rPr>
        <w:t xml:space="preserve">the state entered </w:t>
      </w:r>
      <w:r w:rsidRPr="00AE1663">
        <w:rPr>
          <w:rFonts w:ascii="Times New Roman" w:hAnsi="Times New Roman" w:cs="Times New Roman"/>
          <w:spacing w:val="-3"/>
          <w:sz w:val="24"/>
          <w:szCs w:val="24"/>
        </w:rPr>
        <w:t>a death sentence against him.</w:t>
      </w:r>
      <w:r w:rsidRPr="00A7760B">
        <w:rPr>
          <w:rStyle w:val="FootnoteReference"/>
          <w:rFonts w:ascii="Times New Roman" w:hAnsi="Times New Roman" w:cs="Times New Roman"/>
          <w:spacing w:val="-3"/>
          <w:sz w:val="20"/>
          <w:szCs w:val="24"/>
        </w:rPr>
        <w:footnoteReference w:id="73"/>
      </w:r>
      <w:r w:rsidR="0071238D" w:rsidRPr="00AE1663">
        <w:rPr>
          <w:rFonts w:ascii="Times New Roman" w:eastAsia="Times New Roman" w:hAnsi="Times New Roman" w:cs="Times New Roman"/>
          <w:spacing w:val="-3"/>
          <w:sz w:val="24"/>
          <w:szCs w:val="24"/>
        </w:rPr>
        <w:t xml:space="preserve"> </w:t>
      </w:r>
      <w:r w:rsidRPr="00AE1663">
        <w:rPr>
          <w:rFonts w:ascii="Times New Roman" w:eastAsia="Times New Roman" w:hAnsi="Times New Roman" w:cs="Times New Roman"/>
          <w:spacing w:val="-3"/>
          <w:sz w:val="24"/>
          <w:szCs w:val="24"/>
        </w:rPr>
        <w:t xml:space="preserve">Since the domestic legal process did not allow for a correction of judicial error, the </w:t>
      </w:r>
      <w:r w:rsidR="007B0537" w:rsidRPr="00AE1663">
        <w:rPr>
          <w:rFonts w:ascii="Times New Roman" w:eastAsia="Times New Roman" w:hAnsi="Times New Roman" w:cs="Times New Roman"/>
          <w:i/>
          <w:spacing w:val="-3"/>
          <w:sz w:val="24"/>
          <w:szCs w:val="24"/>
        </w:rPr>
        <w:t>Clifton</w:t>
      </w:r>
      <w:r w:rsidR="007B0537" w:rsidRPr="00AE1663">
        <w:rPr>
          <w:rFonts w:ascii="Times New Roman" w:eastAsia="Times New Roman" w:hAnsi="Times New Roman" w:cs="Times New Roman"/>
          <w:spacing w:val="-3"/>
          <w:sz w:val="24"/>
          <w:szCs w:val="24"/>
        </w:rPr>
        <w:t xml:space="preserve"> </w:t>
      </w:r>
      <w:r w:rsidRPr="00AE1663">
        <w:rPr>
          <w:rFonts w:ascii="Times New Roman" w:eastAsia="Times New Roman" w:hAnsi="Times New Roman" w:cs="Times New Roman"/>
          <w:spacing w:val="-3"/>
          <w:sz w:val="24"/>
          <w:szCs w:val="24"/>
        </w:rPr>
        <w:t>case posed a prima facie violation of fundamental rights and the Commission fulfilled its role to investigate a government action in violation of a right protected by the ACHR.</w:t>
      </w:r>
      <w:r w:rsidRPr="00A7760B">
        <w:rPr>
          <w:rStyle w:val="FootnoteReference"/>
          <w:rFonts w:ascii="Times New Roman" w:eastAsia="Times New Roman" w:hAnsi="Times New Roman" w:cs="Times New Roman"/>
          <w:spacing w:val="-3"/>
          <w:sz w:val="20"/>
          <w:szCs w:val="24"/>
        </w:rPr>
        <w:footnoteReference w:id="74"/>
      </w:r>
      <w:r w:rsidRPr="00AE1663">
        <w:rPr>
          <w:rFonts w:ascii="Times New Roman" w:eastAsia="Times New Roman" w:hAnsi="Times New Roman" w:cs="Times New Roman"/>
          <w:spacing w:val="-3"/>
          <w:sz w:val="24"/>
          <w:szCs w:val="24"/>
        </w:rPr>
        <w:t xml:space="preserve"> </w:t>
      </w:r>
    </w:p>
    <w:p w:rsidR="00006D65" w:rsidRPr="00AE1663" w:rsidRDefault="001F1F24" w:rsidP="00006D65">
      <w:pPr>
        <w:autoSpaceDE w:val="0"/>
        <w:autoSpaceDN w:val="0"/>
        <w:adjustRightInd w:val="0"/>
        <w:spacing w:after="0" w:line="480" w:lineRule="auto"/>
        <w:rPr>
          <w:rFonts w:ascii="Times New Roman" w:hAnsi="Times New Roman" w:cs="Times New Roman"/>
          <w:b/>
          <w:sz w:val="24"/>
          <w:szCs w:val="24"/>
          <w:u w:val="single"/>
        </w:rPr>
      </w:pPr>
      <w:r w:rsidRPr="00AE1663">
        <w:rPr>
          <w:rFonts w:ascii="Times New Roman" w:eastAsia="Times New Roman" w:hAnsi="Times New Roman" w:cs="Times New Roman"/>
          <w:spacing w:val="-3"/>
          <w:sz w:val="24"/>
          <w:szCs w:val="24"/>
        </w:rPr>
        <w:tab/>
        <w:t>In the case of Petitioners, t</w:t>
      </w:r>
      <w:r w:rsidR="00006D65" w:rsidRPr="00AE1663">
        <w:rPr>
          <w:rFonts w:ascii="Times New Roman" w:eastAsia="Times New Roman" w:hAnsi="Times New Roman" w:cs="Times New Roman"/>
          <w:spacing w:val="-3"/>
          <w:sz w:val="24"/>
          <w:szCs w:val="24"/>
        </w:rPr>
        <w:t xml:space="preserve">he Commission violated the fourth instance formula when it inserted its authority </w:t>
      </w:r>
      <w:r w:rsidRPr="00AE1663">
        <w:rPr>
          <w:rFonts w:ascii="Times New Roman" w:eastAsia="Times New Roman" w:hAnsi="Times New Roman" w:cs="Times New Roman"/>
          <w:spacing w:val="-3"/>
          <w:sz w:val="24"/>
          <w:szCs w:val="24"/>
        </w:rPr>
        <w:t>despi</w:t>
      </w:r>
      <w:r w:rsidR="007430C8" w:rsidRPr="00AE1663">
        <w:rPr>
          <w:rFonts w:ascii="Times New Roman" w:eastAsia="Times New Roman" w:hAnsi="Times New Roman" w:cs="Times New Roman"/>
          <w:spacing w:val="-3"/>
          <w:sz w:val="24"/>
          <w:szCs w:val="24"/>
        </w:rPr>
        <w:t>te the availability of</w:t>
      </w:r>
      <w:r w:rsidRPr="00AE1663">
        <w:rPr>
          <w:rFonts w:ascii="Times New Roman" w:eastAsia="Times New Roman" w:hAnsi="Times New Roman" w:cs="Times New Roman"/>
          <w:spacing w:val="-3"/>
          <w:sz w:val="24"/>
          <w:szCs w:val="24"/>
        </w:rPr>
        <w:t xml:space="preserve"> </w:t>
      </w:r>
      <w:r w:rsidR="00006D65" w:rsidRPr="00AE1663">
        <w:rPr>
          <w:rFonts w:ascii="Times New Roman" w:eastAsia="Times New Roman" w:hAnsi="Times New Roman" w:cs="Times New Roman"/>
          <w:spacing w:val="-3"/>
          <w:sz w:val="24"/>
          <w:szCs w:val="24"/>
        </w:rPr>
        <w:t xml:space="preserve">continued </w:t>
      </w:r>
      <w:r w:rsidRPr="00AE1663">
        <w:rPr>
          <w:rFonts w:ascii="Times New Roman" w:eastAsia="Times New Roman" w:hAnsi="Times New Roman" w:cs="Times New Roman"/>
          <w:spacing w:val="-3"/>
          <w:sz w:val="24"/>
          <w:szCs w:val="24"/>
        </w:rPr>
        <w:t>recourse to</w:t>
      </w:r>
      <w:r w:rsidR="00006D65" w:rsidRPr="00AE1663">
        <w:rPr>
          <w:rFonts w:ascii="Times New Roman" w:eastAsia="Times New Roman" w:hAnsi="Times New Roman" w:cs="Times New Roman"/>
          <w:spacing w:val="-3"/>
          <w:sz w:val="24"/>
          <w:szCs w:val="24"/>
        </w:rPr>
        <w:t xml:space="preserve"> Elizabetia</w:t>
      </w:r>
      <w:r w:rsidRPr="00AE1663">
        <w:rPr>
          <w:rFonts w:ascii="Times New Roman" w:eastAsia="Times New Roman" w:hAnsi="Times New Roman" w:cs="Times New Roman"/>
          <w:spacing w:val="-3"/>
          <w:sz w:val="24"/>
          <w:szCs w:val="24"/>
        </w:rPr>
        <w:t>’s appellate courts</w:t>
      </w:r>
      <w:r w:rsidR="00006D65" w:rsidRPr="00AE1663">
        <w:rPr>
          <w:rFonts w:ascii="Times New Roman" w:eastAsia="Times New Roman" w:hAnsi="Times New Roman" w:cs="Times New Roman"/>
          <w:spacing w:val="-3"/>
          <w:sz w:val="24"/>
          <w:szCs w:val="24"/>
        </w:rPr>
        <w:t xml:space="preserve">. </w:t>
      </w:r>
      <w:r w:rsidR="00E15F6F" w:rsidRPr="00AE1663">
        <w:rPr>
          <w:rFonts w:ascii="Times New Roman" w:eastAsia="Times New Roman" w:hAnsi="Times New Roman" w:cs="Times New Roman"/>
          <w:spacing w:val="-3"/>
          <w:sz w:val="24"/>
          <w:szCs w:val="24"/>
        </w:rPr>
        <w:t>The</w:t>
      </w:r>
      <w:r w:rsidR="00006D65" w:rsidRPr="00AE1663">
        <w:rPr>
          <w:rFonts w:ascii="Times New Roman" w:eastAsia="Times New Roman" w:hAnsi="Times New Roman" w:cs="Times New Roman"/>
          <w:spacing w:val="-3"/>
          <w:sz w:val="24"/>
          <w:szCs w:val="24"/>
        </w:rPr>
        <w:t xml:space="preserve"> petition did not pose any prima facie violation of rights under the ACHR because Article 17(2) identifies marriage between men and women, and does not refer to same-sex marriage.</w:t>
      </w:r>
      <w:r w:rsidR="00006D65" w:rsidRPr="00A7760B">
        <w:rPr>
          <w:rStyle w:val="FootnoteReference"/>
          <w:rFonts w:ascii="Times New Roman" w:eastAsia="Times New Roman" w:hAnsi="Times New Roman" w:cs="Times New Roman"/>
          <w:spacing w:val="-3"/>
          <w:sz w:val="20"/>
          <w:szCs w:val="24"/>
        </w:rPr>
        <w:footnoteReference w:id="75"/>
      </w:r>
      <w:r w:rsidR="00006D65" w:rsidRPr="00AE1663">
        <w:rPr>
          <w:rFonts w:ascii="Times New Roman" w:eastAsia="Times New Roman" w:hAnsi="Times New Roman" w:cs="Times New Roman"/>
          <w:spacing w:val="-3"/>
          <w:sz w:val="24"/>
          <w:szCs w:val="24"/>
        </w:rPr>
        <w:t xml:space="preserve"> The Commission should not have presumed a violation of human rights in light of the legal effects Elizabetia gives to same-sex domestic partnerships.</w:t>
      </w:r>
      <w:r w:rsidR="00006D65" w:rsidRPr="00A7760B">
        <w:rPr>
          <w:rStyle w:val="FootnoteReference"/>
          <w:rFonts w:ascii="Times New Roman" w:eastAsia="Times New Roman" w:hAnsi="Times New Roman" w:cs="Times New Roman"/>
          <w:spacing w:val="-3"/>
          <w:sz w:val="20"/>
          <w:szCs w:val="24"/>
        </w:rPr>
        <w:footnoteReference w:id="76"/>
      </w:r>
      <w:r w:rsidR="00006D65" w:rsidRPr="00AE1663">
        <w:rPr>
          <w:rFonts w:ascii="Times New Roman" w:eastAsia="Times New Roman" w:hAnsi="Times New Roman" w:cs="Times New Roman"/>
          <w:spacing w:val="-3"/>
          <w:sz w:val="24"/>
          <w:szCs w:val="24"/>
        </w:rPr>
        <w:t xml:space="preserve"> The Commission should not have overstepped </w:t>
      </w:r>
      <w:r w:rsidR="00006D65" w:rsidRPr="00AE1663">
        <w:rPr>
          <w:rFonts w:ascii="Times New Roman" w:eastAsia="Times New Roman" w:hAnsi="Times New Roman" w:cs="Times New Roman"/>
          <w:spacing w:val="-3"/>
          <w:sz w:val="24"/>
          <w:szCs w:val="24"/>
        </w:rPr>
        <w:lastRenderedPageBreak/>
        <w:t>its jurisdiction by initiating the admissibility stage, especially while domestic courts were still</w:t>
      </w:r>
      <w:r w:rsidRPr="00AE1663">
        <w:rPr>
          <w:rFonts w:ascii="Times New Roman" w:eastAsia="Times New Roman" w:hAnsi="Times New Roman" w:cs="Times New Roman"/>
          <w:spacing w:val="-3"/>
          <w:sz w:val="24"/>
          <w:szCs w:val="24"/>
        </w:rPr>
        <w:t xml:space="preserve"> in the process of reviewing this</w:t>
      </w:r>
      <w:r w:rsidR="00006D65" w:rsidRPr="00AE1663">
        <w:rPr>
          <w:rFonts w:ascii="Times New Roman" w:eastAsia="Times New Roman" w:hAnsi="Times New Roman" w:cs="Times New Roman"/>
          <w:spacing w:val="-3"/>
          <w:sz w:val="24"/>
          <w:szCs w:val="24"/>
        </w:rPr>
        <w:t xml:space="preserve"> issue.</w:t>
      </w:r>
    </w:p>
    <w:p w:rsidR="00E0555B" w:rsidRPr="00AE1663" w:rsidRDefault="001B2737" w:rsidP="000F2775">
      <w:pPr>
        <w:pStyle w:val="Heading2"/>
        <w:numPr>
          <w:ilvl w:val="0"/>
          <w:numId w:val="7"/>
        </w:numPr>
        <w:spacing w:before="0" w:line="240" w:lineRule="auto"/>
        <w:ind w:left="720"/>
        <w:rPr>
          <w:rFonts w:ascii="Times New Roman" w:hAnsi="Times New Roman" w:cs="Times New Roman"/>
          <w:color w:val="auto"/>
          <w:sz w:val="24"/>
          <w:szCs w:val="24"/>
        </w:rPr>
      </w:pPr>
      <w:bookmarkStart w:id="8" w:name="_Toc352003541"/>
      <w:r w:rsidRPr="00AE1663">
        <w:rPr>
          <w:rFonts w:ascii="Times New Roman" w:hAnsi="Times New Roman" w:cs="Times New Roman"/>
          <w:color w:val="auto"/>
          <w:sz w:val="24"/>
          <w:szCs w:val="24"/>
        </w:rPr>
        <w:t>E</w:t>
      </w:r>
      <w:r w:rsidR="00F816DE" w:rsidRPr="00AE1663">
        <w:rPr>
          <w:rFonts w:ascii="Times New Roman" w:hAnsi="Times New Roman" w:cs="Times New Roman"/>
          <w:color w:val="auto"/>
          <w:sz w:val="24"/>
          <w:szCs w:val="24"/>
        </w:rPr>
        <w:t>LIZABETIA DID</w:t>
      </w:r>
      <w:r w:rsidR="00E15F6F" w:rsidRPr="00AE1663">
        <w:rPr>
          <w:rFonts w:ascii="Times New Roman" w:hAnsi="Times New Roman" w:cs="Times New Roman"/>
          <w:color w:val="auto"/>
          <w:sz w:val="24"/>
          <w:szCs w:val="24"/>
        </w:rPr>
        <w:t xml:space="preserve"> NOT VIOLATE THE </w:t>
      </w:r>
      <w:r w:rsidR="007430C8" w:rsidRPr="00AE1663">
        <w:rPr>
          <w:rFonts w:ascii="Times New Roman" w:hAnsi="Times New Roman" w:cs="Times New Roman"/>
          <w:color w:val="auto"/>
          <w:sz w:val="24"/>
          <w:szCs w:val="24"/>
        </w:rPr>
        <w:t>PETITIONERS’</w:t>
      </w:r>
      <w:r w:rsidR="00F816DE" w:rsidRPr="00AE1663">
        <w:rPr>
          <w:rFonts w:ascii="Times New Roman" w:hAnsi="Times New Roman" w:cs="Times New Roman"/>
          <w:color w:val="auto"/>
          <w:sz w:val="24"/>
          <w:szCs w:val="24"/>
        </w:rPr>
        <w:t xml:space="preserve"> RIGHT TO</w:t>
      </w:r>
      <w:r w:rsidRPr="00AE1663">
        <w:rPr>
          <w:rFonts w:ascii="Times New Roman" w:hAnsi="Times New Roman" w:cs="Times New Roman"/>
          <w:color w:val="auto"/>
          <w:sz w:val="24"/>
          <w:szCs w:val="24"/>
        </w:rPr>
        <w:t xml:space="preserve"> </w:t>
      </w:r>
      <w:r w:rsidR="000F2775" w:rsidRPr="00AE1663">
        <w:rPr>
          <w:rFonts w:ascii="Times New Roman" w:hAnsi="Times New Roman" w:cs="Times New Roman"/>
          <w:color w:val="auto"/>
          <w:sz w:val="24"/>
          <w:szCs w:val="24"/>
        </w:rPr>
        <w:t>FAMILY</w:t>
      </w:r>
      <w:bookmarkEnd w:id="8"/>
    </w:p>
    <w:p w:rsidR="000F2775" w:rsidRPr="00AE1663" w:rsidRDefault="000F2775" w:rsidP="000F2775">
      <w:pPr>
        <w:rPr>
          <w:rFonts w:ascii="Times New Roman" w:hAnsi="Times New Roman" w:cs="Times New Roman"/>
          <w:sz w:val="24"/>
          <w:szCs w:val="24"/>
        </w:rPr>
      </w:pPr>
    </w:p>
    <w:p w:rsidR="00E15F6F" w:rsidRPr="00AE1663" w:rsidRDefault="00E15F6F" w:rsidP="000F2775">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Elizabetia did not violate the alleged victim’s right to family because it interpreted the ACHR articles under a good faith common meaning, did not discriminate based on religion or indigenous origin, and justified the separate standards for domestic partnerships through its sovereign right to put the national needs before the individual. Article 17 of the ACHR specifically states that men and women of marriageable age have the recognized right to marry and raise a family.</w:t>
      </w:r>
      <w:r w:rsidRPr="00A7760B">
        <w:rPr>
          <w:rFonts w:ascii="Times New Roman" w:hAnsi="Times New Roman" w:cs="Times New Roman"/>
          <w:sz w:val="20"/>
          <w:szCs w:val="24"/>
          <w:vertAlign w:val="superscript"/>
        </w:rPr>
        <w:footnoteReference w:id="77"/>
      </w:r>
      <w:r w:rsidRPr="00AE1663">
        <w:rPr>
          <w:rFonts w:ascii="Times New Roman" w:hAnsi="Times New Roman" w:cs="Times New Roman"/>
          <w:sz w:val="24"/>
          <w:szCs w:val="24"/>
        </w:rPr>
        <w:t xml:space="preserve"> In the case of </w:t>
      </w:r>
      <w:r w:rsidRPr="00AE1663">
        <w:rPr>
          <w:rFonts w:ascii="Times New Roman" w:hAnsi="Times New Roman" w:cs="Times New Roman"/>
          <w:i/>
          <w:sz w:val="24"/>
          <w:szCs w:val="24"/>
        </w:rPr>
        <w:t>Joslin v. New Zealand</w:t>
      </w:r>
      <w:r w:rsidR="00444CA0" w:rsidRPr="00AE1663">
        <w:rPr>
          <w:rFonts w:ascii="Times New Roman" w:hAnsi="Times New Roman" w:cs="Times New Roman"/>
          <w:i/>
          <w:sz w:val="24"/>
          <w:szCs w:val="24"/>
        </w:rPr>
        <w:fldChar w:fldCharType="begin"/>
      </w:r>
      <w:r w:rsidRPr="00AE1663">
        <w:rPr>
          <w:rFonts w:ascii="Times New Roman" w:hAnsi="Times New Roman" w:cs="Times New Roman"/>
          <w:sz w:val="24"/>
          <w:szCs w:val="24"/>
        </w:rPr>
        <w:instrText xml:space="preserve"> TA \l "</w:instrText>
      </w:r>
      <w:r w:rsidRPr="00AE1663">
        <w:rPr>
          <w:rFonts w:ascii="Times New Roman" w:hAnsi="Times New Roman" w:cs="Times New Roman"/>
          <w:i/>
          <w:sz w:val="24"/>
          <w:szCs w:val="24"/>
        </w:rPr>
        <w:instrText xml:space="preserve">Joslin v. New Zealand, </w:instrText>
      </w:r>
      <w:r w:rsidRPr="00AE1663">
        <w:rPr>
          <w:rFonts w:ascii="Times New Roman" w:hAnsi="Times New Roman" w:cs="Times New Roman"/>
          <w:sz w:val="24"/>
          <w:szCs w:val="24"/>
        </w:rPr>
        <w:instrText xml:space="preserve">U.N. Hum. Rts. Comm., Commc'n No. 902/1999, U.N. Doc. A/57/40 (2002)" \s "Joslin v. New Zealand" \c 15 </w:instrText>
      </w:r>
      <w:r w:rsidR="00444CA0" w:rsidRPr="00AE1663">
        <w:rPr>
          <w:rFonts w:ascii="Times New Roman" w:hAnsi="Times New Roman" w:cs="Times New Roman"/>
          <w:i/>
          <w:sz w:val="24"/>
          <w:szCs w:val="24"/>
        </w:rPr>
        <w:fldChar w:fldCharType="end"/>
      </w:r>
      <w:r w:rsidRPr="00AE1663">
        <w:rPr>
          <w:rFonts w:ascii="Times New Roman" w:hAnsi="Times New Roman" w:cs="Times New Roman"/>
          <w:sz w:val="24"/>
          <w:szCs w:val="24"/>
        </w:rPr>
        <w:t>, the International Covenant on Civil and Political Rights (ICCPR) Committee decided whether New Zealand had violated the petitioner’s rights to marriage and family under Article 23 of the ICCPR.</w:t>
      </w:r>
      <w:r w:rsidRPr="00A7760B">
        <w:rPr>
          <w:rStyle w:val="FootnoteReference"/>
          <w:rFonts w:ascii="Times New Roman" w:hAnsi="Times New Roman" w:cs="Times New Roman"/>
          <w:sz w:val="20"/>
          <w:szCs w:val="24"/>
        </w:rPr>
        <w:footnoteReference w:id="78"/>
      </w:r>
      <w:r w:rsidRPr="00AE1663">
        <w:rPr>
          <w:rFonts w:ascii="Times New Roman" w:hAnsi="Times New Roman" w:cs="Times New Roman"/>
          <w:sz w:val="24"/>
          <w:szCs w:val="24"/>
        </w:rPr>
        <w:t xml:space="preserve"> Article 23 of the ICCPR recognizes that men and women of a marriageable age have a right to marry and found a family.</w:t>
      </w:r>
      <w:r w:rsidRPr="00A7760B">
        <w:rPr>
          <w:rStyle w:val="FootnoteReference"/>
          <w:rFonts w:ascii="Times New Roman" w:hAnsi="Times New Roman" w:cs="Times New Roman"/>
          <w:sz w:val="20"/>
          <w:szCs w:val="24"/>
        </w:rPr>
        <w:footnoteReference w:id="79"/>
      </w:r>
      <w:r w:rsidRPr="00AE1663">
        <w:rPr>
          <w:rFonts w:ascii="Times New Roman" w:hAnsi="Times New Roman" w:cs="Times New Roman"/>
          <w:sz w:val="24"/>
          <w:szCs w:val="24"/>
        </w:rPr>
        <w:t xml:space="preserve"> The Committee cited the special use of the phrase “men and women” as opposed to the terms “every human being” or “everyone” in the Covenant as the basis for refusing to find a violation.</w:t>
      </w:r>
      <w:r w:rsidRPr="00A7760B">
        <w:rPr>
          <w:rStyle w:val="FootnoteReference"/>
          <w:rFonts w:ascii="Times New Roman" w:hAnsi="Times New Roman" w:cs="Times New Roman"/>
          <w:sz w:val="20"/>
          <w:szCs w:val="24"/>
        </w:rPr>
        <w:footnoteReference w:id="80"/>
      </w:r>
      <w:r w:rsidRPr="00AE1663">
        <w:rPr>
          <w:rFonts w:ascii="Times New Roman" w:hAnsi="Times New Roman" w:cs="Times New Roman"/>
          <w:sz w:val="24"/>
          <w:szCs w:val="24"/>
        </w:rPr>
        <w:t xml:space="preserve"> It also determined that the explicit and unique use of the phrase “men and women” specifically, had been “consistently and uniformly” understood to indicate that the obligation of the state was to recognize marriage between men and women only.</w:t>
      </w:r>
      <w:r w:rsidRPr="00A7760B">
        <w:rPr>
          <w:rStyle w:val="FootnoteReference"/>
          <w:rFonts w:ascii="Times New Roman" w:hAnsi="Times New Roman" w:cs="Times New Roman"/>
          <w:sz w:val="20"/>
          <w:szCs w:val="24"/>
        </w:rPr>
        <w:footnoteReference w:id="81"/>
      </w:r>
      <w:r w:rsidRPr="00AE1663">
        <w:rPr>
          <w:rFonts w:ascii="Times New Roman" w:hAnsi="Times New Roman" w:cs="Times New Roman"/>
          <w:sz w:val="24"/>
          <w:szCs w:val="24"/>
        </w:rPr>
        <w:t xml:space="preserve"> This was consistent with the Vienna Convention on the Law of Treaties, which </w:t>
      </w:r>
      <w:r w:rsidR="00E206E7" w:rsidRPr="00AE1663">
        <w:rPr>
          <w:rFonts w:ascii="Times New Roman" w:hAnsi="Times New Roman" w:cs="Times New Roman"/>
          <w:sz w:val="24"/>
          <w:szCs w:val="24"/>
        </w:rPr>
        <w:t xml:space="preserve">instructs </w:t>
      </w:r>
      <w:r w:rsidRPr="00AE1663">
        <w:rPr>
          <w:rFonts w:ascii="Times New Roman" w:hAnsi="Times New Roman" w:cs="Times New Roman"/>
          <w:sz w:val="24"/>
          <w:szCs w:val="24"/>
        </w:rPr>
        <w:t xml:space="preserve">states </w:t>
      </w:r>
      <w:r w:rsidR="00E206E7" w:rsidRPr="00AE1663">
        <w:rPr>
          <w:rFonts w:ascii="Times New Roman" w:hAnsi="Times New Roman" w:cs="Times New Roman"/>
          <w:sz w:val="24"/>
          <w:szCs w:val="24"/>
        </w:rPr>
        <w:t xml:space="preserve">to interpret treaty terms </w:t>
      </w:r>
      <w:r w:rsidRPr="00AE1663">
        <w:rPr>
          <w:rFonts w:ascii="Times New Roman" w:hAnsi="Times New Roman" w:cs="Times New Roman"/>
          <w:sz w:val="24"/>
          <w:szCs w:val="24"/>
        </w:rPr>
        <w:t>according to the ordinary meaning</w:t>
      </w:r>
      <w:r w:rsidR="00E206E7" w:rsidRPr="00AE1663">
        <w:rPr>
          <w:rFonts w:ascii="Times New Roman" w:hAnsi="Times New Roman" w:cs="Times New Roman"/>
          <w:sz w:val="24"/>
          <w:szCs w:val="24"/>
        </w:rPr>
        <w:t xml:space="preserve"> and in good faith</w:t>
      </w:r>
      <w:r w:rsidRPr="00AE1663">
        <w:rPr>
          <w:rFonts w:ascii="Times New Roman" w:hAnsi="Times New Roman" w:cs="Times New Roman"/>
          <w:sz w:val="24"/>
          <w:szCs w:val="24"/>
        </w:rPr>
        <w:t>.</w:t>
      </w:r>
      <w:r w:rsidRPr="00A7760B">
        <w:rPr>
          <w:rStyle w:val="FootnoteReference"/>
          <w:rFonts w:ascii="Times New Roman" w:hAnsi="Times New Roman" w:cs="Times New Roman"/>
          <w:sz w:val="20"/>
          <w:szCs w:val="24"/>
        </w:rPr>
        <w:footnoteReference w:id="82"/>
      </w:r>
      <w:r w:rsidRPr="00AE1663">
        <w:rPr>
          <w:rFonts w:ascii="Times New Roman" w:hAnsi="Times New Roman" w:cs="Times New Roman"/>
          <w:sz w:val="24"/>
          <w:szCs w:val="24"/>
        </w:rPr>
        <w:t xml:space="preserve"> Moreover, in the case of </w:t>
      </w:r>
      <w:r w:rsidRPr="00AE1663">
        <w:rPr>
          <w:rFonts w:ascii="Times New Roman" w:hAnsi="Times New Roman" w:cs="Times New Roman"/>
          <w:bCs/>
          <w:i/>
          <w:sz w:val="24"/>
          <w:szCs w:val="24"/>
        </w:rPr>
        <w:t xml:space="preserve">Atala Riffo and Daughters </w:t>
      </w:r>
      <w:r w:rsidRPr="00AE1663">
        <w:rPr>
          <w:rFonts w:ascii="Times New Roman" w:hAnsi="Times New Roman" w:cs="Times New Roman"/>
          <w:bCs/>
          <w:i/>
          <w:iCs/>
          <w:sz w:val="24"/>
          <w:szCs w:val="24"/>
        </w:rPr>
        <w:t>v</w:t>
      </w:r>
      <w:r w:rsidRPr="00AE1663">
        <w:rPr>
          <w:rFonts w:ascii="Times New Roman" w:hAnsi="Times New Roman" w:cs="Times New Roman"/>
          <w:bCs/>
          <w:i/>
          <w:sz w:val="24"/>
          <w:szCs w:val="24"/>
        </w:rPr>
        <w:t>. Chile</w:t>
      </w:r>
      <w:r w:rsidRPr="00AE1663">
        <w:rPr>
          <w:rFonts w:ascii="Times New Roman" w:hAnsi="Times New Roman" w:cs="Times New Roman"/>
          <w:bCs/>
          <w:sz w:val="24"/>
          <w:szCs w:val="24"/>
        </w:rPr>
        <w:t xml:space="preserve">, the IACtHR stated that the concept of family life is not limited only to </w:t>
      </w:r>
      <w:r w:rsidRPr="00AE1663">
        <w:rPr>
          <w:rFonts w:ascii="Times New Roman" w:hAnsi="Times New Roman" w:cs="Times New Roman"/>
          <w:bCs/>
          <w:sz w:val="24"/>
          <w:szCs w:val="24"/>
        </w:rPr>
        <w:lastRenderedPageBreak/>
        <w:t xml:space="preserve">marriage and allows other </w:t>
      </w:r>
      <w:r w:rsidRPr="00AE1663">
        <w:rPr>
          <w:rFonts w:ascii="Times New Roman" w:hAnsi="Times New Roman" w:cs="Times New Roman"/>
          <w:bCs/>
          <w:i/>
          <w:sz w:val="24"/>
          <w:szCs w:val="24"/>
        </w:rPr>
        <w:t>de facto</w:t>
      </w:r>
      <w:r w:rsidRPr="00AE1663">
        <w:rPr>
          <w:rFonts w:ascii="Times New Roman" w:hAnsi="Times New Roman" w:cs="Times New Roman"/>
          <w:bCs/>
          <w:sz w:val="24"/>
          <w:szCs w:val="24"/>
        </w:rPr>
        <w:t xml:space="preserve"> family forms; </w:t>
      </w:r>
      <w:r w:rsidR="00E206E7" w:rsidRPr="00AE1663">
        <w:rPr>
          <w:rFonts w:ascii="Times New Roman" w:hAnsi="Times New Roman" w:cs="Times New Roman"/>
          <w:bCs/>
          <w:sz w:val="24"/>
          <w:szCs w:val="24"/>
        </w:rPr>
        <w:t>thus,</w:t>
      </w:r>
      <w:r w:rsidRPr="00AE1663">
        <w:rPr>
          <w:rFonts w:ascii="Times New Roman" w:hAnsi="Times New Roman" w:cs="Times New Roman"/>
          <w:bCs/>
          <w:sz w:val="24"/>
          <w:szCs w:val="24"/>
        </w:rPr>
        <w:t xml:space="preserve"> a heterosexual marriage is not the exclusive form of family.</w:t>
      </w:r>
      <w:r w:rsidRPr="00A7760B">
        <w:rPr>
          <w:rStyle w:val="FootnoteReference"/>
          <w:rFonts w:ascii="Times New Roman" w:hAnsi="Times New Roman" w:cs="Times New Roman"/>
          <w:bCs/>
          <w:sz w:val="20"/>
          <w:szCs w:val="24"/>
        </w:rPr>
        <w:footnoteReference w:id="83"/>
      </w:r>
      <w:r w:rsidRPr="00AE1663">
        <w:rPr>
          <w:rFonts w:ascii="Times New Roman" w:hAnsi="Times New Roman" w:cs="Times New Roman"/>
          <w:bCs/>
          <w:sz w:val="24"/>
          <w:szCs w:val="24"/>
        </w:rPr>
        <w:t xml:space="preserve"> </w:t>
      </w:r>
    </w:p>
    <w:p w:rsidR="00E15F6F" w:rsidRPr="00AE1663" w:rsidRDefault="00E15F6F" w:rsidP="00E15F6F">
      <w:pPr>
        <w:spacing w:after="0" w:line="480" w:lineRule="auto"/>
        <w:ind w:firstLine="720"/>
        <w:rPr>
          <w:rFonts w:ascii="Times New Roman" w:hAnsi="Times New Roman" w:cs="Times New Roman"/>
          <w:bCs/>
          <w:sz w:val="24"/>
          <w:szCs w:val="24"/>
        </w:rPr>
      </w:pPr>
      <w:r w:rsidRPr="00AE1663">
        <w:rPr>
          <w:rFonts w:ascii="Times New Roman" w:hAnsi="Times New Roman" w:cs="Times New Roman"/>
          <w:sz w:val="24"/>
          <w:szCs w:val="24"/>
        </w:rPr>
        <w:t xml:space="preserve">Similar to the </w:t>
      </w:r>
      <w:r w:rsidRPr="00AE1663">
        <w:rPr>
          <w:rFonts w:ascii="Times New Roman" w:hAnsi="Times New Roman" w:cs="Times New Roman"/>
          <w:i/>
          <w:sz w:val="24"/>
          <w:szCs w:val="24"/>
        </w:rPr>
        <w:t>Joslin</w:t>
      </w:r>
      <w:r w:rsidRPr="00AE1663">
        <w:rPr>
          <w:rFonts w:ascii="Times New Roman" w:hAnsi="Times New Roman" w:cs="Times New Roman"/>
          <w:sz w:val="24"/>
          <w:szCs w:val="24"/>
        </w:rPr>
        <w:t xml:space="preserve"> case, here the ACHR distinctively uses the phrase “men and women” to define the recipients of the right to family, but elsewhere in the text, the words “every person” and “everyone” describe the particular individuals in whom such rights vest.</w:t>
      </w:r>
      <w:r w:rsidRPr="00A7760B">
        <w:rPr>
          <w:rFonts w:ascii="Times New Roman" w:hAnsi="Times New Roman" w:cs="Times New Roman"/>
          <w:sz w:val="20"/>
          <w:szCs w:val="24"/>
          <w:vertAlign w:val="superscript"/>
        </w:rPr>
        <w:footnoteReference w:id="84"/>
      </w:r>
      <w:r w:rsidRPr="00AE1663">
        <w:rPr>
          <w:rFonts w:ascii="Times New Roman" w:hAnsi="Times New Roman" w:cs="Times New Roman"/>
          <w:sz w:val="24"/>
          <w:szCs w:val="24"/>
        </w:rPr>
        <w:t xml:space="preserve"> Similarly, Article 85 of Elizabetia’s constitution mirrors Article 17 of the ACHR and only addresses families that are a specific result of the cohabitation of a man and woman, leaving open the possibility of families resulting from other relations.</w:t>
      </w:r>
      <w:r w:rsidRPr="00A7760B">
        <w:rPr>
          <w:rFonts w:ascii="Times New Roman" w:hAnsi="Times New Roman" w:cs="Times New Roman"/>
          <w:sz w:val="20"/>
          <w:szCs w:val="24"/>
          <w:vertAlign w:val="superscript"/>
        </w:rPr>
        <w:footnoteReference w:id="85"/>
      </w:r>
      <w:r w:rsidRPr="00AE1663">
        <w:rPr>
          <w:rFonts w:ascii="Times New Roman" w:hAnsi="Times New Roman" w:cs="Times New Roman"/>
          <w:sz w:val="24"/>
          <w:szCs w:val="24"/>
        </w:rPr>
        <w:t xml:space="preserve"> </w:t>
      </w:r>
      <w:r w:rsidR="007430C8" w:rsidRPr="00AE1663">
        <w:rPr>
          <w:rFonts w:ascii="Times New Roman" w:hAnsi="Times New Roman" w:cs="Times New Roman"/>
          <w:sz w:val="24"/>
          <w:szCs w:val="24"/>
        </w:rPr>
        <w:t>As a result</w:t>
      </w:r>
      <w:r w:rsidRPr="00AE1663">
        <w:rPr>
          <w:rFonts w:ascii="Times New Roman" w:hAnsi="Times New Roman" w:cs="Times New Roman"/>
          <w:sz w:val="24"/>
          <w:szCs w:val="24"/>
        </w:rPr>
        <w:t xml:space="preserve">, Elizabetia’s Constitution is consistent with this </w:t>
      </w:r>
      <w:r w:rsidRPr="00AE1663">
        <w:rPr>
          <w:rFonts w:ascii="Times New Roman" w:hAnsi="Times New Roman" w:cs="Times New Roman"/>
          <w:bCs/>
          <w:i/>
          <w:sz w:val="24"/>
          <w:szCs w:val="24"/>
        </w:rPr>
        <w:t>Atala</w:t>
      </w:r>
      <w:r w:rsidRPr="00AE1663">
        <w:rPr>
          <w:rFonts w:ascii="Times New Roman" w:hAnsi="Times New Roman" w:cs="Times New Roman"/>
          <w:bCs/>
          <w:sz w:val="24"/>
          <w:szCs w:val="24"/>
        </w:rPr>
        <w:t xml:space="preserve">, because it does not limit the concept of family life only to marriage between heterosexuals and does not preclude other </w:t>
      </w:r>
      <w:r w:rsidRPr="00AE1663">
        <w:rPr>
          <w:rFonts w:ascii="Times New Roman" w:hAnsi="Times New Roman" w:cs="Times New Roman"/>
          <w:bCs/>
          <w:i/>
          <w:iCs/>
          <w:sz w:val="24"/>
          <w:szCs w:val="24"/>
        </w:rPr>
        <w:t xml:space="preserve">de facto </w:t>
      </w:r>
      <w:r w:rsidRPr="00AE1663">
        <w:rPr>
          <w:rFonts w:ascii="Times New Roman" w:hAnsi="Times New Roman" w:cs="Times New Roman"/>
          <w:bCs/>
          <w:sz w:val="24"/>
          <w:szCs w:val="24"/>
        </w:rPr>
        <w:t xml:space="preserve">family ties. </w:t>
      </w:r>
      <w:r w:rsidRPr="00AE1663">
        <w:rPr>
          <w:rFonts w:ascii="Times New Roman" w:hAnsi="Times New Roman" w:cs="Times New Roman"/>
          <w:sz w:val="24"/>
          <w:szCs w:val="24"/>
        </w:rPr>
        <w:t xml:space="preserve">Looking to the plain language of the Convention, Elizabetia acted in good faith under the ACHR and the Vienna Convention of the Law of Treaties when it relied upon the exclusive textual use of “men and women” and left the status of families not resulting from the cohabitation of a heterosexual couple as an open issue. </w:t>
      </w:r>
    </w:p>
    <w:p w:rsidR="001B2737" w:rsidRPr="00AE1663" w:rsidRDefault="00E206E7" w:rsidP="007430C8">
      <w:pPr>
        <w:pStyle w:val="Heading3"/>
        <w:numPr>
          <w:ilvl w:val="0"/>
          <w:numId w:val="11"/>
        </w:numPr>
        <w:spacing w:before="0"/>
        <w:ind w:left="1440" w:hanging="720"/>
        <w:rPr>
          <w:rFonts w:ascii="Times New Roman" w:hAnsi="Times New Roman" w:cs="Times New Roman"/>
          <w:bCs w:val="0"/>
          <w:color w:val="auto"/>
          <w:sz w:val="24"/>
          <w:szCs w:val="24"/>
        </w:rPr>
      </w:pPr>
      <w:bookmarkStart w:id="9" w:name="_Toc352003542"/>
      <w:r w:rsidRPr="00AE1663">
        <w:rPr>
          <w:rFonts w:ascii="Times New Roman" w:hAnsi="Times New Roman" w:cs="Times New Roman"/>
          <w:bCs w:val="0"/>
          <w:color w:val="auto"/>
          <w:sz w:val="24"/>
          <w:szCs w:val="24"/>
        </w:rPr>
        <w:t>Elizabetia</w:t>
      </w:r>
      <w:r w:rsidR="007430C8" w:rsidRPr="00AE1663">
        <w:rPr>
          <w:rFonts w:ascii="Times New Roman" w:hAnsi="Times New Roman" w:cs="Times New Roman"/>
          <w:bCs w:val="0"/>
          <w:color w:val="auto"/>
          <w:sz w:val="24"/>
          <w:szCs w:val="24"/>
        </w:rPr>
        <w:t xml:space="preserve"> Did Not Discriminate Based On</w:t>
      </w:r>
      <w:r w:rsidR="001B2737" w:rsidRPr="00AE1663">
        <w:rPr>
          <w:rFonts w:ascii="Times New Roman" w:hAnsi="Times New Roman" w:cs="Times New Roman"/>
          <w:bCs w:val="0"/>
          <w:color w:val="auto"/>
          <w:sz w:val="24"/>
          <w:szCs w:val="24"/>
        </w:rPr>
        <w:t xml:space="preserve"> </w:t>
      </w:r>
      <w:r w:rsidR="007430C8" w:rsidRPr="00AE1663">
        <w:rPr>
          <w:rFonts w:ascii="Times New Roman" w:hAnsi="Times New Roman" w:cs="Times New Roman"/>
          <w:bCs w:val="0"/>
          <w:color w:val="auto"/>
          <w:sz w:val="24"/>
          <w:szCs w:val="24"/>
        </w:rPr>
        <w:t>The</w:t>
      </w:r>
      <w:r w:rsidR="003D1F38" w:rsidRPr="00AE1663">
        <w:rPr>
          <w:rFonts w:ascii="Times New Roman" w:hAnsi="Times New Roman" w:cs="Times New Roman"/>
          <w:bCs w:val="0"/>
          <w:color w:val="auto"/>
          <w:sz w:val="24"/>
          <w:szCs w:val="24"/>
        </w:rPr>
        <w:t xml:space="preserve"> Bra’granti Religion O</w:t>
      </w:r>
      <w:r w:rsidR="001B2737" w:rsidRPr="00AE1663">
        <w:rPr>
          <w:rFonts w:ascii="Times New Roman" w:hAnsi="Times New Roman" w:cs="Times New Roman"/>
          <w:bCs w:val="0"/>
          <w:color w:val="auto"/>
          <w:sz w:val="24"/>
          <w:szCs w:val="24"/>
        </w:rPr>
        <w:t>r Culture</w:t>
      </w:r>
      <w:bookmarkEnd w:id="9"/>
    </w:p>
    <w:p w:rsidR="001B2737" w:rsidRPr="00AE1663" w:rsidRDefault="001B2737" w:rsidP="001B2737">
      <w:pPr>
        <w:rPr>
          <w:rFonts w:ascii="Times New Roman" w:hAnsi="Times New Roman" w:cs="Times New Roman"/>
          <w:sz w:val="24"/>
          <w:szCs w:val="24"/>
        </w:rPr>
      </w:pPr>
    </w:p>
    <w:p w:rsidR="00E15F6F" w:rsidRPr="00AE1663" w:rsidRDefault="00E15F6F" w:rsidP="00E15F6F">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There is no evidence that Elizabetia improperly discr</w:t>
      </w:r>
      <w:r w:rsidR="007430C8" w:rsidRPr="00AE1663">
        <w:rPr>
          <w:rFonts w:ascii="Times New Roman" w:hAnsi="Times New Roman" w:cs="Times New Roman"/>
          <w:sz w:val="24"/>
          <w:szCs w:val="24"/>
        </w:rPr>
        <w:t>iminated against the Petitioner</w:t>
      </w:r>
      <w:r w:rsidRPr="00AE1663">
        <w:rPr>
          <w:rFonts w:ascii="Times New Roman" w:hAnsi="Times New Roman" w:cs="Times New Roman"/>
          <w:sz w:val="24"/>
          <w:szCs w:val="24"/>
        </w:rPr>
        <w:t xml:space="preserve">s </w:t>
      </w:r>
      <w:r w:rsidR="00E206E7" w:rsidRPr="00AE1663">
        <w:rPr>
          <w:rFonts w:ascii="Times New Roman" w:hAnsi="Times New Roman" w:cs="Times New Roman"/>
          <w:sz w:val="24"/>
          <w:szCs w:val="24"/>
        </w:rPr>
        <w:t>based on</w:t>
      </w:r>
      <w:r w:rsidRPr="00AE1663">
        <w:rPr>
          <w:rFonts w:ascii="Times New Roman" w:hAnsi="Times New Roman" w:cs="Times New Roman"/>
          <w:sz w:val="24"/>
          <w:szCs w:val="24"/>
        </w:rPr>
        <w:t xml:space="preserve"> religion or indigenous identification because they do not self-identify nor qualify under international definitions as indigenous people. Article 12</w:t>
      </w:r>
      <w:r w:rsidR="00444CA0" w:rsidRPr="00AE1663">
        <w:rPr>
          <w:rFonts w:ascii="Times New Roman" w:hAnsi="Times New Roman" w:cs="Times New Roman"/>
          <w:sz w:val="24"/>
          <w:szCs w:val="24"/>
        </w:rPr>
        <w:fldChar w:fldCharType="begin"/>
      </w:r>
      <w:r w:rsidRPr="00AE1663">
        <w:rPr>
          <w:rFonts w:ascii="Times New Roman" w:hAnsi="Times New Roman" w:cs="Times New Roman"/>
          <w:sz w:val="24"/>
          <w:szCs w:val="24"/>
        </w:rPr>
        <w:instrText xml:space="preserve"> TA \s "12" </w:instrText>
      </w:r>
      <w:r w:rsidR="00444CA0" w:rsidRPr="00AE1663">
        <w:rPr>
          <w:rFonts w:ascii="Times New Roman" w:hAnsi="Times New Roman" w:cs="Times New Roman"/>
          <w:sz w:val="24"/>
          <w:szCs w:val="24"/>
        </w:rPr>
        <w:fldChar w:fldCharType="end"/>
      </w:r>
      <w:r w:rsidRPr="00AE1663">
        <w:rPr>
          <w:rFonts w:ascii="Times New Roman" w:hAnsi="Times New Roman" w:cs="Times New Roman"/>
          <w:sz w:val="24"/>
          <w:szCs w:val="24"/>
        </w:rPr>
        <w:t xml:space="preserve"> of the ACHR mandates that all individuals have the right to freedom of religion and that no one shall be subject to restrictions that impair belief or change in </w:t>
      </w:r>
      <w:r w:rsidRPr="00A7760B">
        <w:rPr>
          <w:rFonts w:ascii="Times New Roman" w:hAnsi="Times New Roman" w:cs="Times New Roman"/>
          <w:sz w:val="24"/>
          <w:szCs w:val="24"/>
        </w:rPr>
        <w:t>religion.</w:t>
      </w:r>
      <w:r w:rsidRPr="00A7760B">
        <w:rPr>
          <w:rFonts w:ascii="Times New Roman" w:hAnsi="Times New Roman" w:cs="Times New Roman"/>
          <w:sz w:val="20"/>
          <w:szCs w:val="24"/>
          <w:vertAlign w:val="superscript"/>
        </w:rPr>
        <w:footnoteReference w:id="86"/>
      </w:r>
      <w:r w:rsidRPr="00A7760B">
        <w:rPr>
          <w:rFonts w:ascii="Times New Roman" w:hAnsi="Times New Roman" w:cs="Times New Roman"/>
          <w:sz w:val="24"/>
          <w:szCs w:val="24"/>
        </w:rPr>
        <w:t xml:space="preserve"> However, the freedom to religion is subject</w:t>
      </w:r>
      <w:r w:rsidRPr="00AE1663">
        <w:rPr>
          <w:rFonts w:ascii="Times New Roman" w:hAnsi="Times New Roman" w:cs="Times New Roman"/>
          <w:sz w:val="24"/>
          <w:szCs w:val="24"/>
        </w:rPr>
        <w:t xml:space="preserve"> to those </w:t>
      </w:r>
      <w:r w:rsidRPr="00AE1663">
        <w:rPr>
          <w:rFonts w:ascii="Times New Roman" w:hAnsi="Times New Roman" w:cs="Times New Roman"/>
          <w:sz w:val="24"/>
          <w:szCs w:val="24"/>
        </w:rPr>
        <w:lastRenderedPageBreak/>
        <w:t>laws that are necessary to protect public safety, order, health, morals, or the rights and freedoms of others.</w:t>
      </w:r>
      <w:r w:rsidRPr="00A7760B">
        <w:rPr>
          <w:rFonts w:ascii="Times New Roman" w:hAnsi="Times New Roman" w:cs="Times New Roman"/>
          <w:sz w:val="20"/>
          <w:szCs w:val="24"/>
          <w:vertAlign w:val="superscript"/>
        </w:rPr>
        <w:footnoteReference w:id="87"/>
      </w:r>
      <w:r w:rsidRPr="00AE1663">
        <w:rPr>
          <w:rFonts w:ascii="Times New Roman" w:hAnsi="Times New Roman" w:cs="Times New Roman"/>
          <w:sz w:val="24"/>
          <w:szCs w:val="24"/>
        </w:rPr>
        <w:t xml:space="preserve"> </w:t>
      </w:r>
    </w:p>
    <w:p w:rsidR="00E15F6F" w:rsidRPr="00AE1663" w:rsidRDefault="00E15F6F" w:rsidP="00E15F6F">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Violations of religion based on Article 12</w:t>
      </w:r>
      <w:r w:rsidR="00444CA0" w:rsidRPr="00AE1663">
        <w:rPr>
          <w:rFonts w:ascii="Times New Roman" w:hAnsi="Times New Roman" w:cs="Times New Roman"/>
          <w:sz w:val="24"/>
          <w:szCs w:val="24"/>
        </w:rPr>
        <w:fldChar w:fldCharType="begin"/>
      </w:r>
      <w:r w:rsidRPr="00AE1663">
        <w:rPr>
          <w:rFonts w:ascii="Times New Roman" w:hAnsi="Times New Roman" w:cs="Times New Roman"/>
          <w:sz w:val="24"/>
          <w:szCs w:val="24"/>
        </w:rPr>
        <w:instrText xml:space="preserve"> TA \s "12" </w:instrText>
      </w:r>
      <w:r w:rsidR="00444CA0" w:rsidRPr="00AE1663">
        <w:rPr>
          <w:rFonts w:ascii="Times New Roman" w:hAnsi="Times New Roman" w:cs="Times New Roman"/>
          <w:sz w:val="24"/>
          <w:szCs w:val="24"/>
        </w:rPr>
        <w:fldChar w:fldCharType="end"/>
      </w:r>
      <w:r w:rsidRPr="00AE1663">
        <w:rPr>
          <w:rFonts w:ascii="Times New Roman" w:hAnsi="Times New Roman" w:cs="Times New Roman"/>
          <w:sz w:val="24"/>
          <w:szCs w:val="24"/>
        </w:rPr>
        <w:t xml:space="preserve"> depend on whether the state action impaired or deprived any individual of their right to maintain, change, profess, or disseminate their religious beliefs with total freedom.</w:t>
      </w:r>
      <w:r w:rsidRPr="00A7760B">
        <w:rPr>
          <w:rFonts w:ascii="Times New Roman" w:hAnsi="Times New Roman" w:cs="Times New Roman"/>
          <w:sz w:val="20"/>
          <w:szCs w:val="24"/>
          <w:vertAlign w:val="superscript"/>
        </w:rPr>
        <w:footnoteReference w:id="88"/>
      </w:r>
      <w:r w:rsidRPr="00AE1663">
        <w:rPr>
          <w:rFonts w:ascii="Times New Roman" w:hAnsi="Times New Roman" w:cs="Times New Roman"/>
          <w:sz w:val="24"/>
          <w:szCs w:val="24"/>
        </w:rPr>
        <w:t xml:space="preserve"> In the case of </w:t>
      </w:r>
      <w:r w:rsidRPr="00AE1663">
        <w:rPr>
          <w:rFonts w:ascii="Times New Roman" w:hAnsi="Times New Roman" w:cs="Times New Roman"/>
          <w:i/>
          <w:sz w:val="24"/>
          <w:szCs w:val="24"/>
        </w:rPr>
        <w:t>“The Last Temptation of Christ” v. Chile</w:t>
      </w:r>
      <w:r w:rsidRPr="00AE1663">
        <w:rPr>
          <w:rFonts w:ascii="Times New Roman" w:hAnsi="Times New Roman" w:cs="Times New Roman"/>
          <w:sz w:val="24"/>
          <w:szCs w:val="24"/>
        </w:rPr>
        <w:t>, this Court did not believe that prohibition of a religious movie was tantamount to a violation of Article 12 because there was no evidence that the prohibition affected the right of individuals to maintain, change, profess, or disseminate their religious beliefs.</w:t>
      </w:r>
      <w:r w:rsidRPr="00A7760B">
        <w:rPr>
          <w:rFonts w:ascii="Times New Roman" w:hAnsi="Times New Roman" w:cs="Times New Roman"/>
          <w:sz w:val="20"/>
          <w:szCs w:val="24"/>
          <w:vertAlign w:val="superscript"/>
        </w:rPr>
        <w:footnoteReference w:id="89"/>
      </w:r>
      <w:r w:rsidRPr="00AE1663">
        <w:rPr>
          <w:rFonts w:ascii="Times New Roman" w:hAnsi="Times New Roman" w:cs="Times New Roman"/>
          <w:sz w:val="24"/>
          <w:szCs w:val="24"/>
        </w:rPr>
        <w:t xml:space="preserve"> This Court upheld the decision to protect the values of the nation and found that the prohibition of religious media alone was not enough to affect religious rights.</w:t>
      </w:r>
      <w:r w:rsidRPr="00A7760B">
        <w:rPr>
          <w:rFonts w:ascii="Times New Roman" w:hAnsi="Times New Roman" w:cs="Times New Roman"/>
          <w:sz w:val="20"/>
          <w:szCs w:val="24"/>
          <w:vertAlign w:val="superscript"/>
        </w:rPr>
        <w:footnoteReference w:id="90"/>
      </w:r>
    </w:p>
    <w:p w:rsidR="00E15F6F" w:rsidRPr="00AE1663" w:rsidRDefault="00E15F6F" w:rsidP="00E15F6F">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 xml:space="preserve">Elizabetia did not violate the ACHR </w:t>
      </w:r>
      <w:r w:rsidR="00E206E7" w:rsidRPr="00AE1663">
        <w:rPr>
          <w:rFonts w:ascii="Times New Roman" w:hAnsi="Times New Roman" w:cs="Times New Roman"/>
          <w:sz w:val="24"/>
          <w:szCs w:val="24"/>
        </w:rPr>
        <w:t>because of</w:t>
      </w:r>
      <w:r w:rsidRPr="00AE1663">
        <w:rPr>
          <w:rFonts w:ascii="Times New Roman" w:hAnsi="Times New Roman" w:cs="Times New Roman"/>
          <w:sz w:val="24"/>
          <w:szCs w:val="24"/>
        </w:rPr>
        <w:t xml:space="preserve"> either religion or indigenous identification. </w:t>
      </w:r>
      <w:r w:rsidR="00E206E7" w:rsidRPr="00AE1663">
        <w:rPr>
          <w:rFonts w:ascii="Times New Roman" w:hAnsi="Times New Roman" w:cs="Times New Roman"/>
          <w:sz w:val="24"/>
          <w:szCs w:val="24"/>
        </w:rPr>
        <w:t>Similar to “</w:t>
      </w:r>
      <w:r w:rsidR="00E206E7" w:rsidRPr="00AE1663">
        <w:rPr>
          <w:rFonts w:ascii="Times New Roman" w:hAnsi="Times New Roman" w:cs="Times New Roman"/>
          <w:i/>
          <w:sz w:val="24"/>
          <w:szCs w:val="24"/>
        </w:rPr>
        <w:t>The Last Temptation of Christ</w:t>
      </w:r>
      <w:r w:rsidR="00E206E7" w:rsidRPr="00AE1663">
        <w:rPr>
          <w:rFonts w:ascii="Times New Roman" w:hAnsi="Times New Roman" w:cs="Times New Roman"/>
          <w:sz w:val="24"/>
          <w:szCs w:val="24"/>
        </w:rPr>
        <w:t xml:space="preserve">,” Elizabetia is maintaining the values of marriage that does impair the ability to maintain, change, or disseminate religious beliefs. </w:t>
      </w:r>
      <w:r w:rsidRPr="00AE1663">
        <w:rPr>
          <w:rFonts w:ascii="Times New Roman" w:hAnsi="Times New Roman" w:cs="Times New Roman"/>
          <w:sz w:val="24"/>
          <w:szCs w:val="24"/>
        </w:rPr>
        <w:t>The alleged victim fails to show that the state is discriminating against her because of her identification as an indigenous person because she neither identifies with the group nor is there any evidence that the social, economic, cultural, and political aspects of the Bra’granti people remains distinct in Elizabetia today. Elizabetia could not logically discriminate against her on the basis of a religion with which she does not identify or espouse.</w:t>
      </w:r>
    </w:p>
    <w:p w:rsidR="001B2737" w:rsidRPr="00AE1663" w:rsidRDefault="007430C8" w:rsidP="00E15F6F">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 xml:space="preserve">Furthermore, </w:t>
      </w:r>
      <w:r w:rsidR="00E15F6F" w:rsidRPr="00AE1663">
        <w:rPr>
          <w:rFonts w:ascii="Times New Roman" w:hAnsi="Times New Roman" w:cs="Times New Roman"/>
          <w:sz w:val="24"/>
          <w:szCs w:val="24"/>
        </w:rPr>
        <w:t>Elizabetia recognizes and supports the alleged victim’s transformation by officially recognizing her change in status, as reflected by the President’s proclamation.</w:t>
      </w:r>
      <w:r w:rsidR="00E15F6F" w:rsidRPr="00A7760B">
        <w:rPr>
          <w:rFonts w:ascii="Times New Roman" w:hAnsi="Times New Roman" w:cs="Times New Roman"/>
          <w:sz w:val="20"/>
          <w:szCs w:val="24"/>
          <w:vertAlign w:val="superscript"/>
        </w:rPr>
        <w:footnoteReference w:id="91"/>
      </w:r>
      <w:r w:rsidR="00E15F6F" w:rsidRPr="00AE1663">
        <w:rPr>
          <w:rFonts w:ascii="Times New Roman" w:hAnsi="Times New Roman" w:cs="Times New Roman"/>
          <w:sz w:val="24"/>
          <w:szCs w:val="24"/>
        </w:rPr>
        <w:t xml:space="preserve"> This </w:t>
      </w:r>
      <w:r w:rsidR="00E15F6F" w:rsidRPr="00AE1663">
        <w:rPr>
          <w:rFonts w:ascii="Times New Roman" w:hAnsi="Times New Roman" w:cs="Times New Roman"/>
          <w:sz w:val="24"/>
          <w:szCs w:val="24"/>
        </w:rPr>
        <w:lastRenderedPageBreak/>
        <w:t xml:space="preserve">approach recently taken by Elizabetia’s Executive branch and its legislature is evidence that the State has fully embraced the Bra’granti culture and has </w:t>
      </w:r>
      <w:r w:rsidR="00E206E7" w:rsidRPr="00AE1663">
        <w:rPr>
          <w:rFonts w:ascii="Times New Roman" w:hAnsi="Times New Roman" w:cs="Times New Roman"/>
          <w:sz w:val="24"/>
          <w:szCs w:val="24"/>
        </w:rPr>
        <w:t>attempted</w:t>
      </w:r>
      <w:r w:rsidR="00E15F6F" w:rsidRPr="00AE1663">
        <w:rPr>
          <w:rFonts w:ascii="Times New Roman" w:hAnsi="Times New Roman" w:cs="Times New Roman"/>
          <w:sz w:val="24"/>
          <w:szCs w:val="24"/>
        </w:rPr>
        <w:t xml:space="preserve"> to integrate it into modern society. </w:t>
      </w:r>
      <w:r w:rsidRPr="00AE1663">
        <w:rPr>
          <w:rFonts w:ascii="Times New Roman" w:hAnsi="Times New Roman" w:cs="Times New Roman"/>
          <w:sz w:val="24"/>
          <w:szCs w:val="24"/>
        </w:rPr>
        <w:t xml:space="preserve">Rather than discriminate </w:t>
      </w:r>
      <w:r w:rsidR="00E206E7" w:rsidRPr="00AE1663">
        <w:rPr>
          <w:rFonts w:ascii="Times New Roman" w:hAnsi="Times New Roman" w:cs="Times New Roman"/>
          <w:sz w:val="24"/>
          <w:szCs w:val="24"/>
        </w:rPr>
        <w:t>based on</w:t>
      </w:r>
      <w:r w:rsidRPr="00AE1663">
        <w:rPr>
          <w:rFonts w:ascii="Times New Roman" w:hAnsi="Times New Roman" w:cs="Times New Roman"/>
          <w:sz w:val="24"/>
          <w:szCs w:val="24"/>
        </w:rPr>
        <w:t xml:space="preserve"> indigenous identity, </w:t>
      </w:r>
      <w:r w:rsidR="00E15F6F" w:rsidRPr="00AE1663">
        <w:rPr>
          <w:rFonts w:ascii="Times New Roman" w:hAnsi="Times New Roman" w:cs="Times New Roman"/>
          <w:sz w:val="24"/>
          <w:szCs w:val="24"/>
        </w:rPr>
        <w:t>Elizabetia has protected the concept of marriage from alteration due to moralistic concerns that emphasize the importance of the sanctity of marriage and family in accordance with Article 12</w:t>
      </w:r>
      <w:r w:rsidR="00444CA0" w:rsidRPr="00AE1663">
        <w:rPr>
          <w:rFonts w:ascii="Times New Roman" w:hAnsi="Times New Roman" w:cs="Times New Roman"/>
          <w:sz w:val="24"/>
          <w:szCs w:val="24"/>
        </w:rPr>
        <w:fldChar w:fldCharType="begin"/>
      </w:r>
      <w:r w:rsidR="00E15F6F" w:rsidRPr="00AE1663">
        <w:rPr>
          <w:rFonts w:ascii="Times New Roman" w:hAnsi="Times New Roman" w:cs="Times New Roman"/>
          <w:sz w:val="24"/>
          <w:szCs w:val="24"/>
        </w:rPr>
        <w:instrText xml:space="preserve"> TA \s "12" </w:instrText>
      </w:r>
      <w:r w:rsidR="00444CA0" w:rsidRPr="00AE1663">
        <w:rPr>
          <w:rFonts w:ascii="Times New Roman" w:hAnsi="Times New Roman" w:cs="Times New Roman"/>
          <w:sz w:val="24"/>
          <w:szCs w:val="24"/>
        </w:rPr>
        <w:fldChar w:fldCharType="end"/>
      </w:r>
      <w:r w:rsidR="00E15F6F" w:rsidRPr="00AE1663">
        <w:rPr>
          <w:rFonts w:ascii="Times New Roman" w:hAnsi="Times New Roman" w:cs="Times New Roman"/>
          <w:sz w:val="24"/>
          <w:szCs w:val="24"/>
        </w:rPr>
        <w:t>, and not due to any discrimination towards those who have changed their gender.</w:t>
      </w:r>
      <w:r w:rsidR="00E15F6F" w:rsidRPr="00A7760B">
        <w:rPr>
          <w:rFonts w:ascii="Times New Roman" w:hAnsi="Times New Roman" w:cs="Times New Roman"/>
          <w:sz w:val="20"/>
          <w:szCs w:val="24"/>
          <w:vertAlign w:val="superscript"/>
        </w:rPr>
        <w:footnoteReference w:id="92"/>
      </w:r>
      <w:r w:rsidR="00E15F6F" w:rsidRPr="00AE1663">
        <w:rPr>
          <w:rFonts w:ascii="Times New Roman" w:hAnsi="Times New Roman" w:cs="Times New Roman"/>
          <w:sz w:val="24"/>
          <w:szCs w:val="24"/>
        </w:rPr>
        <w:t xml:space="preserve"> </w:t>
      </w:r>
    </w:p>
    <w:p w:rsidR="001B2737" w:rsidRPr="00AE1663" w:rsidRDefault="001B2737" w:rsidP="00E06053">
      <w:pPr>
        <w:pStyle w:val="Heading3"/>
        <w:numPr>
          <w:ilvl w:val="0"/>
          <w:numId w:val="11"/>
        </w:numPr>
        <w:spacing w:before="0"/>
        <w:ind w:left="1440" w:hanging="720"/>
        <w:rPr>
          <w:rFonts w:ascii="Times New Roman" w:hAnsi="Times New Roman" w:cs="Times New Roman"/>
          <w:bCs w:val="0"/>
          <w:color w:val="auto"/>
          <w:sz w:val="24"/>
          <w:szCs w:val="24"/>
        </w:rPr>
      </w:pPr>
      <w:bookmarkStart w:id="10" w:name="_Toc352003543"/>
      <w:r w:rsidRPr="00AE1663">
        <w:rPr>
          <w:rFonts w:ascii="Times New Roman" w:hAnsi="Times New Roman" w:cs="Times New Roman"/>
          <w:bCs w:val="0"/>
          <w:color w:val="auto"/>
          <w:sz w:val="24"/>
          <w:szCs w:val="24"/>
        </w:rPr>
        <w:t xml:space="preserve">Elizabetia Did Not Withhold The Right To Marriage From The </w:t>
      </w:r>
      <w:r w:rsidR="004B76FF" w:rsidRPr="00AE1663">
        <w:rPr>
          <w:rFonts w:ascii="Times New Roman" w:hAnsi="Times New Roman" w:cs="Times New Roman"/>
          <w:bCs w:val="0"/>
          <w:color w:val="auto"/>
          <w:sz w:val="24"/>
          <w:szCs w:val="24"/>
        </w:rPr>
        <w:t xml:space="preserve">Petitioners </w:t>
      </w:r>
      <w:r w:rsidRPr="00AE1663">
        <w:rPr>
          <w:rFonts w:ascii="Times New Roman" w:hAnsi="Times New Roman" w:cs="Times New Roman"/>
          <w:bCs w:val="0"/>
          <w:color w:val="auto"/>
          <w:sz w:val="24"/>
          <w:szCs w:val="24"/>
        </w:rPr>
        <w:t>And Classification Based On Sexual Orientation Is Justified</w:t>
      </w:r>
      <w:bookmarkEnd w:id="10"/>
    </w:p>
    <w:p w:rsidR="001B2737" w:rsidRPr="00AE1663" w:rsidRDefault="001B2737" w:rsidP="001B2737">
      <w:pPr>
        <w:rPr>
          <w:rFonts w:ascii="Times New Roman" w:hAnsi="Times New Roman" w:cs="Times New Roman"/>
          <w:sz w:val="24"/>
          <w:szCs w:val="24"/>
        </w:rPr>
      </w:pPr>
    </w:p>
    <w:p w:rsidR="001B2737" w:rsidRPr="00AE1663" w:rsidRDefault="00E206E7" w:rsidP="00E06053">
      <w:pPr>
        <w:spacing w:after="0" w:line="480" w:lineRule="auto"/>
        <w:ind w:firstLine="720"/>
        <w:rPr>
          <w:rFonts w:ascii="Times New Roman" w:hAnsi="Times New Roman" w:cs="Times New Roman"/>
          <w:sz w:val="24"/>
          <w:szCs w:val="24"/>
        </w:rPr>
      </w:pPr>
      <w:r w:rsidRPr="00AE1663">
        <w:rPr>
          <w:rFonts w:ascii="Times New Roman" w:hAnsi="Times New Roman" w:cs="Times New Roman"/>
          <w:bCs/>
          <w:sz w:val="24"/>
          <w:szCs w:val="24"/>
        </w:rPr>
        <w:t xml:space="preserve">Elizabetia granted </w:t>
      </w:r>
      <w:r w:rsidR="00886043" w:rsidRPr="00AE1663">
        <w:rPr>
          <w:rFonts w:ascii="Times New Roman" w:hAnsi="Times New Roman" w:cs="Times New Roman"/>
          <w:bCs/>
          <w:sz w:val="24"/>
          <w:szCs w:val="24"/>
        </w:rPr>
        <w:t xml:space="preserve">Petitioners the same </w:t>
      </w:r>
      <w:r w:rsidRPr="00AE1663">
        <w:rPr>
          <w:rFonts w:ascii="Times New Roman" w:hAnsi="Times New Roman" w:cs="Times New Roman"/>
          <w:bCs/>
          <w:sz w:val="24"/>
          <w:szCs w:val="24"/>
        </w:rPr>
        <w:t xml:space="preserve">fundamental </w:t>
      </w:r>
      <w:r w:rsidR="00886043" w:rsidRPr="00AE1663">
        <w:rPr>
          <w:rFonts w:ascii="Times New Roman" w:hAnsi="Times New Roman" w:cs="Times New Roman"/>
          <w:bCs/>
          <w:sz w:val="24"/>
          <w:szCs w:val="24"/>
        </w:rPr>
        <w:t xml:space="preserve">rights afforded to heterosexual couples, because domestic partnerships receive the same legal effects as marriage in Elizabetia. </w:t>
      </w:r>
      <w:r w:rsidR="00E15F6F" w:rsidRPr="00AE1663">
        <w:rPr>
          <w:rFonts w:ascii="Times New Roman" w:hAnsi="Times New Roman" w:cs="Times New Roman"/>
          <w:bCs/>
          <w:sz w:val="24"/>
          <w:szCs w:val="24"/>
        </w:rPr>
        <w:t xml:space="preserve">Any differences between the two forms of union are justified by the </w:t>
      </w:r>
      <w:r w:rsidR="00A96A7A" w:rsidRPr="00AE1663">
        <w:rPr>
          <w:rFonts w:ascii="Times New Roman" w:hAnsi="Times New Roman" w:cs="Times New Roman"/>
          <w:bCs/>
          <w:sz w:val="24"/>
          <w:szCs w:val="24"/>
        </w:rPr>
        <w:t>lack of international consensus and</w:t>
      </w:r>
      <w:r w:rsidR="00E15F6F" w:rsidRPr="00AE1663">
        <w:rPr>
          <w:rFonts w:ascii="Times New Roman" w:hAnsi="Times New Roman" w:cs="Times New Roman"/>
          <w:bCs/>
          <w:sz w:val="24"/>
          <w:szCs w:val="24"/>
        </w:rPr>
        <w:t xml:space="preserve"> the </w:t>
      </w:r>
      <w:r w:rsidR="00A96A7A" w:rsidRPr="00AE1663">
        <w:rPr>
          <w:rFonts w:ascii="Times New Roman" w:hAnsi="Times New Roman" w:cs="Times New Roman"/>
          <w:bCs/>
          <w:sz w:val="24"/>
          <w:szCs w:val="24"/>
        </w:rPr>
        <w:t xml:space="preserve">high value that Elizabetia afford the democratic process. </w:t>
      </w:r>
      <w:r w:rsidR="001B2737" w:rsidRPr="00AE1663">
        <w:rPr>
          <w:rFonts w:ascii="Times New Roman" w:hAnsi="Times New Roman" w:cs="Times New Roman"/>
          <w:sz w:val="24"/>
          <w:szCs w:val="24"/>
        </w:rPr>
        <w:t xml:space="preserve">Article 17(2) of the ACHR delineates the rights of the family </w:t>
      </w:r>
      <w:r w:rsidR="008B06D9" w:rsidRPr="00AE1663">
        <w:rPr>
          <w:rFonts w:ascii="Times New Roman" w:hAnsi="Times New Roman" w:cs="Times New Roman"/>
          <w:sz w:val="24"/>
          <w:szCs w:val="24"/>
        </w:rPr>
        <w:t>as</w:t>
      </w:r>
      <w:r w:rsidR="001B2737" w:rsidRPr="00AE1663">
        <w:rPr>
          <w:rFonts w:ascii="Times New Roman" w:hAnsi="Times New Roman" w:cs="Times New Roman"/>
          <w:sz w:val="24"/>
          <w:szCs w:val="24"/>
        </w:rPr>
        <w:t xml:space="preserve"> the r</w:t>
      </w:r>
      <w:r w:rsidR="008B06D9" w:rsidRPr="00AE1663">
        <w:rPr>
          <w:rFonts w:ascii="Times New Roman" w:hAnsi="Times New Roman" w:cs="Times New Roman"/>
          <w:sz w:val="24"/>
          <w:szCs w:val="24"/>
        </w:rPr>
        <w:t xml:space="preserve">ight of men and women </w:t>
      </w:r>
      <w:r w:rsidR="001B2737" w:rsidRPr="00AE1663">
        <w:rPr>
          <w:rFonts w:ascii="Times New Roman" w:hAnsi="Times New Roman" w:cs="Times New Roman"/>
          <w:sz w:val="24"/>
          <w:szCs w:val="24"/>
        </w:rPr>
        <w:t>to marry and to ra</w:t>
      </w:r>
      <w:r w:rsidR="008B06D9" w:rsidRPr="00AE1663">
        <w:rPr>
          <w:rFonts w:ascii="Times New Roman" w:hAnsi="Times New Roman" w:cs="Times New Roman"/>
          <w:sz w:val="24"/>
          <w:szCs w:val="24"/>
        </w:rPr>
        <w:t>ise a family</w:t>
      </w:r>
      <w:r w:rsidR="001B2737" w:rsidRPr="00AE1663">
        <w:rPr>
          <w:rFonts w:ascii="Times New Roman" w:hAnsi="Times New Roman" w:cs="Times New Roman"/>
          <w:sz w:val="24"/>
          <w:szCs w:val="24"/>
        </w:rPr>
        <w:t>.</w:t>
      </w:r>
      <w:r w:rsidR="001B2737" w:rsidRPr="00A7760B">
        <w:rPr>
          <w:rFonts w:ascii="Times New Roman" w:hAnsi="Times New Roman" w:cs="Times New Roman"/>
          <w:sz w:val="20"/>
          <w:szCs w:val="24"/>
          <w:vertAlign w:val="superscript"/>
        </w:rPr>
        <w:footnoteReference w:id="93"/>
      </w:r>
      <w:r w:rsidR="001B2737" w:rsidRPr="00AE1663">
        <w:rPr>
          <w:rFonts w:ascii="Times New Roman" w:hAnsi="Times New Roman" w:cs="Times New Roman"/>
          <w:sz w:val="24"/>
          <w:szCs w:val="24"/>
        </w:rPr>
        <w:t xml:space="preserve"> Article</w:t>
      </w:r>
      <w:r w:rsidRPr="00AE1663">
        <w:rPr>
          <w:rFonts w:ascii="Times New Roman" w:hAnsi="Times New Roman" w:cs="Times New Roman"/>
          <w:sz w:val="24"/>
          <w:szCs w:val="24"/>
        </w:rPr>
        <w:t>s</w:t>
      </w:r>
      <w:r w:rsidR="001B2737" w:rsidRPr="00AE1663">
        <w:rPr>
          <w:rFonts w:ascii="Times New Roman" w:hAnsi="Times New Roman" w:cs="Times New Roman"/>
          <w:sz w:val="24"/>
          <w:szCs w:val="24"/>
        </w:rPr>
        <w:t xml:space="preserve"> 3(e) and 17 of the Charter of Organization of American States (COAS) acknowledge every State’s right to choose its political, economic, and social system without interference</w:t>
      </w:r>
      <w:r w:rsidRPr="00AE1663">
        <w:rPr>
          <w:rFonts w:ascii="Times New Roman" w:hAnsi="Times New Roman" w:cs="Times New Roman"/>
          <w:sz w:val="24"/>
          <w:szCs w:val="24"/>
        </w:rPr>
        <w:t>.</w:t>
      </w:r>
      <w:r w:rsidR="001B2737" w:rsidRPr="00A7760B">
        <w:rPr>
          <w:rFonts w:ascii="Times New Roman" w:hAnsi="Times New Roman" w:cs="Times New Roman"/>
          <w:sz w:val="20"/>
          <w:szCs w:val="24"/>
          <w:vertAlign w:val="superscript"/>
        </w:rPr>
        <w:footnoteReference w:id="94"/>
      </w:r>
      <w:r w:rsidRPr="00AE1663">
        <w:rPr>
          <w:rFonts w:ascii="Times New Roman" w:hAnsi="Times New Roman" w:cs="Times New Roman"/>
          <w:sz w:val="24"/>
          <w:szCs w:val="24"/>
        </w:rPr>
        <w:t xml:space="preserve"> Also, </w:t>
      </w:r>
      <w:r w:rsidR="001B2737" w:rsidRPr="00AE1663">
        <w:rPr>
          <w:rFonts w:ascii="Times New Roman" w:hAnsi="Times New Roman" w:cs="Times New Roman"/>
          <w:sz w:val="24"/>
          <w:szCs w:val="24"/>
        </w:rPr>
        <w:t xml:space="preserve">Article 32 of the ACHR and Article </w:t>
      </w:r>
      <w:r w:rsidR="009518A3" w:rsidRPr="00AE1663">
        <w:rPr>
          <w:rFonts w:ascii="Times New Roman" w:hAnsi="Times New Roman" w:cs="Times New Roman"/>
          <w:sz w:val="24"/>
          <w:szCs w:val="24"/>
        </w:rPr>
        <w:t>28</w:t>
      </w:r>
      <w:r w:rsidR="001B2737" w:rsidRPr="00AE1663">
        <w:rPr>
          <w:rFonts w:ascii="Times New Roman" w:hAnsi="Times New Roman" w:cs="Times New Roman"/>
          <w:sz w:val="24"/>
          <w:szCs w:val="24"/>
        </w:rPr>
        <w:t xml:space="preserve"> of the American Declaration of the Rights and Duties of Man limit the individual rights of every person according to the general welfare of the community.</w:t>
      </w:r>
      <w:r w:rsidR="001B2737" w:rsidRPr="00A7760B">
        <w:rPr>
          <w:rFonts w:ascii="Times New Roman" w:hAnsi="Times New Roman" w:cs="Times New Roman"/>
          <w:sz w:val="20"/>
          <w:szCs w:val="24"/>
          <w:vertAlign w:val="superscript"/>
        </w:rPr>
        <w:footnoteReference w:id="95"/>
      </w:r>
    </w:p>
    <w:p w:rsidR="00B943EA" w:rsidRPr="00AE1663" w:rsidRDefault="00E206E7" w:rsidP="00B943EA">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Similar to the ACHR, the European Court of Human Rights (ECtHR) has articles within the European Convention on Human Rights (ECHR) that protects the right to private life</w:t>
      </w:r>
      <w:r w:rsidRPr="00A7760B">
        <w:rPr>
          <w:rFonts w:ascii="Times New Roman" w:hAnsi="Times New Roman" w:cs="Times New Roman"/>
          <w:sz w:val="20"/>
          <w:szCs w:val="24"/>
          <w:vertAlign w:val="superscript"/>
        </w:rPr>
        <w:footnoteReference w:id="96"/>
      </w:r>
      <w:r w:rsidRPr="00AE1663">
        <w:rPr>
          <w:rFonts w:ascii="Times New Roman" w:hAnsi="Times New Roman" w:cs="Times New Roman"/>
          <w:sz w:val="24"/>
          <w:szCs w:val="24"/>
        </w:rPr>
        <w:t xml:space="preserve"> and </w:t>
      </w:r>
      <w:r w:rsidRPr="00AE1663">
        <w:rPr>
          <w:rFonts w:ascii="Times New Roman" w:hAnsi="Times New Roman" w:cs="Times New Roman"/>
          <w:sz w:val="24"/>
          <w:szCs w:val="24"/>
        </w:rPr>
        <w:lastRenderedPageBreak/>
        <w:t>the right to family.</w:t>
      </w:r>
      <w:r w:rsidRPr="00A7760B">
        <w:rPr>
          <w:rFonts w:ascii="Times New Roman" w:hAnsi="Times New Roman" w:cs="Times New Roman"/>
          <w:sz w:val="20"/>
          <w:szCs w:val="24"/>
          <w:vertAlign w:val="superscript"/>
        </w:rPr>
        <w:footnoteReference w:id="97"/>
      </w:r>
      <w:r w:rsidRPr="00AE1663">
        <w:rPr>
          <w:rFonts w:ascii="Times New Roman" w:hAnsi="Times New Roman" w:cs="Times New Roman"/>
          <w:sz w:val="24"/>
          <w:szCs w:val="24"/>
        </w:rPr>
        <w:t xml:space="preserve"> </w:t>
      </w:r>
      <w:r w:rsidR="001B2737" w:rsidRPr="00AE1663">
        <w:rPr>
          <w:rFonts w:ascii="Times New Roman" w:hAnsi="Times New Roman" w:cs="Times New Roman"/>
          <w:sz w:val="24"/>
          <w:szCs w:val="24"/>
        </w:rPr>
        <w:t xml:space="preserve">In </w:t>
      </w:r>
      <w:r w:rsidR="001B2737" w:rsidRPr="00AE1663">
        <w:rPr>
          <w:rFonts w:ascii="Times New Roman" w:hAnsi="Times New Roman" w:cs="Times New Roman"/>
          <w:i/>
          <w:sz w:val="24"/>
          <w:szCs w:val="24"/>
        </w:rPr>
        <w:t>Schalk and Kopf v. Austria</w:t>
      </w:r>
      <w:r w:rsidR="00444CA0" w:rsidRPr="00AE1663">
        <w:rPr>
          <w:rFonts w:ascii="Times New Roman" w:hAnsi="Times New Roman" w:cs="Times New Roman"/>
          <w:i/>
          <w:sz w:val="24"/>
          <w:szCs w:val="24"/>
        </w:rPr>
        <w:fldChar w:fldCharType="begin"/>
      </w:r>
      <w:r w:rsidR="00593A77" w:rsidRPr="00AE1663">
        <w:rPr>
          <w:rFonts w:ascii="Times New Roman" w:hAnsi="Times New Roman" w:cs="Times New Roman"/>
          <w:sz w:val="24"/>
          <w:szCs w:val="24"/>
        </w:rPr>
        <w:instrText xml:space="preserve"> TA \l "</w:instrText>
      </w:r>
      <w:r w:rsidR="005D29C0" w:rsidRPr="00AE1663">
        <w:rPr>
          <w:rFonts w:ascii="Times New Roman" w:hAnsi="Times New Roman" w:cs="Times New Roman"/>
          <w:i/>
          <w:sz w:val="24"/>
          <w:szCs w:val="24"/>
        </w:rPr>
        <w:instrText xml:space="preserve">Case of </w:instrText>
      </w:r>
      <w:r w:rsidR="00593A77" w:rsidRPr="00AE1663">
        <w:rPr>
          <w:rFonts w:ascii="Times New Roman" w:hAnsi="Times New Roman" w:cs="Times New Roman"/>
          <w:i/>
          <w:iCs/>
          <w:sz w:val="24"/>
          <w:szCs w:val="24"/>
        </w:rPr>
        <w:instrText>Schalk and Kopf v. Austria</w:instrText>
      </w:r>
      <w:r w:rsidR="00593A77" w:rsidRPr="00AE1663">
        <w:rPr>
          <w:rFonts w:ascii="Times New Roman" w:hAnsi="Times New Roman" w:cs="Times New Roman"/>
          <w:iCs/>
          <w:sz w:val="24"/>
          <w:szCs w:val="24"/>
        </w:rPr>
        <w:instrText xml:space="preserve"> (Judgment)</w:instrText>
      </w:r>
      <w:r w:rsidR="00593A77" w:rsidRPr="00AE1663">
        <w:rPr>
          <w:rFonts w:ascii="Times New Roman" w:hAnsi="Times New Roman" w:cs="Times New Roman"/>
          <w:iCs/>
          <w:sz w:val="24"/>
          <w:szCs w:val="24"/>
        </w:rPr>
        <w:br/>
      </w:r>
      <w:r w:rsidR="00593A77" w:rsidRPr="00AE1663">
        <w:rPr>
          <w:rFonts w:ascii="Times New Roman" w:hAnsi="Times New Roman" w:cs="Times New Roman"/>
          <w:sz w:val="24"/>
          <w:szCs w:val="24"/>
        </w:rPr>
        <w:instrText>App. No. 30141/04, (</w:instrText>
      </w:r>
      <w:r w:rsidR="005D29C0" w:rsidRPr="00AE1663">
        <w:rPr>
          <w:rFonts w:ascii="Times New Roman" w:hAnsi="Times New Roman" w:cs="Times New Roman"/>
          <w:sz w:val="24"/>
          <w:szCs w:val="24"/>
        </w:rPr>
        <w:instrText>24 J</w:instrText>
      </w:r>
      <w:r w:rsidR="00593A77" w:rsidRPr="00AE1663">
        <w:rPr>
          <w:rFonts w:ascii="Times New Roman" w:hAnsi="Times New Roman" w:cs="Times New Roman"/>
          <w:sz w:val="24"/>
          <w:szCs w:val="24"/>
        </w:rPr>
        <w:instrText xml:space="preserve">une 2010)" \s "Schalk and Kopf v. Austria" \c 6 </w:instrText>
      </w:r>
      <w:r w:rsidR="00444CA0" w:rsidRPr="00AE1663">
        <w:rPr>
          <w:rFonts w:ascii="Times New Roman" w:hAnsi="Times New Roman" w:cs="Times New Roman"/>
          <w:i/>
          <w:sz w:val="24"/>
          <w:szCs w:val="24"/>
        </w:rPr>
        <w:fldChar w:fldCharType="end"/>
      </w:r>
      <w:r w:rsidR="00C450B8" w:rsidRPr="00AE1663">
        <w:rPr>
          <w:rFonts w:ascii="Times New Roman" w:hAnsi="Times New Roman" w:cs="Times New Roman"/>
          <w:sz w:val="24"/>
          <w:szCs w:val="24"/>
        </w:rPr>
        <w:t>,</w:t>
      </w:r>
      <w:r w:rsidR="001B2737" w:rsidRPr="00AE1663">
        <w:rPr>
          <w:rFonts w:ascii="Times New Roman" w:hAnsi="Times New Roman" w:cs="Times New Roman"/>
          <w:sz w:val="24"/>
          <w:szCs w:val="24"/>
        </w:rPr>
        <w:t xml:space="preserve"> domestic </w:t>
      </w:r>
      <w:r w:rsidRPr="00AE1663">
        <w:rPr>
          <w:rFonts w:ascii="Times New Roman" w:hAnsi="Times New Roman" w:cs="Times New Roman"/>
          <w:sz w:val="24"/>
          <w:szCs w:val="24"/>
        </w:rPr>
        <w:t xml:space="preserve">partnerships </w:t>
      </w:r>
      <w:r w:rsidR="001B2737" w:rsidRPr="00AE1663">
        <w:rPr>
          <w:rFonts w:ascii="Times New Roman" w:hAnsi="Times New Roman" w:cs="Times New Roman"/>
          <w:sz w:val="24"/>
          <w:szCs w:val="24"/>
        </w:rPr>
        <w:t>allowed homosexual couples to give legal effect to their relationships and gain many of the same benefits attributed to heterosexual marriages with the exception of the possibility to adopt children or have access to artificial insemination.</w:t>
      </w:r>
      <w:r w:rsidR="001B2737" w:rsidRPr="00A7760B">
        <w:rPr>
          <w:rFonts w:ascii="Times New Roman" w:hAnsi="Times New Roman" w:cs="Times New Roman"/>
          <w:sz w:val="20"/>
          <w:szCs w:val="24"/>
          <w:vertAlign w:val="superscript"/>
        </w:rPr>
        <w:footnoteReference w:id="98"/>
      </w:r>
      <w:r w:rsidR="001B2737" w:rsidRPr="00AE1663">
        <w:rPr>
          <w:rFonts w:ascii="Times New Roman" w:hAnsi="Times New Roman" w:cs="Times New Roman"/>
          <w:sz w:val="24"/>
          <w:szCs w:val="24"/>
        </w:rPr>
        <w:t xml:space="preserve"> </w:t>
      </w:r>
      <w:r w:rsidR="004B76FF" w:rsidRPr="00AE1663">
        <w:rPr>
          <w:rFonts w:ascii="Times New Roman" w:hAnsi="Times New Roman" w:cs="Times New Roman"/>
          <w:sz w:val="24"/>
          <w:szCs w:val="24"/>
        </w:rPr>
        <w:t>The ECtHR</w:t>
      </w:r>
      <w:r w:rsidR="00F21CA1" w:rsidRPr="00AE1663">
        <w:rPr>
          <w:rFonts w:ascii="Times New Roman" w:hAnsi="Times New Roman" w:cs="Times New Roman"/>
          <w:sz w:val="24"/>
          <w:szCs w:val="24"/>
        </w:rPr>
        <w:t xml:space="preserve"> </w:t>
      </w:r>
      <w:r w:rsidR="001B2737" w:rsidRPr="00AE1663">
        <w:rPr>
          <w:rFonts w:ascii="Times New Roman" w:hAnsi="Times New Roman" w:cs="Times New Roman"/>
          <w:sz w:val="24"/>
          <w:szCs w:val="24"/>
        </w:rPr>
        <w:t>declined to find a violation due to the</w:t>
      </w:r>
      <w:r w:rsidR="00F21CA1" w:rsidRPr="00AE1663">
        <w:rPr>
          <w:rFonts w:ascii="Times New Roman" w:hAnsi="Times New Roman" w:cs="Times New Roman"/>
          <w:sz w:val="24"/>
          <w:szCs w:val="24"/>
        </w:rPr>
        <w:t xml:space="preserve"> fact that </w:t>
      </w:r>
      <w:r w:rsidR="00B943EA" w:rsidRPr="00AE1663">
        <w:rPr>
          <w:rFonts w:ascii="Times New Roman" w:hAnsi="Times New Roman" w:cs="Times New Roman"/>
          <w:sz w:val="24"/>
          <w:szCs w:val="24"/>
        </w:rPr>
        <w:t>the State’s reverence of marriage was sufficient reason for the continued limitation of marriage which was within the power of the State through regulation of its own national law.</w:t>
      </w:r>
      <w:r w:rsidR="00B943EA" w:rsidRPr="00A7760B">
        <w:rPr>
          <w:rFonts w:ascii="Times New Roman" w:hAnsi="Times New Roman" w:cs="Times New Roman"/>
          <w:sz w:val="20"/>
          <w:szCs w:val="24"/>
          <w:vertAlign w:val="superscript"/>
        </w:rPr>
        <w:footnoteReference w:id="99"/>
      </w:r>
      <w:r w:rsidR="00B943EA" w:rsidRPr="00AE1663">
        <w:rPr>
          <w:rFonts w:ascii="Times New Roman" w:hAnsi="Times New Roman" w:cs="Times New Roman"/>
          <w:sz w:val="24"/>
          <w:szCs w:val="24"/>
        </w:rPr>
        <w:t xml:space="preserve"> </w:t>
      </w:r>
    </w:p>
    <w:p w:rsidR="001B2737" w:rsidRPr="00AE1663" w:rsidRDefault="004B76FF" w:rsidP="006558BD">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Furthermore, t</w:t>
      </w:r>
      <w:r w:rsidR="00F21CA1" w:rsidRPr="00AE1663">
        <w:rPr>
          <w:rFonts w:ascii="Times New Roman" w:hAnsi="Times New Roman" w:cs="Times New Roman"/>
          <w:sz w:val="24"/>
          <w:szCs w:val="24"/>
        </w:rPr>
        <w:t xml:space="preserve">he ECtHR found no violation of the right to </w:t>
      </w:r>
      <w:r w:rsidRPr="00AE1663">
        <w:rPr>
          <w:rFonts w:ascii="Times New Roman" w:hAnsi="Times New Roman" w:cs="Times New Roman"/>
          <w:sz w:val="24"/>
          <w:szCs w:val="24"/>
        </w:rPr>
        <w:t>family</w:t>
      </w:r>
      <w:r w:rsidR="00F21CA1" w:rsidRPr="00AE1663">
        <w:rPr>
          <w:rFonts w:ascii="Times New Roman" w:hAnsi="Times New Roman" w:cs="Times New Roman"/>
          <w:sz w:val="24"/>
          <w:szCs w:val="24"/>
        </w:rPr>
        <w:t xml:space="preserve"> despite </w:t>
      </w:r>
      <w:r w:rsidR="001B2737" w:rsidRPr="00AE1663">
        <w:rPr>
          <w:rFonts w:ascii="Times New Roman" w:hAnsi="Times New Roman" w:cs="Times New Roman"/>
          <w:sz w:val="24"/>
          <w:szCs w:val="24"/>
        </w:rPr>
        <w:t xml:space="preserve">concession that the </w:t>
      </w:r>
      <w:r w:rsidR="00814FA9" w:rsidRPr="00AE1663">
        <w:rPr>
          <w:rFonts w:ascii="Times New Roman" w:hAnsi="Times New Roman" w:cs="Times New Roman"/>
          <w:sz w:val="24"/>
          <w:szCs w:val="24"/>
        </w:rPr>
        <w:t>E</w:t>
      </w:r>
      <w:r w:rsidR="001B2737" w:rsidRPr="00AE1663">
        <w:rPr>
          <w:rFonts w:ascii="Times New Roman" w:hAnsi="Times New Roman" w:cs="Times New Roman"/>
          <w:sz w:val="24"/>
          <w:szCs w:val="24"/>
        </w:rPr>
        <w:t>C</w:t>
      </w:r>
      <w:r w:rsidR="00814FA9" w:rsidRPr="00AE1663">
        <w:rPr>
          <w:rFonts w:ascii="Times New Roman" w:hAnsi="Times New Roman" w:cs="Times New Roman"/>
          <w:sz w:val="24"/>
          <w:szCs w:val="24"/>
        </w:rPr>
        <w:t xml:space="preserve">HR </w:t>
      </w:r>
      <w:r w:rsidR="001B2737" w:rsidRPr="00AE1663">
        <w:rPr>
          <w:rFonts w:ascii="Times New Roman" w:hAnsi="Times New Roman" w:cs="Times New Roman"/>
          <w:sz w:val="24"/>
          <w:szCs w:val="24"/>
        </w:rPr>
        <w:t>was a living document open to interpretation with the changing of the times</w:t>
      </w:r>
      <w:r w:rsidR="00F21CA1" w:rsidRPr="00AE1663">
        <w:rPr>
          <w:rFonts w:ascii="Times New Roman" w:hAnsi="Times New Roman" w:cs="Times New Roman"/>
          <w:sz w:val="24"/>
          <w:szCs w:val="24"/>
        </w:rPr>
        <w:t>,</w:t>
      </w:r>
      <w:r w:rsidR="001B2737" w:rsidRPr="00A7760B">
        <w:rPr>
          <w:rFonts w:ascii="Times New Roman" w:hAnsi="Times New Roman" w:cs="Times New Roman"/>
          <w:sz w:val="20"/>
          <w:szCs w:val="24"/>
          <w:vertAlign w:val="superscript"/>
        </w:rPr>
        <w:footnoteReference w:id="100"/>
      </w:r>
      <w:r w:rsidR="001B2737" w:rsidRPr="00AE1663">
        <w:rPr>
          <w:rFonts w:ascii="Times New Roman" w:hAnsi="Times New Roman" w:cs="Times New Roman"/>
          <w:sz w:val="24"/>
          <w:szCs w:val="24"/>
        </w:rPr>
        <w:t xml:space="preserve"> and</w:t>
      </w:r>
      <w:r w:rsidR="00F21CA1" w:rsidRPr="00AE1663">
        <w:rPr>
          <w:rFonts w:ascii="Times New Roman" w:hAnsi="Times New Roman" w:cs="Times New Roman"/>
          <w:sz w:val="24"/>
          <w:szCs w:val="24"/>
        </w:rPr>
        <w:t xml:space="preserve"> that a previous case decided by that Court </w:t>
      </w:r>
      <w:r w:rsidR="001B2737" w:rsidRPr="00AE1663">
        <w:rPr>
          <w:rFonts w:ascii="Times New Roman" w:hAnsi="Times New Roman" w:cs="Times New Roman"/>
          <w:sz w:val="24"/>
          <w:szCs w:val="24"/>
        </w:rPr>
        <w:t xml:space="preserve">indicated a </w:t>
      </w:r>
      <w:r w:rsidR="00F21CA1" w:rsidRPr="00AE1663">
        <w:rPr>
          <w:rFonts w:ascii="Times New Roman" w:hAnsi="Times New Roman" w:cs="Times New Roman"/>
          <w:sz w:val="24"/>
          <w:szCs w:val="24"/>
        </w:rPr>
        <w:t>shift</w:t>
      </w:r>
      <w:r w:rsidR="001B2737" w:rsidRPr="00AE1663">
        <w:rPr>
          <w:rFonts w:ascii="Times New Roman" w:hAnsi="Times New Roman" w:cs="Times New Roman"/>
          <w:sz w:val="24"/>
          <w:szCs w:val="24"/>
        </w:rPr>
        <w:t xml:space="preserve"> towards acceptance of same sex marriages.</w:t>
      </w:r>
      <w:r w:rsidR="001B2737" w:rsidRPr="00A7760B">
        <w:rPr>
          <w:rFonts w:ascii="Times New Roman" w:hAnsi="Times New Roman" w:cs="Times New Roman"/>
          <w:sz w:val="20"/>
          <w:szCs w:val="24"/>
          <w:vertAlign w:val="superscript"/>
        </w:rPr>
        <w:footnoteReference w:id="101"/>
      </w:r>
      <w:r w:rsidR="001B2737" w:rsidRPr="00AE1663">
        <w:rPr>
          <w:rFonts w:ascii="Times New Roman" w:hAnsi="Times New Roman" w:cs="Times New Roman"/>
          <w:sz w:val="24"/>
          <w:szCs w:val="24"/>
        </w:rPr>
        <w:t xml:space="preserve"> </w:t>
      </w:r>
      <w:r w:rsidR="00E206E7" w:rsidRPr="00AE1663">
        <w:rPr>
          <w:rFonts w:ascii="Times New Roman" w:hAnsi="Times New Roman" w:cs="Times New Roman"/>
          <w:sz w:val="24"/>
          <w:szCs w:val="24"/>
        </w:rPr>
        <w:t>The ECtHR found a lack of consensus with only six out of forty-seven signatories of the ECHR allowing same sex marriages; this general lack of consensus was an insufficient basis to find a violation.</w:t>
      </w:r>
      <w:r w:rsidR="00E206E7" w:rsidRPr="00A7760B">
        <w:rPr>
          <w:rFonts w:ascii="Times New Roman" w:hAnsi="Times New Roman" w:cs="Times New Roman"/>
          <w:sz w:val="20"/>
          <w:szCs w:val="24"/>
          <w:vertAlign w:val="superscript"/>
        </w:rPr>
        <w:footnoteReference w:id="102"/>
      </w:r>
      <w:r w:rsidR="00E206E7" w:rsidRPr="00AE1663">
        <w:rPr>
          <w:rFonts w:ascii="Times New Roman" w:hAnsi="Times New Roman" w:cs="Times New Roman"/>
          <w:sz w:val="24"/>
          <w:szCs w:val="24"/>
        </w:rPr>
        <w:t xml:space="preserve"> </w:t>
      </w:r>
      <w:r w:rsidR="001B2737" w:rsidRPr="00AE1663">
        <w:rPr>
          <w:rFonts w:ascii="Times New Roman" w:hAnsi="Times New Roman" w:cs="Times New Roman"/>
          <w:sz w:val="24"/>
          <w:szCs w:val="24"/>
        </w:rPr>
        <w:t xml:space="preserve">The ECtHR emphasized the strong cultural and social connotations that differ between states closely relating to marriage </w:t>
      </w:r>
      <w:r w:rsidR="00E206E7" w:rsidRPr="00AE1663">
        <w:rPr>
          <w:rFonts w:ascii="Times New Roman" w:hAnsi="Times New Roman" w:cs="Times New Roman"/>
          <w:sz w:val="24"/>
          <w:szCs w:val="24"/>
        </w:rPr>
        <w:t>while emphasizing</w:t>
      </w:r>
      <w:r w:rsidR="001B2737" w:rsidRPr="00AE1663">
        <w:rPr>
          <w:rFonts w:ascii="Times New Roman" w:hAnsi="Times New Roman" w:cs="Times New Roman"/>
          <w:sz w:val="24"/>
          <w:szCs w:val="24"/>
        </w:rPr>
        <w:t xml:space="preserve"> its reluctance in supplanting national authorities better situated to know the requirements of their own societies.</w:t>
      </w:r>
      <w:r w:rsidR="001B2737" w:rsidRPr="00A7760B">
        <w:rPr>
          <w:rFonts w:ascii="Times New Roman" w:hAnsi="Times New Roman" w:cs="Times New Roman"/>
          <w:sz w:val="20"/>
          <w:szCs w:val="24"/>
          <w:vertAlign w:val="superscript"/>
        </w:rPr>
        <w:footnoteReference w:id="103"/>
      </w:r>
    </w:p>
    <w:p w:rsidR="00B35591" w:rsidRPr="00AE1663" w:rsidRDefault="001B2737" w:rsidP="006558BD">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 xml:space="preserve">Elizabetia did not discriminate against the </w:t>
      </w:r>
      <w:r w:rsidR="00F21CA1" w:rsidRPr="00AE1663">
        <w:rPr>
          <w:rFonts w:ascii="Times New Roman" w:hAnsi="Times New Roman" w:cs="Times New Roman"/>
          <w:sz w:val="24"/>
          <w:szCs w:val="24"/>
        </w:rPr>
        <w:t>Petitioners</w:t>
      </w:r>
      <w:r w:rsidRPr="00AE1663">
        <w:rPr>
          <w:rFonts w:ascii="Times New Roman" w:hAnsi="Times New Roman" w:cs="Times New Roman"/>
          <w:sz w:val="24"/>
          <w:szCs w:val="24"/>
        </w:rPr>
        <w:t xml:space="preserve"> because a domestic p</w:t>
      </w:r>
      <w:r w:rsidR="00F21CA1" w:rsidRPr="00AE1663">
        <w:rPr>
          <w:rFonts w:ascii="Times New Roman" w:hAnsi="Times New Roman" w:cs="Times New Roman"/>
          <w:sz w:val="24"/>
          <w:szCs w:val="24"/>
        </w:rPr>
        <w:t xml:space="preserve">artnership affords her the </w:t>
      </w:r>
      <w:r w:rsidRPr="00AE1663">
        <w:rPr>
          <w:rFonts w:ascii="Times New Roman" w:hAnsi="Times New Roman" w:cs="Times New Roman"/>
          <w:sz w:val="24"/>
          <w:szCs w:val="24"/>
        </w:rPr>
        <w:t>same</w:t>
      </w:r>
      <w:r w:rsidR="00F21CA1" w:rsidRPr="00AE1663">
        <w:rPr>
          <w:rFonts w:ascii="Times New Roman" w:hAnsi="Times New Roman" w:cs="Times New Roman"/>
          <w:sz w:val="24"/>
          <w:szCs w:val="24"/>
        </w:rPr>
        <w:t xml:space="preserve"> legal benefits as</w:t>
      </w:r>
      <w:r w:rsidRPr="00AE1663">
        <w:rPr>
          <w:rFonts w:ascii="Times New Roman" w:hAnsi="Times New Roman" w:cs="Times New Roman"/>
          <w:sz w:val="24"/>
          <w:szCs w:val="24"/>
        </w:rPr>
        <w:t xml:space="preserve"> marriage. </w:t>
      </w:r>
      <w:r w:rsidR="004B76FF" w:rsidRPr="00AE1663">
        <w:rPr>
          <w:rFonts w:ascii="Times New Roman" w:hAnsi="Times New Roman" w:cs="Times New Roman"/>
          <w:sz w:val="24"/>
          <w:szCs w:val="24"/>
        </w:rPr>
        <w:t xml:space="preserve">In its Constitution, </w:t>
      </w:r>
      <w:r w:rsidR="00B943EA" w:rsidRPr="00AE1663">
        <w:rPr>
          <w:rFonts w:ascii="Times New Roman" w:hAnsi="Times New Roman" w:cs="Times New Roman"/>
          <w:sz w:val="24"/>
          <w:szCs w:val="24"/>
        </w:rPr>
        <w:t>Elizabetia refers to families in the context of "cohabitation of a man and a woman" while marriage is defined as an agreement by "any couple cons</w:t>
      </w:r>
      <w:r w:rsidR="004B76FF" w:rsidRPr="00AE1663">
        <w:rPr>
          <w:rFonts w:ascii="Times New Roman" w:hAnsi="Times New Roman" w:cs="Times New Roman"/>
          <w:sz w:val="24"/>
          <w:szCs w:val="24"/>
        </w:rPr>
        <w:t>isting of one man and one woman</w:t>
      </w:r>
      <w:r w:rsidR="00B943EA" w:rsidRPr="00AE1663">
        <w:rPr>
          <w:rFonts w:ascii="Times New Roman" w:hAnsi="Times New Roman" w:cs="Times New Roman"/>
          <w:sz w:val="24"/>
          <w:szCs w:val="24"/>
        </w:rPr>
        <w:t>.</w:t>
      </w:r>
      <w:r w:rsidR="004B76FF" w:rsidRPr="00AE1663">
        <w:rPr>
          <w:rFonts w:ascii="Times New Roman" w:hAnsi="Times New Roman" w:cs="Times New Roman"/>
          <w:sz w:val="24"/>
          <w:szCs w:val="24"/>
        </w:rPr>
        <w:t>”</w:t>
      </w:r>
      <w:r w:rsidR="00B943EA" w:rsidRPr="00A7760B">
        <w:rPr>
          <w:rFonts w:ascii="Times New Roman" w:hAnsi="Times New Roman" w:cs="Times New Roman"/>
          <w:sz w:val="20"/>
          <w:szCs w:val="24"/>
          <w:vertAlign w:val="superscript"/>
        </w:rPr>
        <w:footnoteReference w:id="104"/>
      </w:r>
      <w:r w:rsidR="00B943EA" w:rsidRPr="00AE1663">
        <w:rPr>
          <w:rFonts w:ascii="Times New Roman" w:hAnsi="Times New Roman" w:cs="Times New Roman"/>
          <w:sz w:val="24"/>
          <w:szCs w:val="24"/>
        </w:rPr>
        <w:t xml:space="preserve"> In addition to marriage, Elizabetia allows for domestic partnerships, which are defined by two individuals of the same sex who have lived together uninterrupted for five years and have been judicially decreed to be a domestic </w:t>
      </w:r>
      <w:r w:rsidR="00B943EA" w:rsidRPr="00AE1663">
        <w:rPr>
          <w:rFonts w:ascii="Times New Roman" w:hAnsi="Times New Roman" w:cs="Times New Roman"/>
          <w:sz w:val="24"/>
          <w:szCs w:val="24"/>
        </w:rPr>
        <w:lastRenderedPageBreak/>
        <w:t>partnership.</w:t>
      </w:r>
      <w:r w:rsidR="00B943EA" w:rsidRPr="00A7760B">
        <w:rPr>
          <w:rFonts w:ascii="Times New Roman" w:hAnsi="Times New Roman" w:cs="Times New Roman"/>
          <w:sz w:val="20"/>
          <w:szCs w:val="24"/>
          <w:vertAlign w:val="superscript"/>
        </w:rPr>
        <w:footnoteReference w:id="105"/>
      </w:r>
      <w:r w:rsidR="00B943EA" w:rsidRPr="00AE1663">
        <w:rPr>
          <w:rFonts w:ascii="Times New Roman" w:hAnsi="Times New Roman" w:cs="Times New Roman"/>
          <w:sz w:val="24"/>
          <w:szCs w:val="24"/>
        </w:rPr>
        <w:t xml:space="preserve"> Both marriages and domestic partnerships have the rights delineated in Constitutional Article 397</w:t>
      </w:r>
      <w:r w:rsidR="00E206E7" w:rsidRPr="00AE1663">
        <w:rPr>
          <w:rFonts w:ascii="Times New Roman" w:hAnsi="Times New Roman" w:cs="Times New Roman"/>
          <w:sz w:val="24"/>
          <w:szCs w:val="24"/>
        </w:rPr>
        <w:t>,</w:t>
      </w:r>
      <w:r w:rsidR="00B35591" w:rsidRPr="00A7760B">
        <w:rPr>
          <w:rStyle w:val="FootnoteReference"/>
          <w:rFonts w:ascii="Times New Roman" w:hAnsi="Times New Roman" w:cs="Times New Roman"/>
          <w:sz w:val="20"/>
          <w:szCs w:val="24"/>
        </w:rPr>
        <w:footnoteReference w:id="106"/>
      </w:r>
      <w:r w:rsidR="00B943EA" w:rsidRPr="00AE1663">
        <w:rPr>
          <w:rFonts w:ascii="Times New Roman" w:hAnsi="Times New Roman" w:cs="Times New Roman"/>
          <w:sz w:val="24"/>
          <w:szCs w:val="24"/>
        </w:rPr>
        <w:t xml:space="preserve"> </w:t>
      </w:r>
      <w:r w:rsidR="00E206E7" w:rsidRPr="00AE1663">
        <w:rPr>
          <w:rFonts w:ascii="Times New Roman" w:hAnsi="Times New Roman" w:cs="Times New Roman"/>
          <w:sz w:val="24"/>
          <w:szCs w:val="24"/>
        </w:rPr>
        <w:t>and Elizabetian courts have construed this to</w:t>
      </w:r>
      <w:r w:rsidRPr="00AE1663">
        <w:rPr>
          <w:rFonts w:ascii="Times New Roman" w:hAnsi="Times New Roman" w:cs="Times New Roman"/>
          <w:sz w:val="24"/>
          <w:szCs w:val="24"/>
        </w:rPr>
        <w:t xml:space="preserve"> mean that </w:t>
      </w:r>
      <w:r w:rsidR="00300A59" w:rsidRPr="00AE1663">
        <w:rPr>
          <w:rFonts w:ascii="Times New Roman" w:hAnsi="Times New Roman" w:cs="Times New Roman"/>
          <w:sz w:val="24"/>
          <w:szCs w:val="24"/>
        </w:rPr>
        <w:t xml:space="preserve">because </w:t>
      </w:r>
      <w:r w:rsidRPr="00AE1663">
        <w:rPr>
          <w:rFonts w:ascii="Times New Roman" w:hAnsi="Times New Roman" w:cs="Times New Roman"/>
          <w:sz w:val="24"/>
          <w:szCs w:val="24"/>
        </w:rPr>
        <w:t xml:space="preserve">couples </w:t>
      </w:r>
      <w:r w:rsidR="00300A59" w:rsidRPr="00AE1663">
        <w:rPr>
          <w:rFonts w:ascii="Times New Roman" w:hAnsi="Times New Roman" w:cs="Times New Roman"/>
          <w:sz w:val="24"/>
          <w:szCs w:val="24"/>
        </w:rPr>
        <w:t xml:space="preserve">care and provide for each other, they </w:t>
      </w:r>
      <w:r w:rsidRPr="00AE1663">
        <w:rPr>
          <w:rFonts w:ascii="Times New Roman" w:hAnsi="Times New Roman" w:cs="Times New Roman"/>
          <w:sz w:val="24"/>
          <w:szCs w:val="24"/>
        </w:rPr>
        <w:t>may give informed consent for medical procedures.</w:t>
      </w:r>
      <w:r w:rsidRPr="00A7760B">
        <w:rPr>
          <w:rFonts w:ascii="Times New Roman" w:hAnsi="Times New Roman" w:cs="Times New Roman"/>
          <w:sz w:val="20"/>
          <w:szCs w:val="24"/>
          <w:vertAlign w:val="superscript"/>
        </w:rPr>
        <w:footnoteReference w:id="107"/>
      </w:r>
      <w:r w:rsidR="00300A59" w:rsidRPr="00AE1663">
        <w:rPr>
          <w:rFonts w:ascii="Times New Roman" w:hAnsi="Times New Roman" w:cs="Times New Roman"/>
          <w:sz w:val="24"/>
          <w:szCs w:val="24"/>
        </w:rPr>
        <w:t xml:space="preserve"> </w:t>
      </w:r>
      <w:r w:rsidR="004B76FF" w:rsidRPr="00AE1663">
        <w:rPr>
          <w:rFonts w:ascii="Times New Roman" w:hAnsi="Times New Roman" w:cs="Times New Roman"/>
          <w:sz w:val="24"/>
          <w:szCs w:val="24"/>
        </w:rPr>
        <w:t xml:space="preserve">Thus, </w:t>
      </w:r>
      <w:r w:rsidR="00814FA9" w:rsidRPr="00AE1663">
        <w:rPr>
          <w:rFonts w:ascii="Times New Roman" w:hAnsi="Times New Roman" w:cs="Times New Roman"/>
          <w:sz w:val="24"/>
          <w:szCs w:val="24"/>
        </w:rPr>
        <w:t>Elizabetia</w:t>
      </w:r>
      <w:r w:rsidR="00300A59" w:rsidRPr="00AE1663">
        <w:rPr>
          <w:rFonts w:ascii="Times New Roman" w:hAnsi="Times New Roman" w:cs="Times New Roman"/>
          <w:sz w:val="24"/>
          <w:szCs w:val="24"/>
        </w:rPr>
        <w:t xml:space="preserve"> has given Petitioners the </w:t>
      </w:r>
      <w:r w:rsidRPr="00AE1663">
        <w:rPr>
          <w:rFonts w:ascii="Times New Roman" w:hAnsi="Times New Roman" w:cs="Times New Roman"/>
          <w:sz w:val="24"/>
          <w:szCs w:val="24"/>
        </w:rPr>
        <w:t>opportunity to give medical consent under the rights attributed to marriage in</w:t>
      </w:r>
      <w:r w:rsidR="004B5ECF" w:rsidRPr="00AE1663">
        <w:rPr>
          <w:rFonts w:ascii="Times New Roman" w:hAnsi="Times New Roman" w:cs="Times New Roman"/>
          <w:sz w:val="24"/>
          <w:szCs w:val="24"/>
        </w:rPr>
        <w:t xml:space="preserve"> Article 397</w:t>
      </w:r>
      <w:r w:rsidRPr="00AE1663">
        <w:rPr>
          <w:rFonts w:ascii="Times New Roman" w:hAnsi="Times New Roman" w:cs="Times New Roman"/>
          <w:sz w:val="24"/>
          <w:szCs w:val="24"/>
        </w:rPr>
        <w:t>.</w:t>
      </w:r>
      <w:r w:rsidRPr="00A7760B">
        <w:rPr>
          <w:rFonts w:ascii="Times New Roman" w:hAnsi="Times New Roman" w:cs="Times New Roman"/>
          <w:sz w:val="20"/>
          <w:szCs w:val="24"/>
          <w:vertAlign w:val="superscript"/>
        </w:rPr>
        <w:footnoteReference w:id="108"/>
      </w:r>
      <w:r w:rsidR="00300A59" w:rsidRPr="00AE1663">
        <w:rPr>
          <w:rFonts w:ascii="Times New Roman" w:hAnsi="Times New Roman" w:cs="Times New Roman"/>
          <w:sz w:val="24"/>
          <w:szCs w:val="24"/>
        </w:rPr>
        <w:t xml:space="preserve"> </w:t>
      </w:r>
    </w:p>
    <w:p w:rsidR="00B35591" w:rsidRPr="00AE1663" w:rsidRDefault="00B35591" w:rsidP="00B35591">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Because domestic partnerships have the same exact rights as marriage under Article 397 to give medical consent,</w:t>
      </w:r>
      <w:r w:rsidRPr="00A7760B">
        <w:rPr>
          <w:rStyle w:val="FootnoteReference"/>
          <w:rFonts w:ascii="Times New Roman" w:hAnsi="Times New Roman" w:cs="Times New Roman"/>
          <w:sz w:val="20"/>
          <w:szCs w:val="24"/>
        </w:rPr>
        <w:footnoteReference w:id="109"/>
      </w:r>
      <w:r w:rsidRPr="00AE1663">
        <w:rPr>
          <w:rFonts w:ascii="Times New Roman" w:hAnsi="Times New Roman" w:cs="Times New Roman"/>
          <w:sz w:val="24"/>
          <w:szCs w:val="24"/>
        </w:rPr>
        <w:t xml:space="preserve"> the alleged victim is improperly arguing that the state is discriminating against her by entirely barring her ability to marry her chosen partner and thus barring her from giving medical consent. In reality, Elizabetia has given her the same rights as a heterosexual couple and the same opportunity to give medical consent under the provision for the rights attributed to marriage in Article 397 of the Constitution.</w:t>
      </w:r>
      <w:r w:rsidRPr="00A7760B">
        <w:rPr>
          <w:rFonts w:ascii="Times New Roman" w:hAnsi="Times New Roman" w:cs="Times New Roman"/>
          <w:sz w:val="20"/>
          <w:szCs w:val="24"/>
          <w:vertAlign w:val="superscript"/>
        </w:rPr>
        <w:footnoteReference w:id="110"/>
      </w:r>
      <w:r w:rsidRPr="00AE1663">
        <w:rPr>
          <w:rFonts w:ascii="Times New Roman" w:hAnsi="Times New Roman" w:cs="Times New Roman"/>
          <w:sz w:val="24"/>
          <w:szCs w:val="24"/>
        </w:rPr>
        <w:t xml:space="preserve"> The alleged victim’s main contention then is that, because those who are not heterosexual must cohabitate for an additional 5 years, Elizabetia is discriminating against homosexuals by requiring a cohabitation period that is not required of heterosexual couples.</w:t>
      </w:r>
      <w:r w:rsidRPr="00A7760B">
        <w:rPr>
          <w:rFonts w:ascii="Times New Roman" w:hAnsi="Times New Roman" w:cs="Times New Roman"/>
          <w:sz w:val="20"/>
          <w:szCs w:val="24"/>
          <w:vertAlign w:val="superscript"/>
        </w:rPr>
        <w:footnoteReference w:id="111"/>
      </w:r>
      <w:r w:rsidRPr="00AE1663">
        <w:rPr>
          <w:rFonts w:ascii="Times New Roman" w:hAnsi="Times New Roman" w:cs="Times New Roman"/>
          <w:sz w:val="24"/>
          <w:szCs w:val="24"/>
        </w:rPr>
        <w:t xml:space="preserve"> While this may be discrimination, the COAS specifically delineates in Article 3(e) and 17 that “every state has the right to choose, without external interference, its political, economic, and social system and to organize itself in the way best suited to it.”</w:t>
      </w:r>
      <w:r w:rsidRPr="00A7760B">
        <w:rPr>
          <w:rFonts w:ascii="Times New Roman" w:hAnsi="Times New Roman" w:cs="Times New Roman"/>
          <w:sz w:val="20"/>
          <w:szCs w:val="24"/>
          <w:vertAlign w:val="superscript"/>
        </w:rPr>
        <w:footnoteReference w:id="112"/>
      </w:r>
      <w:r w:rsidRPr="00AE1663">
        <w:rPr>
          <w:rFonts w:ascii="Times New Roman" w:hAnsi="Times New Roman" w:cs="Times New Roman"/>
          <w:sz w:val="24"/>
          <w:szCs w:val="24"/>
        </w:rPr>
        <w:t xml:space="preserve"> Furthermore, Article 32 of the ACHR and Article 28 of the American Declaration of the Rights and Duties of Man similarly mandate that every individual has responsibilities to his community and that the rights of </w:t>
      </w:r>
      <w:r w:rsidR="00E206E7" w:rsidRPr="00AE1663">
        <w:rPr>
          <w:rFonts w:ascii="Times New Roman" w:hAnsi="Times New Roman" w:cs="Times New Roman"/>
          <w:sz w:val="24"/>
          <w:szCs w:val="24"/>
        </w:rPr>
        <w:t xml:space="preserve">others based on the just demands of </w:t>
      </w:r>
      <w:r w:rsidR="00E206E7" w:rsidRPr="00AE1663">
        <w:rPr>
          <w:rFonts w:ascii="Times New Roman" w:hAnsi="Times New Roman" w:cs="Times New Roman"/>
          <w:sz w:val="24"/>
          <w:szCs w:val="24"/>
        </w:rPr>
        <w:lastRenderedPageBreak/>
        <w:t xml:space="preserve">general welfare in a democratic society limit the </w:t>
      </w:r>
      <w:r w:rsidRPr="00AE1663">
        <w:rPr>
          <w:rFonts w:ascii="Times New Roman" w:hAnsi="Times New Roman" w:cs="Times New Roman"/>
          <w:sz w:val="24"/>
          <w:szCs w:val="24"/>
        </w:rPr>
        <w:t xml:space="preserve">rights of </w:t>
      </w:r>
      <w:r w:rsidR="00E206E7" w:rsidRPr="00AE1663">
        <w:rPr>
          <w:rFonts w:ascii="Times New Roman" w:hAnsi="Times New Roman" w:cs="Times New Roman"/>
          <w:sz w:val="24"/>
          <w:szCs w:val="24"/>
        </w:rPr>
        <w:t>individuals</w:t>
      </w:r>
      <w:r w:rsidRPr="00AE1663">
        <w:rPr>
          <w:rFonts w:ascii="Times New Roman" w:hAnsi="Times New Roman" w:cs="Times New Roman"/>
          <w:sz w:val="24"/>
          <w:szCs w:val="24"/>
        </w:rPr>
        <w:t>.</w:t>
      </w:r>
      <w:r w:rsidRPr="00A7760B">
        <w:rPr>
          <w:rFonts w:ascii="Times New Roman" w:hAnsi="Times New Roman" w:cs="Times New Roman"/>
          <w:sz w:val="20"/>
          <w:szCs w:val="24"/>
          <w:vertAlign w:val="superscript"/>
        </w:rPr>
        <w:footnoteReference w:id="113"/>
      </w:r>
      <w:r w:rsidRPr="00AE1663">
        <w:rPr>
          <w:rFonts w:ascii="Times New Roman" w:hAnsi="Times New Roman" w:cs="Times New Roman"/>
          <w:sz w:val="24"/>
          <w:szCs w:val="24"/>
        </w:rPr>
        <w:t xml:space="preserve"> Lastly, the alleged victim has failed to show there is a consensus sufficient to uphold the finding of a violation as determined in </w:t>
      </w:r>
      <w:r w:rsidRPr="00AE1663">
        <w:rPr>
          <w:rFonts w:ascii="Times New Roman" w:hAnsi="Times New Roman" w:cs="Times New Roman"/>
          <w:i/>
          <w:sz w:val="24"/>
          <w:szCs w:val="24"/>
        </w:rPr>
        <w:t>Schalk</w:t>
      </w:r>
      <w:r w:rsidRPr="00AE1663">
        <w:rPr>
          <w:rFonts w:ascii="Times New Roman" w:hAnsi="Times New Roman" w:cs="Times New Roman"/>
          <w:sz w:val="24"/>
          <w:szCs w:val="24"/>
        </w:rPr>
        <w:t>. With only two States that currently allow homosexual marriage in the OAS, there is a definite lack of consensus to suggest a changing of the times.</w:t>
      </w:r>
      <w:r w:rsidRPr="00A7760B">
        <w:rPr>
          <w:rFonts w:ascii="Times New Roman" w:hAnsi="Times New Roman" w:cs="Times New Roman"/>
          <w:sz w:val="20"/>
          <w:szCs w:val="24"/>
          <w:vertAlign w:val="superscript"/>
        </w:rPr>
        <w:footnoteReference w:id="114"/>
      </w:r>
    </w:p>
    <w:p w:rsidR="001B2737" w:rsidRPr="00AE1663" w:rsidRDefault="001B2737" w:rsidP="006558BD">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 xml:space="preserve">By forcing Elizabetia to </w:t>
      </w:r>
      <w:r w:rsidR="004B5ECF" w:rsidRPr="00AE1663">
        <w:rPr>
          <w:rFonts w:ascii="Times New Roman" w:hAnsi="Times New Roman" w:cs="Times New Roman"/>
          <w:sz w:val="24"/>
          <w:szCs w:val="24"/>
        </w:rPr>
        <w:t xml:space="preserve">recognize same-sex </w:t>
      </w:r>
      <w:r w:rsidR="00814FA9" w:rsidRPr="00AE1663">
        <w:rPr>
          <w:rFonts w:ascii="Times New Roman" w:hAnsi="Times New Roman" w:cs="Times New Roman"/>
          <w:sz w:val="24"/>
          <w:szCs w:val="24"/>
        </w:rPr>
        <w:t>marriages</w:t>
      </w:r>
      <w:r w:rsidRPr="00AE1663">
        <w:rPr>
          <w:rFonts w:ascii="Times New Roman" w:hAnsi="Times New Roman" w:cs="Times New Roman"/>
          <w:sz w:val="24"/>
          <w:szCs w:val="24"/>
        </w:rPr>
        <w:t xml:space="preserve"> th</w:t>
      </w:r>
      <w:r w:rsidR="004B5ECF" w:rsidRPr="00AE1663">
        <w:rPr>
          <w:rFonts w:ascii="Times New Roman" w:hAnsi="Times New Roman" w:cs="Times New Roman"/>
          <w:sz w:val="24"/>
          <w:szCs w:val="24"/>
        </w:rPr>
        <w:t xml:space="preserve">e same, </w:t>
      </w:r>
      <w:r w:rsidR="00E206E7" w:rsidRPr="00AE1663">
        <w:rPr>
          <w:rFonts w:ascii="Times New Roman" w:hAnsi="Times New Roman" w:cs="Times New Roman"/>
          <w:sz w:val="24"/>
          <w:szCs w:val="24"/>
        </w:rPr>
        <w:t xml:space="preserve">the IACtHR would force </w:t>
      </w:r>
      <w:r w:rsidR="004B5ECF" w:rsidRPr="00AE1663">
        <w:rPr>
          <w:rFonts w:ascii="Times New Roman" w:hAnsi="Times New Roman" w:cs="Times New Roman"/>
          <w:sz w:val="24"/>
          <w:szCs w:val="24"/>
        </w:rPr>
        <w:t>Elizabetia</w:t>
      </w:r>
      <w:r w:rsidRPr="00AE1663">
        <w:rPr>
          <w:rFonts w:ascii="Times New Roman" w:hAnsi="Times New Roman" w:cs="Times New Roman"/>
          <w:sz w:val="24"/>
          <w:szCs w:val="24"/>
        </w:rPr>
        <w:t xml:space="preserve"> to allow virtually all marriages, undermining the sanctity of marriage and opening the door for significant fraud. </w:t>
      </w:r>
      <w:r w:rsidR="004B5ECF" w:rsidRPr="00AE1663">
        <w:rPr>
          <w:rFonts w:ascii="Times New Roman" w:hAnsi="Times New Roman" w:cs="Times New Roman"/>
          <w:sz w:val="24"/>
          <w:szCs w:val="24"/>
        </w:rPr>
        <w:t>T</w:t>
      </w:r>
      <w:r w:rsidRPr="00AE1663">
        <w:rPr>
          <w:rFonts w:ascii="Times New Roman" w:hAnsi="Times New Roman" w:cs="Times New Roman"/>
          <w:sz w:val="24"/>
          <w:szCs w:val="24"/>
        </w:rPr>
        <w:t>he reading of international law is context dependent and must change with the times.</w:t>
      </w:r>
      <w:r w:rsidRPr="00A7760B">
        <w:rPr>
          <w:rFonts w:ascii="Times New Roman" w:hAnsi="Times New Roman" w:cs="Times New Roman"/>
          <w:sz w:val="20"/>
          <w:szCs w:val="24"/>
          <w:vertAlign w:val="superscript"/>
        </w:rPr>
        <w:footnoteReference w:id="115"/>
      </w:r>
      <w:r w:rsidRPr="00AE1663">
        <w:rPr>
          <w:rFonts w:ascii="Times New Roman" w:hAnsi="Times New Roman" w:cs="Times New Roman"/>
          <w:sz w:val="24"/>
          <w:szCs w:val="24"/>
        </w:rPr>
        <w:t xml:space="preserve"> Elizabetia is continuing its long tradition of moral sanctity and public harmony in regards to marriage</w:t>
      </w:r>
      <w:r w:rsidR="00814FA9" w:rsidRPr="00AE1663">
        <w:rPr>
          <w:rFonts w:ascii="Times New Roman" w:hAnsi="Times New Roman" w:cs="Times New Roman"/>
          <w:sz w:val="24"/>
          <w:szCs w:val="24"/>
        </w:rPr>
        <w:t>,</w:t>
      </w:r>
      <w:r w:rsidRPr="00AE1663">
        <w:rPr>
          <w:rFonts w:ascii="Times New Roman" w:hAnsi="Times New Roman" w:cs="Times New Roman"/>
          <w:sz w:val="24"/>
          <w:szCs w:val="24"/>
        </w:rPr>
        <w:t xml:space="preserve"> as evidenced by the 76% of Elizabetians </w:t>
      </w:r>
      <w:r w:rsidR="004B5ECF" w:rsidRPr="00AE1663">
        <w:rPr>
          <w:rFonts w:ascii="Times New Roman" w:hAnsi="Times New Roman" w:cs="Times New Roman"/>
          <w:sz w:val="24"/>
          <w:szCs w:val="24"/>
        </w:rPr>
        <w:t>who</w:t>
      </w:r>
      <w:r w:rsidRPr="00AE1663">
        <w:rPr>
          <w:rFonts w:ascii="Times New Roman" w:hAnsi="Times New Roman" w:cs="Times New Roman"/>
          <w:sz w:val="24"/>
          <w:szCs w:val="24"/>
        </w:rPr>
        <w:t xml:space="preserve"> disapprove of </w:t>
      </w:r>
      <w:r w:rsidR="004E57C2" w:rsidRPr="00AE1663">
        <w:rPr>
          <w:rFonts w:ascii="Times New Roman" w:hAnsi="Times New Roman" w:cs="Times New Roman"/>
          <w:sz w:val="24"/>
          <w:szCs w:val="24"/>
        </w:rPr>
        <w:t xml:space="preserve">the idea that </w:t>
      </w:r>
      <w:r w:rsidRPr="00AE1663">
        <w:rPr>
          <w:rFonts w:ascii="Times New Roman" w:hAnsi="Times New Roman" w:cs="Times New Roman"/>
          <w:sz w:val="24"/>
          <w:szCs w:val="24"/>
        </w:rPr>
        <w:t xml:space="preserve">domestic partnerships </w:t>
      </w:r>
      <w:r w:rsidR="004B5ECF" w:rsidRPr="00AE1663">
        <w:rPr>
          <w:rFonts w:ascii="Times New Roman" w:hAnsi="Times New Roman" w:cs="Times New Roman"/>
          <w:sz w:val="24"/>
          <w:szCs w:val="24"/>
        </w:rPr>
        <w:t xml:space="preserve">should be equal to </w:t>
      </w:r>
      <w:r w:rsidRPr="00AE1663">
        <w:rPr>
          <w:rFonts w:ascii="Times New Roman" w:hAnsi="Times New Roman" w:cs="Times New Roman"/>
          <w:sz w:val="24"/>
          <w:szCs w:val="24"/>
        </w:rPr>
        <w:t>marriage.</w:t>
      </w:r>
      <w:r w:rsidRPr="00A7760B">
        <w:rPr>
          <w:rFonts w:ascii="Times New Roman" w:hAnsi="Times New Roman" w:cs="Times New Roman"/>
          <w:sz w:val="20"/>
          <w:szCs w:val="24"/>
          <w:vertAlign w:val="superscript"/>
        </w:rPr>
        <w:footnoteReference w:id="116"/>
      </w:r>
      <w:r w:rsidRPr="00AE1663">
        <w:rPr>
          <w:rFonts w:ascii="Times New Roman" w:hAnsi="Times New Roman" w:cs="Times New Roman"/>
          <w:sz w:val="24"/>
          <w:szCs w:val="24"/>
        </w:rPr>
        <w:t xml:space="preserve"> </w:t>
      </w:r>
      <w:r w:rsidR="007F206B" w:rsidRPr="00AE1663">
        <w:rPr>
          <w:rFonts w:ascii="Times New Roman" w:hAnsi="Times New Roman" w:cs="Times New Roman"/>
          <w:sz w:val="24"/>
          <w:szCs w:val="24"/>
        </w:rPr>
        <w:t>This is</w:t>
      </w:r>
      <w:r w:rsidRPr="00AE1663">
        <w:rPr>
          <w:rFonts w:ascii="Times New Roman" w:hAnsi="Times New Roman" w:cs="Times New Roman"/>
          <w:sz w:val="24"/>
          <w:szCs w:val="24"/>
        </w:rPr>
        <w:t xml:space="preserve"> the political, economic, and social system that Elizabetia authorized and implemented in a way best suited to it</w:t>
      </w:r>
      <w:r w:rsidR="00B35591" w:rsidRPr="00AE1663">
        <w:rPr>
          <w:rFonts w:ascii="Times New Roman" w:hAnsi="Times New Roman" w:cs="Times New Roman"/>
          <w:sz w:val="24"/>
          <w:szCs w:val="24"/>
        </w:rPr>
        <w:t xml:space="preserve"> as authorized by COAS Articles 3(e) and 17</w:t>
      </w:r>
      <w:r w:rsidRPr="00AE1663">
        <w:rPr>
          <w:rFonts w:ascii="Times New Roman" w:hAnsi="Times New Roman" w:cs="Times New Roman"/>
          <w:sz w:val="24"/>
          <w:szCs w:val="24"/>
        </w:rPr>
        <w:t>.</w:t>
      </w:r>
      <w:r w:rsidRPr="00A7760B">
        <w:rPr>
          <w:rFonts w:ascii="Times New Roman" w:hAnsi="Times New Roman" w:cs="Times New Roman"/>
          <w:sz w:val="20"/>
          <w:szCs w:val="24"/>
          <w:vertAlign w:val="superscript"/>
        </w:rPr>
        <w:footnoteReference w:id="117"/>
      </w:r>
      <w:r w:rsidRPr="00AE1663">
        <w:rPr>
          <w:rFonts w:ascii="Times New Roman" w:hAnsi="Times New Roman" w:cs="Times New Roman"/>
          <w:sz w:val="24"/>
          <w:szCs w:val="24"/>
        </w:rPr>
        <w:t xml:space="preserve"> </w:t>
      </w:r>
      <w:r w:rsidR="004B76FF" w:rsidRPr="00AE1663">
        <w:rPr>
          <w:rFonts w:ascii="Times New Roman" w:hAnsi="Times New Roman" w:cs="Times New Roman"/>
          <w:sz w:val="24"/>
          <w:szCs w:val="24"/>
        </w:rPr>
        <w:t xml:space="preserve">In this </w:t>
      </w:r>
      <w:r w:rsidR="00E206E7" w:rsidRPr="00AE1663">
        <w:rPr>
          <w:rFonts w:ascii="Times New Roman" w:hAnsi="Times New Roman" w:cs="Times New Roman"/>
          <w:sz w:val="24"/>
          <w:szCs w:val="24"/>
        </w:rPr>
        <w:t>way,</w:t>
      </w:r>
      <w:r w:rsidR="004B76FF" w:rsidRPr="00AE1663">
        <w:rPr>
          <w:rFonts w:ascii="Times New Roman" w:hAnsi="Times New Roman" w:cs="Times New Roman"/>
          <w:sz w:val="24"/>
          <w:szCs w:val="24"/>
        </w:rPr>
        <w:t xml:space="preserve"> </w:t>
      </w:r>
      <w:r w:rsidR="004E57C2" w:rsidRPr="00AE1663">
        <w:rPr>
          <w:rFonts w:ascii="Times New Roman" w:hAnsi="Times New Roman" w:cs="Times New Roman"/>
          <w:sz w:val="24"/>
          <w:szCs w:val="24"/>
        </w:rPr>
        <w:t xml:space="preserve">Elizabetia’s </w:t>
      </w:r>
      <w:r w:rsidRPr="00AE1663">
        <w:rPr>
          <w:rFonts w:ascii="Times New Roman" w:hAnsi="Times New Roman" w:cs="Times New Roman"/>
          <w:sz w:val="24"/>
          <w:szCs w:val="24"/>
        </w:rPr>
        <w:t xml:space="preserve">democratically elected officials </w:t>
      </w:r>
      <w:r w:rsidR="007F206B" w:rsidRPr="00AE1663">
        <w:rPr>
          <w:rFonts w:ascii="Times New Roman" w:hAnsi="Times New Roman" w:cs="Times New Roman"/>
          <w:sz w:val="24"/>
          <w:szCs w:val="24"/>
        </w:rPr>
        <w:t xml:space="preserve">honor </w:t>
      </w:r>
      <w:r w:rsidR="004E57C2" w:rsidRPr="00AE1663">
        <w:rPr>
          <w:rFonts w:ascii="Times New Roman" w:hAnsi="Times New Roman" w:cs="Times New Roman"/>
          <w:sz w:val="24"/>
          <w:szCs w:val="24"/>
        </w:rPr>
        <w:t xml:space="preserve">the public’s </w:t>
      </w:r>
      <w:r w:rsidRPr="00AE1663">
        <w:rPr>
          <w:rFonts w:ascii="Times New Roman" w:hAnsi="Times New Roman" w:cs="Times New Roman"/>
          <w:sz w:val="24"/>
          <w:szCs w:val="24"/>
        </w:rPr>
        <w:t>concerns</w:t>
      </w:r>
      <w:r w:rsidR="007F206B" w:rsidRPr="00AE1663">
        <w:rPr>
          <w:rFonts w:ascii="Times New Roman" w:hAnsi="Times New Roman" w:cs="Times New Roman"/>
          <w:sz w:val="24"/>
          <w:szCs w:val="24"/>
        </w:rPr>
        <w:t xml:space="preserve"> regarding tradition</w:t>
      </w:r>
      <w:r w:rsidR="00BE03F5" w:rsidRPr="00AE1663">
        <w:rPr>
          <w:rFonts w:ascii="Times New Roman" w:hAnsi="Times New Roman" w:cs="Times New Roman"/>
          <w:sz w:val="24"/>
          <w:szCs w:val="24"/>
        </w:rPr>
        <w:t xml:space="preserve">, yet </w:t>
      </w:r>
      <w:r w:rsidR="007F206B" w:rsidRPr="00AE1663">
        <w:rPr>
          <w:rFonts w:ascii="Times New Roman" w:hAnsi="Times New Roman" w:cs="Times New Roman"/>
          <w:sz w:val="24"/>
          <w:szCs w:val="24"/>
        </w:rPr>
        <w:t xml:space="preserve">respect the legal sanctity of </w:t>
      </w:r>
      <w:r w:rsidR="00BE03F5" w:rsidRPr="00AE1663">
        <w:rPr>
          <w:rFonts w:ascii="Times New Roman" w:hAnsi="Times New Roman" w:cs="Times New Roman"/>
          <w:sz w:val="24"/>
          <w:szCs w:val="24"/>
        </w:rPr>
        <w:t>s</w:t>
      </w:r>
      <w:r w:rsidR="007F206B" w:rsidRPr="00AE1663">
        <w:rPr>
          <w:rFonts w:ascii="Times New Roman" w:hAnsi="Times New Roman" w:cs="Times New Roman"/>
          <w:sz w:val="24"/>
          <w:szCs w:val="24"/>
        </w:rPr>
        <w:t xml:space="preserve">ame-sex </w:t>
      </w:r>
      <w:r w:rsidRPr="00AE1663">
        <w:rPr>
          <w:rFonts w:ascii="Times New Roman" w:hAnsi="Times New Roman" w:cs="Times New Roman"/>
          <w:sz w:val="24"/>
          <w:szCs w:val="24"/>
        </w:rPr>
        <w:t>domestic partnerships.</w:t>
      </w:r>
      <w:r w:rsidRPr="00A7760B">
        <w:rPr>
          <w:rStyle w:val="FootnoteReference"/>
          <w:rFonts w:ascii="Times New Roman" w:hAnsi="Times New Roman" w:cs="Times New Roman"/>
          <w:sz w:val="20"/>
          <w:szCs w:val="24"/>
        </w:rPr>
        <w:footnoteReference w:id="118"/>
      </w:r>
      <w:r w:rsidRPr="00AE1663">
        <w:rPr>
          <w:rFonts w:ascii="Times New Roman" w:hAnsi="Times New Roman" w:cs="Times New Roman"/>
          <w:sz w:val="24"/>
          <w:szCs w:val="24"/>
        </w:rPr>
        <w:t xml:space="preserve"> </w:t>
      </w:r>
      <w:r w:rsidR="004B76FF" w:rsidRPr="00AE1663">
        <w:rPr>
          <w:rFonts w:ascii="Times New Roman" w:hAnsi="Times New Roman" w:cs="Times New Roman"/>
          <w:sz w:val="24"/>
          <w:szCs w:val="24"/>
        </w:rPr>
        <w:t>As a result, because d</w:t>
      </w:r>
      <w:r w:rsidRPr="00AE1663">
        <w:rPr>
          <w:rFonts w:ascii="Times New Roman" w:hAnsi="Times New Roman" w:cs="Times New Roman"/>
          <w:sz w:val="24"/>
          <w:szCs w:val="24"/>
        </w:rPr>
        <w:t>emocracy is one of the most important concerns of the ACHR and the COAS</w:t>
      </w:r>
      <w:r w:rsidR="004B76FF" w:rsidRPr="00AE1663">
        <w:rPr>
          <w:rFonts w:ascii="Times New Roman" w:hAnsi="Times New Roman" w:cs="Times New Roman"/>
          <w:sz w:val="24"/>
          <w:szCs w:val="24"/>
        </w:rPr>
        <w:t>,</w:t>
      </w:r>
      <w:r w:rsidR="00BE03F5" w:rsidRPr="00AE1663">
        <w:rPr>
          <w:rFonts w:ascii="Times New Roman" w:hAnsi="Times New Roman" w:cs="Times New Roman"/>
          <w:sz w:val="24"/>
          <w:szCs w:val="24"/>
        </w:rPr>
        <w:t xml:space="preserve"> this Court must give it the proper deference whe</w:t>
      </w:r>
      <w:r w:rsidR="00B35591" w:rsidRPr="00AE1663">
        <w:rPr>
          <w:rFonts w:ascii="Times New Roman" w:hAnsi="Times New Roman" w:cs="Times New Roman"/>
          <w:sz w:val="24"/>
          <w:szCs w:val="24"/>
        </w:rPr>
        <w:t>n addressing the alleged victim</w:t>
      </w:r>
      <w:r w:rsidR="00BE03F5" w:rsidRPr="00AE1663">
        <w:rPr>
          <w:rFonts w:ascii="Times New Roman" w:hAnsi="Times New Roman" w:cs="Times New Roman"/>
          <w:sz w:val="24"/>
          <w:szCs w:val="24"/>
        </w:rPr>
        <w:t>s</w:t>
      </w:r>
      <w:r w:rsidR="00B35591" w:rsidRPr="00AE1663">
        <w:rPr>
          <w:rFonts w:ascii="Times New Roman" w:hAnsi="Times New Roman" w:cs="Times New Roman"/>
          <w:sz w:val="24"/>
          <w:szCs w:val="24"/>
        </w:rPr>
        <w:t>’</w:t>
      </w:r>
      <w:r w:rsidR="00BE03F5" w:rsidRPr="00AE1663">
        <w:rPr>
          <w:rFonts w:ascii="Times New Roman" w:hAnsi="Times New Roman" w:cs="Times New Roman"/>
          <w:sz w:val="24"/>
          <w:szCs w:val="24"/>
        </w:rPr>
        <w:t xml:space="preserve"> claims</w:t>
      </w:r>
      <w:r w:rsidRPr="00AE1663">
        <w:rPr>
          <w:rFonts w:ascii="Times New Roman" w:hAnsi="Times New Roman" w:cs="Times New Roman"/>
          <w:sz w:val="24"/>
          <w:szCs w:val="24"/>
        </w:rPr>
        <w:t>.</w:t>
      </w:r>
      <w:r w:rsidRPr="00A7760B">
        <w:rPr>
          <w:rStyle w:val="FootnoteReference"/>
          <w:rFonts w:ascii="Times New Roman" w:hAnsi="Times New Roman" w:cs="Times New Roman"/>
          <w:sz w:val="20"/>
          <w:szCs w:val="24"/>
        </w:rPr>
        <w:footnoteReference w:id="119"/>
      </w:r>
      <w:r w:rsidRPr="00AE1663">
        <w:rPr>
          <w:rFonts w:ascii="Times New Roman" w:hAnsi="Times New Roman" w:cs="Times New Roman"/>
          <w:sz w:val="24"/>
          <w:szCs w:val="24"/>
        </w:rPr>
        <w:t xml:space="preserve"> To overturn </w:t>
      </w:r>
      <w:r w:rsidR="00BE03F5" w:rsidRPr="00AE1663">
        <w:rPr>
          <w:rFonts w:ascii="Times New Roman" w:hAnsi="Times New Roman" w:cs="Times New Roman"/>
          <w:sz w:val="24"/>
          <w:szCs w:val="24"/>
        </w:rPr>
        <w:t xml:space="preserve">Elizabetia’s courts </w:t>
      </w:r>
      <w:r w:rsidRPr="00AE1663">
        <w:rPr>
          <w:rFonts w:ascii="Times New Roman" w:hAnsi="Times New Roman" w:cs="Times New Roman"/>
          <w:sz w:val="24"/>
          <w:szCs w:val="24"/>
        </w:rPr>
        <w:t xml:space="preserve">and </w:t>
      </w:r>
      <w:r w:rsidR="00BE03F5" w:rsidRPr="00AE1663">
        <w:rPr>
          <w:rFonts w:ascii="Times New Roman" w:hAnsi="Times New Roman" w:cs="Times New Roman"/>
          <w:sz w:val="24"/>
          <w:szCs w:val="24"/>
        </w:rPr>
        <w:t>redefine marriage under its constitution, this Court would act as a super-legislature and would impose its own laws for those democratically enacted by Elizabetia’s own people.</w:t>
      </w:r>
      <w:r w:rsidRPr="00AE1663">
        <w:rPr>
          <w:rFonts w:ascii="Times New Roman" w:hAnsi="Times New Roman" w:cs="Times New Roman"/>
          <w:sz w:val="24"/>
          <w:szCs w:val="24"/>
        </w:rPr>
        <w:t xml:space="preserve"> </w:t>
      </w:r>
      <w:r w:rsidR="004B76FF" w:rsidRPr="00AE1663">
        <w:rPr>
          <w:rFonts w:ascii="Times New Roman" w:hAnsi="Times New Roman" w:cs="Times New Roman"/>
          <w:sz w:val="24"/>
          <w:szCs w:val="24"/>
        </w:rPr>
        <w:t>Lastly, t</w:t>
      </w:r>
      <w:r w:rsidRPr="00AE1663">
        <w:rPr>
          <w:rFonts w:ascii="Times New Roman" w:hAnsi="Times New Roman" w:cs="Times New Roman"/>
          <w:sz w:val="24"/>
          <w:szCs w:val="24"/>
        </w:rPr>
        <w:t xml:space="preserve">he rights of the few are </w:t>
      </w:r>
      <w:r w:rsidRPr="00AE1663">
        <w:rPr>
          <w:rFonts w:ascii="Times New Roman" w:hAnsi="Times New Roman" w:cs="Times New Roman"/>
          <w:sz w:val="24"/>
          <w:szCs w:val="24"/>
        </w:rPr>
        <w:lastRenderedPageBreak/>
        <w:t>subject to the needs of many under Artic</w:t>
      </w:r>
      <w:r w:rsidR="007F206B" w:rsidRPr="00AE1663">
        <w:rPr>
          <w:rFonts w:ascii="Times New Roman" w:hAnsi="Times New Roman" w:cs="Times New Roman"/>
          <w:sz w:val="24"/>
          <w:szCs w:val="24"/>
        </w:rPr>
        <w:t>le 32 and Petitioners have</w:t>
      </w:r>
      <w:r w:rsidRPr="00AE1663">
        <w:rPr>
          <w:rFonts w:ascii="Times New Roman" w:hAnsi="Times New Roman" w:cs="Times New Roman"/>
          <w:sz w:val="24"/>
          <w:szCs w:val="24"/>
        </w:rPr>
        <w:t xml:space="preserve"> a duty to recognize the m</w:t>
      </w:r>
      <w:r w:rsidR="007F206B" w:rsidRPr="00AE1663">
        <w:rPr>
          <w:rFonts w:ascii="Times New Roman" w:hAnsi="Times New Roman" w:cs="Times New Roman"/>
          <w:sz w:val="24"/>
          <w:szCs w:val="24"/>
        </w:rPr>
        <w:t>oral and democratic goals of their country</w:t>
      </w:r>
      <w:r w:rsidRPr="00AE1663">
        <w:rPr>
          <w:rFonts w:ascii="Times New Roman" w:hAnsi="Times New Roman" w:cs="Times New Roman"/>
          <w:sz w:val="24"/>
          <w:szCs w:val="24"/>
        </w:rPr>
        <w:t>.</w:t>
      </w:r>
      <w:r w:rsidRPr="00A7760B">
        <w:rPr>
          <w:rFonts w:ascii="Times New Roman" w:hAnsi="Times New Roman" w:cs="Times New Roman"/>
          <w:sz w:val="20"/>
          <w:szCs w:val="24"/>
          <w:vertAlign w:val="superscript"/>
        </w:rPr>
        <w:footnoteReference w:id="120"/>
      </w:r>
    </w:p>
    <w:p w:rsidR="001B2737" w:rsidRPr="00AE1663" w:rsidRDefault="007F206B" w:rsidP="006558BD">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Because of the revered nature of the institution of marriage, Elizabetia has reasonably chosen to extend the institution carefully.</w:t>
      </w:r>
      <w:r w:rsidRPr="00A7760B">
        <w:rPr>
          <w:rFonts w:ascii="Times New Roman" w:hAnsi="Times New Roman" w:cs="Times New Roman"/>
          <w:sz w:val="20"/>
          <w:szCs w:val="24"/>
          <w:vertAlign w:val="superscript"/>
        </w:rPr>
        <w:footnoteReference w:id="121"/>
      </w:r>
      <w:r w:rsidRPr="00AE1663">
        <w:rPr>
          <w:rFonts w:ascii="Times New Roman" w:hAnsi="Times New Roman" w:cs="Times New Roman"/>
          <w:sz w:val="24"/>
          <w:szCs w:val="24"/>
        </w:rPr>
        <w:t xml:space="preserve"> </w:t>
      </w:r>
      <w:r w:rsidR="001B2737" w:rsidRPr="00AE1663">
        <w:rPr>
          <w:rFonts w:ascii="Times New Roman" w:hAnsi="Times New Roman" w:cs="Times New Roman"/>
          <w:sz w:val="24"/>
          <w:szCs w:val="24"/>
        </w:rPr>
        <w:t xml:space="preserve">Based on the aforementioned deference to the democratic process, </w:t>
      </w:r>
      <w:r w:rsidR="00BE03F5" w:rsidRPr="00AE1663">
        <w:rPr>
          <w:rFonts w:ascii="Times New Roman" w:hAnsi="Times New Roman" w:cs="Times New Roman"/>
          <w:sz w:val="24"/>
          <w:szCs w:val="24"/>
        </w:rPr>
        <w:t xml:space="preserve">Elizabetia’s legislature acted in </w:t>
      </w:r>
      <w:r w:rsidR="001B2737" w:rsidRPr="00AE1663">
        <w:rPr>
          <w:rFonts w:ascii="Times New Roman" w:hAnsi="Times New Roman" w:cs="Times New Roman"/>
          <w:sz w:val="24"/>
          <w:szCs w:val="24"/>
        </w:rPr>
        <w:t xml:space="preserve">the most feasible way to allow homosexual partners to </w:t>
      </w:r>
      <w:r w:rsidR="00BE03F5" w:rsidRPr="00AE1663">
        <w:rPr>
          <w:rFonts w:ascii="Times New Roman" w:hAnsi="Times New Roman" w:cs="Times New Roman"/>
          <w:sz w:val="24"/>
          <w:szCs w:val="24"/>
        </w:rPr>
        <w:t>join</w:t>
      </w:r>
      <w:r w:rsidR="001B2737" w:rsidRPr="00AE1663">
        <w:rPr>
          <w:rFonts w:ascii="Times New Roman" w:hAnsi="Times New Roman" w:cs="Times New Roman"/>
          <w:sz w:val="24"/>
          <w:szCs w:val="24"/>
        </w:rPr>
        <w:t xml:space="preserve"> </w:t>
      </w:r>
      <w:r w:rsidR="00BE03F5" w:rsidRPr="00AE1663">
        <w:rPr>
          <w:rFonts w:ascii="Times New Roman" w:hAnsi="Times New Roman" w:cs="Times New Roman"/>
          <w:sz w:val="24"/>
          <w:szCs w:val="24"/>
        </w:rPr>
        <w:t>while</w:t>
      </w:r>
      <w:r w:rsidR="001B2737" w:rsidRPr="00AE1663">
        <w:rPr>
          <w:rFonts w:ascii="Times New Roman" w:hAnsi="Times New Roman" w:cs="Times New Roman"/>
          <w:sz w:val="24"/>
          <w:szCs w:val="24"/>
        </w:rPr>
        <w:t xml:space="preserve"> preserving the sanctity of marriage. </w:t>
      </w:r>
      <w:r w:rsidRPr="00AE1663">
        <w:rPr>
          <w:rFonts w:ascii="Times New Roman" w:hAnsi="Times New Roman" w:cs="Times New Roman"/>
          <w:sz w:val="24"/>
          <w:szCs w:val="24"/>
        </w:rPr>
        <w:t>Such exclusion is preferable to a society that allows marriage between any two entities for any given reason and inconsistent with the Elizabetian veneration for marriage.</w:t>
      </w:r>
      <w:r w:rsidRPr="00A7760B">
        <w:rPr>
          <w:rFonts w:ascii="Times New Roman" w:hAnsi="Times New Roman" w:cs="Times New Roman"/>
          <w:sz w:val="20"/>
          <w:szCs w:val="24"/>
          <w:vertAlign w:val="superscript"/>
        </w:rPr>
        <w:footnoteReference w:id="122"/>
      </w:r>
    </w:p>
    <w:p w:rsidR="00A82A65" w:rsidRPr="00AE1663" w:rsidRDefault="00CD68F5" w:rsidP="00B25072">
      <w:pPr>
        <w:pStyle w:val="Heading2"/>
        <w:numPr>
          <w:ilvl w:val="0"/>
          <w:numId w:val="7"/>
        </w:numPr>
        <w:spacing w:before="0"/>
        <w:ind w:left="720"/>
        <w:rPr>
          <w:rFonts w:ascii="Times New Roman" w:hAnsi="Times New Roman" w:cs="Times New Roman"/>
          <w:color w:val="auto"/>
          <w:sz w:val="24"/>
          <w:szCs w:val="24"/>
        </w:rPr>
      </w:pPr>
      <w:bookmarkStart w:id="11" w:name="_Toc352003544"/>
      <w:r w:rsidRPr="00AE1663">
        <w:rPr>
          <w:rFonts w:ascii="Times New Roman" w:hAnsi="Times New Roman" w:cs="Times New Roman"/>
          <w:color w:val="auto"/>
          <w:sz w:val="24"/>
          <w:szCs w:val="24"/>
        </w:rPr>
        <w:t>ELIZABETIA</w:t>
      </w:r>
      <w:r w:rsidR="00A82A65" w:rsidRPr="00AE1663">
        <w:rPr>
          <w:rFonts w:ascii="Times New Roman" w:hAnsi="Times New Roman" w:cs="Times New Roman"/>
          <w:color w:val="auto"/>
          <w:sz w:val="24"/>
          <w:szCs w:val="24"/>
        </w:rPr>
        <w:t xml:space="preserve"> DID NOT </w:t>
      </w:r>
      <w:r w:rsidRPr="00AE1663">
        <w:rPr>
          <w:rFonts w:ascii="Times New Roman" w:hAnsi="Times New Roman" w:cs="Times New Roman"/>
          <w:color w:val="auto"/>
          <w:sz w:val="24"/>
          <w:szCs w:val="24"/>
        </w:rPr>
        <w:t>VIOLATE PETITIONER</w:t>
      </w:r>
      <w:r w:rsidR="00A82A65" w:rsidRPr="00AE1663">
        <w:rPr>
          <w:rFonts w:ascii="Times New Roman" w:hAnsi="Times New Roman" w:cs="Times New Roman"/>
          <w:color w:val="auto"/>
          <w:sz w:val="24"/>
          <w:szCs w:val="24"/>
        </w:rPr>
        <w:t>S</w:t>
      </w:r>
      <w:r w:rsidRPr="00AE1663">
        <w:rPr>
          <w:rFonts w:ascii="Times New Roman" w:hAnsi="Times New Roman" w:cs="Times New Roman"/>
          <w:color w:val="auto"/>
          <w:sz w:val="24"/>
          <w:szCs w:val="24"/>
        </w:rPr>
        <w:t>’</w:t>
      </w:r>
      <w:r w:rsidR="00A82A65" w:rsidRPr="00AE1663">
        <w:rPr>
          <w:rFonts w:ascii="Times New Roman" w:hAnsi="Times New Roman" w:cs="Times New Roman"/>
          <w:color w:val="auto"/>
          <w:sz w:val="24"/>
          <w:szCs w:val="24"/>
        </w:rPr>
        <w:t xml:space="preserve"> RIGHT TO PRIV</w:t>
      </w:r>
      <w:r w:rsidRPr="00AE1663">
        <w:rPr>
          <w:rFonts w:ascii="Times New Roman" w:hAnsi="Times New Roman" w:cs="Times New Roman"/>
          <w:color w:val="auto"/>
          <w:sz w:val="24"/>
          <w:szCs w:val="24"/>
        </w:rPr>
        <w:t xml:space="preserve">ACY </w:t>
      </w:r>
      <w:r w:rsidR="00006D65" w:rsidRPr="00AE1663">
        <w:rPr>
          <w:rFonts w:ascii="Times New Roman" w:hAnsi="Times New Roman" w:cs="Times New Roman"/>
          <w:color w:val="auto"/>
          <w:sz w:val="24"/>
          <w:szCs w:val="24"/>
        </w:rPr>
        <w:t>BECAUSE DENIAL OF SAME-SEX MARRIAGE IS A REASONABLE LIMITATION ON PRIVACY</w:t>
      </w:r>
      <w:bookmarkEnd w:id="11"/>
    </w:p>
    <w:p w:rsidR="00E206E7" w:rsidRPr="00AE1663" w:rsidRDefault="00E206E7" w:rsidP="00E206E7">
      <w:pPr>
        <w:rPr>
          <w:rFonts w:ascii="Times New Roman" w:hAnsi="Times New Roman" w:cs="Times New Roman"/>
          <w:sz w:val="24"/>
          <w:szCs w:val="24"/>
        </w:rPr>
      </w:pPr>
    </w:p>
    <w:p w:rsidR="00006D65" w:rsidRPr="00AE1663" w:rsidRDefault="00006D65" w:rsidP="00006D65">
      <w:pPr>
        <w:pStyle w:val="ListParagraph"/>
        <w:autoSpaceDE w:val="0"/>
        <w:autoSpaceDN w:val="0"/>
        <w:adjustRightInd w:val="0"/>
        <w:spacing w:after="0" w:line="480" w:lineRule="auto"/>
        <w:ind w:left="0"/>
        <w:rPr>
          <w:rFonts w:ascii="Times New Roman" w:hAnsi="Times New Roman" w:cs="Times New Roman"/>
          <w:sz w:val="24"/>
          <w:szCs w:val="24"/>
        </w:rPr>
      </w:pPr>
      <w:r w:rsidRPr="00AE1663">
        <w:rPr>
          <w:rFonts w:ascii="Times New Roman" w:hAnsi="Times New Roman" w:cs="Times New Roman"/>
          <w:bCs/>
          <w:sz w:val="24"/>
          <w:szCs w:val="24"/>
        </w:rPr>
        <w:tab/>
        <w:t>Elizab</w:t>
      </w:r>
      <w:r w:rsidR="00CD68F5" w:rsidRPr="00AE1663">
        <w:rPr>
          <w:rFonts w:ascii="Times New Roman" w:hAnsi="Times New Roman" w:cs="Times New Roman"/>
          <w:bCs/>
          <w:sz w:val="24"/>
          <w:szCs w:val="24"/>
        </w:rPr>
        <w:t>etia did not violate Petitioner</w:t>
      </w:r>
      <w:r w:rsidRPr="00AE1663">
        <w:rPr>
          <w:rFonts w:ascii="Times New Roman" w:hAnsi="Times New Roman" w:cs="Times New Roman"/>
          <w:bCs/>
          <w:sz w:val="24"/>
          <w:szCs w:val="24"/>
        </w:rPr>
        <w:t>s</w:t>
      </w:r>
      <w:r w:rsidR="00CD68F5" w:rsidRPr="00AE1663">
        <w:rPr>
          <w:rFonts w:ascii="Times New Roman" w:hAnsi="Times New Roman" w:cs="Times New Roman"/>
          <w:bCs/>
          <w:sz w:val="24"/>
          <w:szCs w:val="24"/>
        </w:rPr>
        <w:t>’</w:t>
      </w:r>
      <w:r w:rsidRPr="00AE1663">
        <w:rPr>
          <w:rFonts w:ascii="Times New Roman" w:hAnsi="Times New Roman" w:cs="Times New Roman"/>
          <w:bCs/>
          <w:sz w:val="24"/>
          <w:szCs w:val="24"/>
        </w:rPr>
        <w:t xml:space="preserve"> right to private life because it respected the democratically enacted laws of its people in refusing to expand the traditional concept of marriage.</w:t>
      </w:r>
      <w:r w:rsidR="0071238D" w:rsidRPr="00AE1663">
        <w:rPr>
          <w:rFonts w:ascii="Times New Roman" w:hAnsi="Times New Roman" w:cs="Times New Roman"/>
          <w:bCs/>
          <w:sz w:val="24"/>
          <w:szCs w:val="24"/>
        </w:rPr>
        <w:t xml:space="preserve"> </w:t>
      </w:r>
      <w:r w:rsidRPr="00AE1663">
        <w:rPr>
          <w:rFonts w:ascii="Times New Roman" w:hAnsi="Times New Roman" w:cs="Times New Roman"/>
          <w:sz w:val="24"/>
          <w:szCs w:val="24"/>
        </w:rPr>
        <w:t>The IACtHR has stated that the right to private life is not absolute, and States may restrict the right to private life provided the intrusions are neither abusive nor arbitrary.</w:t>
      </w:r>
      <w:r w:rsidRPr="00A7760B">
        <w:rPr>
          <w:rStyle w:val="FootnoteReference"/>
          <w:rFonts w:ascii="Times New Roman" w:hAnsi="Times New Roman" w:cs="Times New Roman"/>
          <w:sz w:val="20"/>
          <w:szCs w:val="24"/>
        </w:rPr>
        <w:footnoteReference w:id="123"/>
      </w:r>
      <w:r w:rsidR="0071238D" w:rsidRPr="00AE1663">
        <w:rPr>
          <w:rFonts w:ascii="Times New Roman" w:hAnsi="Times New Roman" w:cs="Times New Roman"/>
          <w:sz w:val="24"/>
          <w:szCs w:val="24"/>
        </w:rPr>
        <w:t xml:space="preserve"> </w:t>
      </w:r>
      <w:r w:rsidRPr="00AE1663">
        <w:rPr>
          <w:rFonts w:ascii="Times New Roman" w:hAnsi="Times New Roman" w:cs="Times New Roman"/>
          <w:sz w:val="24"/>
          <w:szCs w:val="24"/>
        </w:rPr>
        <w:t xml:space="preserve">In protecting against arbitrary interference of private life, a </w:t>
      </w:r>
      <w:r w:rsidR="00E206E7" w:rsidRPr="00AE1663">
        <w:rPr>
          <w:rFonts w:ascii="Times New Roman" w:hAnsi="Times New Roman" w:cs="Times New Roman"/>
          <w:sz w:val="24"/>
          <w:szCs w:val="24"/>
        </w:rPr>
        <w:t xml:space="preserve">State must strike a </w:t>
      </w:r>
      <w:r w:rsidRPr="00AE1663">
        <w:rPr>
          <w:rFonts w:ascii="Times New Roman" w:hAnsi="Times New Roman" w:cs="Times New Roman"/>
          <w:sz w:val="24"/>
          <w:szCs w:val="24"/>
        </w:rPr>
        <w:t>balance between the general public interest an</w:t>
      </w:r>
      <w:r w:rsidR="00E206E7" w:rsidRPr="00AE1663">
        <w:rPr>
          <w:rFonts w:ascii="Times New Roman" w:hAnsi="Times New Roman" w:cs="Times New Roman"/>
          <w:sz w:val="24"/>
          <w:szCs w:val="24"/>
        </w:rPr>
        <w:t>d the individual</w:t>
      </w:r>
      <w:r w:rsidRPr="00AE1663">
        <w:rPr>
          <w:rFonts w:ascii="Times New Roman" w:hAnsi="Times New Roman" w:cs="Times New Roman"/>
          <w:sz w:val="24"/>
          <w:szCs w:val="24"/>
        </w:rPr>
        <w:t xml:space="preserve"> interest.</w:t>
      </w:r>
      <w:r w:rsidRPr="00A7760B">
        <w:rPr>
          <w:rStyle w:val="FootnoteReference"/>
          <w:rFonts w:ascii="Times New Roman" w:hAnsi="Times New Roman" w:cs="Times New Roman"/>
          <w:sz w:val="20"/>
          <w:szCs w:val="24"/>
        </w:rPr>
        <w:footnoteReference w:id="124"/>
      </w:r>
      <w:r w:rsidR="0071238D" w:rsidRPr="00AE1663">
        <w:rPr>
          <w:rFonts w:ascii="Times New Roman" w:hAnsi="Times New Roman" w:cs="Times New Roman"/>
          <w:sz w:val="24"/>
          <w:szCs w:val="24"/>
        </w:rPr>
        <w:t xml:space="preserve"> </w:t>
      </w:r>
      <w:r w:rsidRPr="00AE1663">
        <w:rPr>
          <w:rFonts w:ascii="Times New Roman" w:hAnsi="Times New Roman" w:cs="Times New Roman"/>
          <w:sz w:val="24"/>
          <w:szCs w:val="24"/>
        </w:rPr>
        <w:t>The IACtHR has stated that if a restriction on privacy is statutorily enacted it does not constitute an arbitrary interference with an individual’s private life.</w:t>
      </w:r>
      <w:r w:rsidRPr="00A7760B">
        <w:rPr>
          <w:rStyle w:val="FootnoteReference"/>
          <w:rFonts w:ascii="Times New Roman" w:hAnsi="Times New Roman" w:cs="Times New Roman"/>
          <w:sz w:val="20"/>
          <w:szCs w:val="24"/>
        </w:rPr>
        <w:footnoteReference w:id="125"/>
      </w:r>
      <w:r w:rsidR="0071238D" w:rsidRPr="00AE1663">
        <w:rPr>
          <w:rFonts w:ascii="Times New Roman" w:hAnsi="Times New Roman" w:cs="Times New Roman"/>
          <w:sz w:val="24"/>
          <w:szCs w:val="24"/>
        </w:rPr>
        <w:t xml:space="preserve"> </w:t>
      </w:r>
      <w:r w:rsidRPr="00AE1663">
        <w:rPr>
          <w:rFonts w:ascii="Times New Roman" w:hAnsi="Times New Roman" w:cs="Times New Roman"/>
          <w:sz w:val="24"/>
          <w:szCs w:val="24"/>
        </w:rPr>
        <w:t xml:space="preserve">Since sexual orientation is part of one’s private life, </w:t>
      </w:r>
      <w:r w:rsidR="00B25072" w:rsidRPr="00AE1663">
        <w:rPr>
          <w:rFonts w:ascii="Times New Roman" w:hAnsi="Times New Roman" w:cs="Times New Roman"/>
          <w:sz w:val="24"/>
          <w:szCs w:val="24"/>
        </w:rPr>
        <w:t>a state</w:t>
      </w:r>
      <w:r w:rsidRPr="00AE1663">
        <w:rPr>
          <w:rFonts w:ascii="Times New Roman" w:hAnsi="Times New Roman" w:cs="Times New Roman"/>
          <w:sz w:val="24"/>
          <w:szCs w:val="24"/>
        </w:rPr>
        <w:t xml:space="preserve"> may interfere </w:t>
      </w:r>
      <w:r w:rsidR="00E206E7" w:rsidRPr="00AE1663">
        <w:rPr>
          <w:rFonts w:ascii="Times New Roman" w:hAnsi="Times New Roman" w:cs="Times New Roman"/>
          <w:sz w:val="24"/>
          <w:szCs w:val="24"/>
        </w:rPr>
        <w:t>through regulated</w:t>
      </w:r>
      <w:r w:rsidRPr="00AE1663">
        <w:rPr>
          <w:rFonts w:ascii="Times New Roman" w:hAnsi="Times New Roman" w:cs="Times New Roman"/>
          <w:sz w:val="24"/>
          <w:szCs w:val="24"/>
        </w:rPr>
        <w:t xml:space="preserve"> law, made pursuant to a legitimate goal, and </w:t>
      </w:r>
      <w:r w:rsidR="00E206E7" w:rsidRPr="00AE1663">
        <w:rPr>
          <w:rFonts w:ascii="Times New Roman" w:hAnsi="Times New Roman" w:cs="Times New Roman"/>
          <w:sz w:val="24"/>
          <w:szCs w:val="24"/>
        </w:rPr>
        <w:t xml:space="preserve">that </w:t>
      </w:r>
      <w:r w:rsidRPr="00AE1663">
        <w:rPr>
          <w:rFonts w:ascii="Times New Roman" w:hAnsi="Times New Roman" w:cs="Times New Roman"/>
          <w:sz w:val="24"/>
          <w:szCs w:val="24"/>
        </w:rPr>
        <w:t xml:space="preserve">meets standards of </w:t>
      </w:r>
      <w:r w:rsidRPr="00AE1663">
        <w:rPr>
          <w:rFonts w:ascii="Times New Roman" w:hAnsi="Times New Roman" w:cs="Times New Roman"/>
          <w:sz w:val="24"/>
          <w:szCs w:val="24"/>
        </w:rPr>
        <w:lastRenderedPageBreak/>
        <w:t xml:space="preserve">“suitability, </w:t>
      </w:r>
      <w:r w:rsidR="00E206E7" w:rsidRPr="00AE1663">
        <w:rPr>
          <w:rFonts w:ascii="Times New Roman" w:hAnsi="Times New Roman" w:cs="Times New Roman"/>
          <w:sz w:val="24"/>
          <w:szCs w:val="24"/>
        </w:rPr>
        <w:t>necessity,</w:t>
      </w:r>
      <w:r w:rsidRPr="00AE1663">
        <w:rPr>
          <w:rFonts w:ascii="Times New Roman" w:hAnsi="Times New Roman" w:cs="Times New Roman"/>
          <w:sz w:val="24"/>
          <w:szCs w:val="24"/>
        </w:rPr>
        <w:t xml:space="preserve"> and proportionality.”</w:t>
      </w:r>
      <w:r w:rsidRPr="00A7760B">
        <w:rPr>
          <w:rStyle w:val="FootnoteReference"/>
          <w:rFonts w:ascii="Times New Roman" w:hAnsi="Times New Roman" w:cs="Times New Roman"/>
          <w:sz w:val="20"/>
          <w:szCs w:val="24"/>
        </w:rPr>
        <w:footnoteReference w:id="126"/>
      </w:r>
      <w:r w:rsidR="0071238D" w:rsidRPr="00AE1663">
        <w:rPr>
          <w:rFonts w:ascii="Times New Roman" w:hAnsi="Times New Roman" w:cs="Times New Roman"/>
          <w:sz w:val="24"/>
          <w:szCs w:val="24"/>
        </w:rPr>
        <w:t xml:space="preserve"> </w:t>
      </w:r>
      <w:r w:rsidRPr="00AE1663">
        <w:rPr>
          <w:rFonts w:ascii="Times New Roman" w:hAnsi="Times New Roman" w:cs="Times New Roman"/>
          <w:sz w:val="24"/>
          <w:szCs w:val="24"/>
        </w:rPr>
        <w:t>In analyzing invasions of privacy, the IACtHR and ECtHR look at how a domestic court deals with the applicant’s claims.</w:t>
      </w:r>
      <w:r w:rsidRPr="00A7760B">
        <w:rPr>
          <w:rStyle w:val="FootnoteReference"/>
          <w:rFonts w:ascii="Times New Roman" w:hAnsi="Times New Roman" w:cs="Times New Roman"/>
          <w:sz w:val="20"/>
          <w:szCs w:val="24"/>
        </w:rPr>
        <w:footnoteReference w:id="127"/>
      </w:r>
    </w:p>
    <w:p w:rsidR="00006D65" w:rsidRPr="00AE1663" w:rsidRDefault="00E206E7" w:rsidP="00006D65">
      <w:pPr>
        <w:pStyle w:val="ListParagraph"/>
        <w:autoSpaceDE w:val="0"/>
        <w:autoSpaceDN w:val="0"/>
        <w:adjustRightInd w:val="0"/>
        <w:spacing w:after="0" w:line="480" w:lineRule="auto"/>
        <w:ind w:left="0"/>
        <w:rPr>
          <w:rFonts w:ascii="Times New Roman" w:hAnsi="Times New Roman" w:cs="Times New Roman"/>
          <w:sz w:val="24"/>
          <w:szCs w:val="24"/>
        </w:rPr>
      </w:pPr>
      <w:r w:rsidRPr="00AE1663">
        <w:rPr>
          <w:rFonts w:ascii="Times New Roman" w:hAnsi="Times New Roman" w:cs="Times New Roman"/>
          <w:sz w:val="24"/>
          <w:szCs w:val="24"/>
        </w:rPr>
        <w:tab/>
        <w:t>In</w:t>
      </w:r>
      <w:r w:rsidR="00006D65" w:rsidRPr="00AE1663">
        <w:rPr>
          <w:rFonts w:ascii="Times New Roman" w:hAnsi="Times New Roman" w:cs="Times New Roman"/>
          <w:sz w:val="24"/>
          <w:szCs w:val="24"/>
        </w:rPr>
        <w:t xml:space="preserve"> </w:t>
      </w:r>
      <w:r w:rsidR="00006D65" w:rsidRPr="00AE1663">
        <w:rPr>
          <w:rStyle w:val="Emphasis"/>
          <w:rFonts w:ascii="Times New Roman" w:hAnsi="Times New Roman" w:cs="Times New Roman"/>
          <w:sz w:val="24"/>
          <w:szCs w:val="24"/>
        </w:rPr>
        <w:t>Atala</w:t>
      </w:r>
      <w:r w:rsidR="00006D65" w:rsidRPr="00AE1663">
        <w:rPr>
          <w:rStyle w:val="Emphasis"/>
          <w:rFonts w:ascii="Times New Roman" w:hAnsi="Times New Roman" w:cs="Times New Roman"/>
          <w:i w:val="0"/>
          <w:sz w:val="24"/>
          <w:szCs w:val="24"/>
        </w:rPr>
        <w:t>,</w:t>
      </w:r>
      <w:r w:rsidR="00006D65" w:rsidRPr="00AE1663">
        <w:rPr>
          <w:rStyle w:val="Emphasis"/>
          <w:rFonts w:ascii="Times New Roman" w:hAnsi="Times New Roman" w:cs="Times New Roman"/>
          <w:sz w:val="24"/>
          <w:szCs w:val="24"/>
        </w:rPr>
        <w:t xml:space="preserve"> </w:t>
      </w:r>
      <w:r w:rsidR="00006D65" w:rsidRPr="00AE1663">
        <w:rPr>
          <w:rStyle w:val="Emphasis"/>
          <w:rFonts w:ascii="Times New Roman" w:hAnsi="Times New Roman" w:cs="Times New Roman"/>
          <w:i w:val="0"/>
          <w:sz w:val="24"/>
          <w:szCs w:val="24"/>
        </w:rPr>
        <w:t>t</w:t>
      </w:r>
      <w:r w:rsidR="002F68CA" w:rsidRPr="00AE1663">
        <w:rPr>
          <w:rFonts w:ascii="Times New Roman" w:hAnsi="Times New Roman" w:cs="Times New Roman"/>
          <w:sz w:val="24"/>
          <w:szCs w:val="24"/>
        </w:rPr>
        <w:t>he IACtHR decided that the s</w:t>
      </w:r>
      <w:r w:rsidR="00006D65" w:rsidRPr="00AE1663">
        <w:rPr>
          <w:rFonts w:ascii="Times New Roman" w:hAnsi="Times New Roman" w:cs="Times New Roman"/>
          <w:sz w:val="24"/>
          <w:szCs w:val="24"/>
        </w:rPr>
        <w:t>tate’s interference in Ms. Atala’s priva</w:t>
      </w:r>
      <w:r w:rsidRPr="00AE1663">
        <w:rPr>
          <w:rFonts w:ascii="Times New Roman" w:hAnsi="Times New Roman" w:cs="Times New Roman"/>
          <w:sz w:val="24"/>
          <w:szCs w:val="24"/>
        </w:rPr>
        <w:t>te life was arbitrary, because the</w:t>
      </w:r>
      <w:r w:rsidR="00006D65" w:rsidRPr="00AE1663">
        <w:rPr>
          <w:rFonts w:ascii="Times New Roman" w:hAnsi="Times New Roman" w:cs="Times New Roman"/>
          <w:sz w:val="24"/>
          <w:szCs w:val="24"/>
        </w:rPr>
        <w:t xml:space="preserve"> </w:t>
      </w:r>
      <w:r w:rsidRPr="00AE1663">
        <w:rPr>
          <w:rFonts w:ascii="Times New Roman" w:hAnsi="Times New Roman" w:cs="Times New Roman"/>
          <w:sz w:val="24"/>
          <w:szCs w:val="24"/>
        </w:rPr>
        <w:t xml:space="preserve">Court decided custody decision </w:t>
      </w:r>
      <w:r w:rsidR="00006D65" w:rsidRPr="00AE1663">
        <w:rPr>
          <w:rFonts w:ascii="Times New Roman" w:hAnsi="Times New Roman" w:cs="Times New Roman"/>
          <w:sz w:val="24"/>
          <w:szCs w:val="24"/>
        </w:rPr>
        <w:t>based on discriminatory prejudices driven by her sexual orientation.</w:t>
      </w:r>
      <w:r w:rsidR="00006D65" w:rsidRPr="00A7760B">
        <w:rPr>
          <w:rStyle w:val="FootnoteReference"/>
          <w:rFonts w:ascii="Times New Roman" w:hAnsi="Times New Roman" w:cs="Times New Roman"/>
          <w:sz w:val="20"/>
          <w:szCs w:val="24"/>
        </w:rPr>
        <w:footnoteReference w:id="128"/>
      </w:r>
      <w:r w:rsidR="0071238D" w:rsidRPr="00AE1663">
        <w:rPr>
          <w:rFonts w:ascii="Times New Roman" w:hAnsi="Times New Roman" w:cs="Times New Roman"/>
          <w:sz w:val="24"/>
          <w:szCs w:val="24"/>
        </w:rPr>
        <w:t xml:space="preserve"> </w:t>
      </w:r>
      <w:r w:rsidR="00006D65" w:rsidRPr="00AE1663">
        <w:rPr>
          <w:rFonts w:ascii="Times New Roman" w:hAnsi="Times New Roman" w:cs="Times New Roman"/>
          <w:sz w:val="24"/>
          <w:szCs w:val="24"/>
        </w:rPr>
        <w:t xml:space="preserve">The IACtHR considered whether the lower court’s treatment of Ms. Atala’s cohabitation with her lesbian partner was proper, ultimately reasoning that the domestic court’s inquiry into the victim’s sexual orientation was neither relevant </w:t>
      </w:r>
      <w:r w:rsidRPr="00AE1663">
        <w:rPr>
          <w:rFonts w:ascii="Times New Roman" w:hAnsi="Times New Roman" w:cs="Times New Roman"/>
          <w:sz w:val="24"/>
          <w:szCs w:val="24"/>
        </w:rPr>
        <w:t>nor proportional in examining</w:t>
      </w:r>
      <w:r w:rsidR="00006D65" w:rsidRPr="00AE1663">
        <w:rPr>
          <w:rFonts w:ascii="Times New Roman" w:hAnsi="Times New Roman" w:cs="Times New Roman"/>
          <w:sz w:val="24"/>
          <w:szCs w:val="24"/>
        </w:rPr>
        <w:t xml:space="preserve"> suitability as a parent.</w:t>
      </w:r>
      <w:r w:rsidR="00006D65" w:rsidRPr="00A7760B">
        <w:rPr>
          <w:rStyle w:val="FootnoteReference"/>
          <w:rFonts w:ascii="Times New Roman" w:hAnsi="Times New Roman" w:cs="Times New Roman"/>
          <w:sz w:val="20"/>
          <w:szCs w:val="24"/>
        </w:rPr>
        <w:footnoteReference w:id="129"/>
      </w:r>
      <w:r w:rsidR="0071238D" w:rsidRPr="00AE1663">
        <w:rPr>
          <w:rFonts w:ascii="Times New Roman" w:hAnsi="Times New Roman" w:cs="Times New Roman"/>
          <w:b/>
          <w:i/>
          <w:sz w:val="24"/>
          <w:szCs w:val="24"/>
        </w:rPr>
        <w:t xml:space="preserve"> </w:t>
      </w:r>
    </w:p>
    <w:p w:rsidR="00006D65" w:rsidRPr="00AE1663" w:rsidRDefault="00006D65" w:rsidP="00006D65">
      <w:pPr>
        <w:pStyle w:val="ListParagraph"/>
        <w:autoSpaceDE w:val="0"/>
        <w:autoSpaceDN w:val="0"/>
        <w:adjustRightInd w:val="0"/>
        <w:spacing w:after="0" w:line="480" w:lineRule="auto"/>
        <w:ind w:left="0"/>
        <w:rPr>
          <w:rFonts w:ascii="Times New Roman" w:hAnsi="Times New Roman" w:cs="Times New Roman"/>
          <w:sz w:val="24"/>
          <w:szCs w:val="24"/>
        </w:rPr>
      </w:pPr>
      <w:r w:rsidRPr="00AE1663">
        <w:rPr>
          <w:rFonts w:ascii="Times New Roman" w:hAnsi="Times New Roman" w:cs="Times New Roman"/>
          <w:sz w:val="24"/>
          <w:szCs w:val="24"/>
        </w:rPr>
        <w:tab/>
        <w:t>The ECtHR has had further occasions to consider how the concept of “private life” relates to sexual orientation.</w:t>
      </w:r>
      <w:r w:rsidR="0071238D" w:rsidRPr="00AE1663">
        <w:rPr>
          <w:rFonts w:ascii="Times New Roman" w:hAnsi="Times New Roman" w:cs="Times New Roman"/>
          <w:sz w:val="24"/>
          <w:szCs w:val="24"/>
        </w:rPr>
        <w:t xml:space="preserve"> </w:t>
      </w:r>
      <w:r w:rsidRPr="00AE1663">
        <w:rPr>
          <w:rFonts w:ascii="Times New Roman" w:hAnsi="Times New Roman" w:cs="Times New Roman"/>
          <w:sz w:val="24"/>
          <w:szCs w:val="24"/>
        </w:rPr>
        <w:t xml:space="preserve">In </w:t>
      </w:r>
      <w:r w:rsidRPr="00AE1663">
        <w:rPr>
          <w:rFonts w:ascii="Times New Roman" w:hAnsi="Times New Roman" w:cs="Times New Roman"/>
          <w:i/>
          <w:sz w:val="24"/>
          <w:szCs w:val="24"/>
        </w:rPr>
        <w:t>Van Kuck v. Germany</w:t>
      </w:r>
      <w:r w:rsidRPr="00AE1663">
        <w:rPr>
          <w:rFonts w:ascii="Times New Roman" w:hAnsi="Times New Roman" w:cs="Times New Roman"/>
          <w:sz w:val="24"/>
          <w:szCs w:val="24"/>
        </w:rPr>
        <w:t>, the ECtHR found a right-to-privacy violation when a domestic court required a transsexual woman to prove necessity for her hormone replacement therapy.</w:t>
      </w:r>
      <w:r w:rsidRPr="00A7760B">
        <w:rPr>
          <w:rStyle w:val="FootnoteReference"/>
          <w:rFonts w:ascii="Times New Roman" w:hAnsi="Times New Roman" w:cs="Times New Roman"/>
          <w:sz w:val="20"/>
          <w:szCs w:val="24"/>
        </w:rPr>
        <w:footnoteReference w:id="130"/>
      </w:r>
      <w:r w:rsidRPr="00AE1663">
        <w:rPr>
          <w:rFonts w:ascii="Times New Roman" w:hAnsi="Times New Roman" w:cs="Times New Roman"/>
          <w:sz w:val="24"/>
          <w:szCs w:val="24"/>
        </w:rPr>
        <w:t xml:space="preserve"> In </w:t>
      </w:r>
      <w:r w:rsidRPr="00AE1663">
        <w:rPr>
          <w:rFonts w:ascii="Times New Roman" w:hAnsi="Times New Roman" w:cs="Times New Roman"/>
          <w:i/>
          <w:sz w:val="24"/>
          <w:szCs w:val="24"/>
        </w:rPr>
        <w:t>Van Kuck</w:t>
      </w:r>
      <w:r w:rsidRPr="00AE1663">
        <w:rPr>
          <w:rFonts w:ascii="Times New Roman" w:hAnsi="Times New Roman" w:cs="Times New Roman"/>
          <w:sz w:val="24"/>
          <w:szCs w:val="24"/>
        </w:rPr>
        <w:t xml:space="preserve">, the issue touched upon the intimate matter of the applicant’s freedom to define herself as a female. In evaluating the applicant’s claims for reimbursement of gender re-assignment surgery, the domestic court violated </w:t>
      </w:r>
      <w:r w:rsidR="00E206E7" w:rsidRPr="00AE1663">
        <w:rPr>
          <w:rFonts w:ascii="Times New Roman" w:hAnsi="Times New Roman" w:cs="Times New Roman"/>
          <w:sz w:val="24"/>
          <w:szCs w:val="24"/>
        </w:rPr>
        <w:t>the right to privacy</w:t>
      </w:r>
      <w:r w:rsidRPr="00AE1663">
        <w:rPr>
          <w:rFonts w:ascii="Times New Roman" w:hAnsi="Times New Roman" w:cs="Times New Roman"/>
          <w:sz w:val="24"/>
          <w:szCs w:val="24"/>
        </w:rPr>
        <w:t xml:space="preserve"> when it failed to obtain supplementary medical information before substituting its own views for questioning the necessity of the re-assignment surgery.</w:t>
      </w:r>
      <w:r w:rsidRPr="00A7760B">
        <w:rPr>
          <w:rStyle w:val="FootnoteReference"/>
          <w:rFonts w:ascii="Times New Roman" w:hAnsi="Times New Roman" w:cs="Times New Roman"/>
          <w:sz w:val="20"/>
          <w:szCs w:val="24"/>
        </w:rPr>
        <w:footnoteReference w:id="131"/>
      </w:r>
    </w:p>
    <w:p w:rsidR="00006D65" w:rsidRPr="00AE1663" w:rsidRDefault="00006D65" w:rsidP="00006D65">
      <w:pPr>
        <w:pStyle w:val="ListParagraph"/>
        <w:autoSpaceDE w:val="0"/>
        <w:autoSpaceDN w:val="0"/>
        <w:adjustRightInd w:val="0"/>
        <w:spacing w:after="0" w:line="480" w:lineRule="auto"/>
        <w:ind w:left="0"/>
        <w:rPr>
          <w:rFonts w:ascii="Times New Roman" w:hAnsi="Times New Roman" w:cs="Times New Roman"/>
          <w:sz w:val="24"/>
          <w:szCs w:val="24"/>
        </w:rPr>
      </w:pPr>
      <w:r w:rsidRPr="00AE1663">
        <w:rPr>
          <w:rFonts w:ascii="Times New Roman" w:hAnsi="Times New Roman" w:cs="Times New Roman"/>
          <w:sz w:val="24"/>
          <w:szCs w:val="24"/>
        </w:rPr>
        <w:tab/>
        <w:t>Unlike the irrelevant inquisition into the victim’s sexual orientation in</w:t>
      </w:r>
      <w:r w:rsidR="00CD68F5" w:rsidRPr="00AE1663">
        <w:rPr>
          <w:rFonts w:ascii="Times New Roman" w:hAnsi="Times New Roman" w:cs="Times New Roman"/>
          <w:sz w:val="24"/>
          <w:szCs w:val="24"/>
        </w:rPr>
        <w:t xml:space="preserve"> </w:t>
      </w:r>
      <w:r w:rsidR="00CD68F5" w:rsidRPr="00AE1663">
        <w:rPr>
          <w:rFonts w:ascii="Times New Roman" w:hAnsi="Times New Roman" w:cs="Times New Roman"/>
          <w:i/>
          <w:sz w:val="24"/>
          <w:szCs w:val="24"/>
        </w:rPr>
        <w:t>Atala</w:t>
      </w:r>
      <w:r w:rsidRPr="00AE1663">
        <w:rPr>
          <w:rFonts w:ascii="Times New Roman" w:hAnsi="Times New Roman" w:cs="Times New Roman"/>
          <w:sz w:val="24"/>
          <w:szCs w:val="24"/>
        </w:rPr>
        <w:t>, the judicial authorit</w:t>
      </w:r>
      <w:r w:rsidR="00CD68F5" w:rsidRPr="00AE1663">
        <w:rPr>
          <w:rFonts w:ascii="Times New Roman" w:hAnsi="Times New Roman" w:cs="Times New Roman"/>
          <w:sz w:val="24"/>
          <w:szCs w:val="24"/>
        </w:rPr>
        <w:t>y here took account of Petitioner</w:t>
      </w:r>
      <w:r w:rsidRPr="00AE1663">
        <w:rPr>
          <w:rFonts w:ascii="Times New Roman" w:hAnsi="Times New Roman" w:cs="Times New Roman"/>
          <w:sz w:val="24"/>
          <w:szCs w:val="24"/>
        </w:rPr>
        <w:t>s</w:t>
      </w:r>
      <w:r w:rsidR="00CD68F5" w:rsidRPr="00AE1663">
        <w:rPr>
          <w:rFonts w:ascii="Times New Roman" w:hAnsi="Times New Roman" w:cs="Times New Roman"/>
          <w:sz w:val="24"/>
          <w:szCs w:val="24"/>
        </w:rPr>
        <w:t>’</w:t>
      </w:r>
      <w:r w:rsidRPr="00AE1663">
        <w:rPr>
          <w:rFonts w:ascii="Times New Roman" w:hAnsi="Times New Roman" w:cs="Times New Roman"/>
          <w:sz w:val="24"/>
          <w:szCs w:val="24"/>
        </w:rPr>
        <w:t xml:space="preserve"> sexual orientation for the prudent purpose of interpreting the plain text of the applicable law. When </w:t>
      </w:r>
      <w:r w:rsidR="00CD68F5" w:rsidRPr="00AE1663">
        <w:rPr>
          <w:rFonts w:ascii="Times New Roman" w:hAnsi="Times New Roman" w:cs="Times New Roman"/>
          <w:sz w:val="24"/>
          <w:szCs w:val="24"/>
        </w:rPr>
        <w:t xml:space="preserve">petitioners </w:t>
      </w:r>
      <w:r w:rsidRPr="00AE1663">
        <w:rPr>
          <w:rFonts w:ascii="Times New Roman" w:hAnsi="Times New Roman" w:cs="Times New Roman"/>
          <w:sz w:val="24"/>
          <w:szCs w:val="24"/>
        </w:rPr>
        <w:t xml:space="preserve">submitted </w:t>
      </w:r>
      <w:r w:rsidR="00CD68F5" w:rsidRPr="00AE1663">
        <w:rPr>
          <w:rFonts w:ascii="Times New Roman" w:hAnsi="Times New Roman" w:cs="Times New Roman"/>
          <w:sz w:val="24"/>
          <w:szCs w:val="24"/>
        </w:rPr>
        <w:t>t</w:t>
      </w:r>
      <w:r w:rsidRPr="00AE1663">
        <w:rPr>
          <w:rFonts w:ascii="Times New Roman" w:hAnsi="Times New Roman" w:cs="Times New Roman"/>
          <w:sz w:val="24"/>
          <w:szCs w:val="24"/>
        </w:rPr>
        <w:t>he</w:t>
      </w:r>
      <w:r w:rsidR="00CD68F5" w:rsidRPr="00AE1663">
        <w:rPr>
          <w:rFonts w:ascii="Times New Roman" w:hAnsi="Times New Roman" w:cs="Times New Roman"/>
          <w:sz w:val="24"/>
          <w:szCs w:val="24"/>
        </w:rPr>
        <w:t>i</w:t>
      </w:r>
      <w:r w:rsidRPr="00AE1663">
        <w:rPr>
          <w:rFonts w:ascii="Times New Roman" w:hAnsi="Times New Roman" w:cs="Times New Roman"/>
          <w:sz w:val="24"/>
          <w:szCs w:val="24"/>
        </w:rPr>
        <w:t>r request for marriage to the National Secretariat of the Family, the ad</w:t>
      </w:r>
      <w:r w:rsidR="002F68CA" w:rsidRPr="00AE1663">
        <w:rPr>
          <w:rFonts w:ascii="Times New Roman" w:hAnsi="Times New Roman" w:cs="Times New Roman"/>
          <w:sz w:val="24"/>
          <w:szCs w:val="24"/>
        </w:rPr>
        <w:t>ministrative body considered their</w:t>
      </w:r>
      <w:r w:rsidRPr="00AE1663">
        <w:rPr>
          <w:rFonts w:ascii="Times New Roman" w:hAnsi="Times New Roman" w:cs="Times New Roman"/>
          <w:sz w:val="24"/>
          <w:szCs w:val="24"/>
        </w:rPr>
        <w:t xml:space="preserve"> </w:t>
      </w:r>
      <w:r w:rsidRPr="00AE1663">
        <w:rPr>
          <w:rFonts w:ascii="Times New Roman" w:hAnsi="Times New Roman" w:cs="Times New Roman"/>
          <w:sz w:val="24"/>
          <w:szCs w:val="24"/>
        </w:rPr>
        <w:lastRenderedPageBreak/>
        <w:t>sexual orientation vis-a-vis the nature of her request, and its direct conflict with Article 396 of Elizabetia’s Constitution.</w:t>
      </w:r>
      <w:r w:rsidRPr="00A7760B">
        <w:rPr>
          <w:rStyle w:val="FootnoteReference"/>
          <w:rFonts w:ascii="Times New Roman" w:hAnsi="Times New Roman" w:cs="Times New Roman"/>
          <w:sz w:val="20"/>
          <w:szCs w:val="24"/>
        </w:rPr>
        <w:footnoteReference w:id="132"/>
      </w:r>
      <w:r w:rsidR="0071238D" w:rsidRPr="00AE1663">
        <w:rPr>
          <w:rFonts w:ascii="Times New Roman" w:hAnsi="Times New Roman" w:cs="Times New Roman"/>
          <w:sz w:val="24"/>
          <w:szCs w:val="24"/>
        </w:rPr>
        <w:t xml:space="preserve"> </w:t>
      </w:r>
      <w:r w:rsidRPr="00AE1663">
        <w:rPr>
          <w:rFonts w:ascii="Times New Roman" w:hAnsi="Times New Roman" w:cs="Times New Roman"/>
          <w:sz w:val="24"/>
          <w:szCs w:val="24"/>
        </w:rPr>
        <w:t>There is no evidence that Eli</w:t>
      </w:r>
      <w:r w:rsidR="002F68CA" w:rsidRPr="00AE1663">
        <w:rPr>
          <w:rFonts w:ascii="Times New Roman" w:hAnsi="Times New Roman" w:cs="Times New Roman"/>
          <w:sz w:val="24"/>
          <w:szCs w:val="24"/>
        </w:rPr>
        <w:t>zabetia’s courts considered</w:t>
      </w:r>
      <w:r w:rsidR="00CD68F5" w:rsidRPr="00AE1663">
        <w:rPr>
          <w:rFonts w:ascii="Times New Roman" w:hAnsi="Times New Roman" w:cs="Times New Roman"/>
          <w:sz w:val="24"/>
          <w:szCs w:val="24"/>
        </w:rPr>
        <w:t xml:space="preserve"> details of Petitioner</w:t>
      </w:r>
      <w:r w:rsidRPr="00AE1663">
        <w:rPr>
          <w:rFonts w:ascii="Times New Roman" w:hAnsi="Times New Roman" w:cs="Times New Roman"/>
          <w:sz w:val="24"/>
          <w:szCs w:val="24"/>
        </w:rPr>
        <w:t>s</w:t>
      </w:r>
      <w:r w:rsidR="00CD68F5" w:rsidRPr="00AE1663">
        <w:rPr>
          <w:rFonts w:ascii="Times New Roman" w:hAnsi="Times New Roman" w:cs="Times New Roman"/>
          <w:sz w:val="24"/>
          <w:szCs w:val="24"/>
        </w:rPr>
        <w:t>’ relationship</w:t>
      </w:r>
      <w:r w:rsidR="002F68CA" w:rsidRPr="00AE1663">
        <w:rPr>
          <w:rFonts w:ascii="Times New Roman" w:hAnsi="Times New Roman" w:cs="Times New Roman"/>
          <w:sz w:val="24"/>
          <w:szCs w:val="24"/>
        </w:rPr>
        <w:t xml:space="preserve"> for any purpose other than </w:t>
      </w:r>
      <w:r w:rsidRPr="00AE1663">
        <w:rPr>
          <w:rFonts w:ascii="Times New Roman" w:hAnsi="Times New Roman" w:cs="Times New Roman"/>
          <w:sz w:val="24"/>
          <w:szCs w:val="24"/>
        </w:rPr>
        <w:t>a logical and simple interpretation of its Constitution.</w:t>
      </w:r>
    </w:p>
    <w:p w:rsidR="00006D65" w:rsidRPr="00AE1663" w:rsidRDefault="00006D65" w:rsidP="00006D65">
      <w:pPr>
        <w:pStyle w:val="ListParagraph"/>
        <w:autoSpaceDE w:val="0"/>
        <w:autoSpaceDN w:val="0"/>
        <w:adjustRightInd w:val="0"/>
        <w:spacing w:after="0" w:line="480" w:lineRule="auto"/>
        <w:ind w:left="0"/>
        <w:rPr>
          <w:rFonts w:ascii="Times New Roman" w:hAnsi="Times New Roman" w:cs="Times New Roman"/>
          <w:sz w:val="24"/>
          <w:szCs w:val="24"/>
        </w:rPr>
      </w:pPr>
      <w:r w:rsidRPr="00AE1663">
        <w:rPr>
          <w:rFonts w:ascii="Times New Roman" w:hAnsi="Times New Roman" w:cs="Times New Roman"/>
          <w:sz w:val="24"/>
          <w:szCs w:val="24"/>
        </w:rPr>
        <w:tab/>
        <w:t>Elizabetia met its obligation to respect the identity of the individual, when it followed the Commission’s report and instructions in March 2005 in regards to registering Serafina with the appropriate gender in its vital records.</w:t>
      </w:r>
      <w:r w:rsidR="0071238D" w:rsidRPr="00AE1663">
        <w:rPr>
          <w:rFonts w:ascii="Times New Roman" w:hAnsi="Times New Roman" w:cs="Times New Roman"/>
          <w:sz w:val="24"/>
          <w:szCs w:val="24"/>
        </w:rPr>
        <w:t xml:space="preserve"> </w:t>
      </w:r>
      <w:r w:rsidRPr="00AE1663">
        <w:rPr>
          <w:rFonts w:ascii="Times New Roman" w:hAnsi="Times New Roman" w:cs="Times New Roman"/>
          <w:sz w:val="24"/>
          <w:szCs w:val="24"/>
        </w:rPr>
        <w:t>Then-president, Aldana de Zambrano issued the Gender Identity Act, allowing Serafina to obtain recognition of her gender identity.</w:t>
      </w:r>
      <w:r w:rsidRPr="00A7760B">
        <w:rPr>
          <w:rStyle w:val="FootnoteReference"/>
          <w:rFonts w:ascii="Times New Roman" w:hAnsi="Times New Roman" w:cs="Times New Roman"/>
          <w:sz w:val="20"/>
          <w:szCs w:val="24"/>
        </w:rPr>
        <w:footnoteReference w:id="133"/>
      </w:r>
      <w:r w:rsidR="0071238D" w:rsidRPr="00AE1663">
        <w:rPr>
          <w:rFonts w:ascii="Times New Roman" w:hAnsi="Times New Roman" w:cs="Times New Roman"/>
          <w:sz w:val="24"/>
          <w:szCs w:val="24"/>
        </w:rPr>
        <w:t xml:space="preserve"> </w:t>
      </w:r>
      <w:r w:rsidRPr="00AE1663">
        <w:rPr>
          <w:rFonts w:ascii="Times New Roman" w:hAnsi="Times New Roman" w:cs="Times New Roman"/>
          <w:sz w:val="24"/>
          <w:szCs w:val="24"/>
        </w:rPr>
        <w:t xml:space="preserve">Elizabetia properly balanced the </w:t>
      </w:r>
      <w:r w:rsidR="00BA679C" w:rsidRPr="00AE1663">
        <w:rPr>
          <w:rFonts w:ascii="Times New Roman" w:hAnsi="Times New Roman" w:cs="Times New Roman"/>
          <w:sz w:val="24"/>
          <w:szCs w:val="24"/>
        </w:rPr>
        <w:t>individual interests of Petitioners</w:t>
      </w:r>
      <w:r w:rsidRPr="00AE1663">
        <w:rPr>
          <w:rFonts w:ascii="Times New Roman" w:hAnsi="Times New Roman" w:cs="Times New Roman"/>
          <w:sz w:val="24"/>
          <w:szCs w:val="24"/>
        </w:rPr>
        <w:t xml:space="preserve"> with the general interest of the public in determining that Elizabetia’s law defining marriage controls, while still providing same-sex domestic partnerships with the same legal effects as marriage.</w:t>
      </w:r>
      <w:r w:rsidRPr="00A7760B">
        <w:rPr>
          <w:rStyle w:val="FootnoteReference"/>
          <w:rFonts w:ascii="Times New Roman" w:hAnsi="Times New Roman" w:cs="Times New Roman"/>
          <w:sz w:val="20"/>
          <w:szCs w:val="24"/>
        </w:rPr>
        <w:footnoteReference w:id="134"/>
      </w:r>
      <w:r w:rsidR="0071238D" w:rsidRPr="00AE1663">
        <w:rPr>
          <w:rFonts w:ascii="Times New Roman" w:hAnsi="Times New Roman" w:cs="Times New Roman"/>
          <w:sz w:val="24"/>
          <w:szCs w:val="24"/>
        </w:rPr>
        <w:t xml:space="preserve"> </w:t>
      </w:r>
    </w:p>
    <w:p w:rsidR="001643E9" w:rsidRPr="00AE1663" w:rsidRDefault="001643E9" w:rsidP="00985610">
      <w:pPr>
        <w:pStyle w:val="Heading2"/>
        <w:numPr>
          <w:ilvl w:val="0"/>
          <w:numId w:val="7"/>
        </w:numPr>
        <w:spacing w:before="0" w:line="480" w:lineRule="auto"/>
        <w:rPr>
          <w:rFonts w:ascii="Times New Roman" w:hAnsi="Times New Roman" w:cs="Times New Roman"/>
          <w:color w:val="auto"/>
          <w:sz w:val="24"/>
          <w:szCs w:val="24"/>
        </w:rPr>
      </w:pPr>
      <w:bookmarkStart w:id="12" w:name="_Toc352003545"/>
      <w:r w:rsidRPr="00AE1663">
        <w:rPr>
          <w:rFonts w:ascii="Times New Roman" w:hAnsi="Times New Roman" w:cs="Times New Roman"/>
          <w:color w:val="auto"/>
          <w:sz w:val="24"/>
          <w:szCs w:val="24"/>
        </w:rPr>
        <w:t>ELIZABETIA PROVIDED THE RIGHT TO JUDICIAL PROTECTION</w:t>
      </w:r>
      <w:bookmarkEnd w:id="12"/>
      <w:r w:rsidRPr="00AE1663">
        <w:rPr>
          <w:rFonts w:ascii="Times New Roman" w:hAnsi="Times New Roman" w:cs="Times New Roman"/>
          <w:color w:val="auto"/>
          <w:sz w:val="24"/>
          <w:szCs w:val="24"/>
        </w:rPr>
        <w:t xml:space="preserve"> </w:t>
      </w:r>
    </w:p>
    <w:p w:rsidR="00006D65" w:rsidRPr="00AE1663" w:rsidRDefault="002F68CA" w:rsidP="00985610">
      <w:pPr>
        <w:pStyle w:val="ListParagraph"/>
        <w:autoSpaceDE w:val="0"/>
        <w:autoSpaceDN w:val="0"/>
        <w:adjustRightInd w:val="0"/>
        <w:spacing w:after="0" w:line="480" w:lineRule="auto"/>
        <w:ind w:left="0" w:firstLine="720"/>
        <w:rPr>
          <w:rFonts w:ascii="Times New Roman" w:hAnsi="Times New Roman" w:cs="Times New Roman"/>
          <w:sz w:val="24"/>
          <w:szCs w:val="24"/>
        </w:rPr>
      </w:pPr>
      <w:r w:rsidRPr="00AE1663">
        <w:rPr>
          <w:rFonts w:ascii="Times New Roman" w:hAnsi="Times New Roman" w:cs="Times New Roman"/>
          <w:sz w:val="24"/>
          <w:szCs w:val="24"/>
        </w:rPr>
        <w:t>Elizabetia ensured Petitioner</w:t>
      </w:r>
      <w:r w:rsidR="00006D65" w:rsidRPr="00AE1663">
        <w:rPr>
          <w:rFonts w:ascii="Times New Roman" w:hAnsi="Times New Roman" w:cs="Times New Roman"/>
          <w:sz w:val="24"/>
          <w:szCs w:val="24"/>
        </w:rPr>
        <w:t>s</w:t>
      </w:r>
      <w:r w:rsidRPr="00AE1663">
        <w:rPr>
          <w:rFonts w:ascii="Times New Roman" w:hAnsi="Times New Roman" w:cs="Times New Roman"/>
          <w:sz w:val="24"/>
          <w:szCs w:val="24"/>
        </w:rPr>
        <w:t>’</w:t>
      </w:r>
      <w:r w:rsidR="00006D65" w:rsidRPr="00AE1663">
        <w:rPr>
          <w:rFonts w:ascii="Times New Roman" w:hAnsi="Times New Roman" w:cs="Times New Roman"/>
          <w:sz w:val="24"/>
          <w:szCs w:val="24"/>
        </w:rPr>
        <w:t xml:space="preserve"> right to judicial protection by providing effective recourse at all stages of </w:t>
      </w:r>
      <w:r w:rsidRPr="00AE1663">
        <w:rPr>
          <w:rFonts w:ascii="Times New Roman" w:hAnsi="Times New Roman" w:cs="Times New Roman"/>
          <w:sz w:val="24"/>
          <w:szCs w:val="24"/>
        </w:rPr>
        <w:t>t</w:t>
      </w:r>
      <w:r w:rsidR="00006D65" w:rsidRPr="00AE1663">
        <w:rPr>
          <w:rFonts w:ascii="Times New Roman" w:hAnsi="Times New Roman" w:cs="Times New Roman"/>
          <w:sz w:val="24"/>
          <w:szCs w:val="24"/>
        </w:rPr>
        <w:t>he</w:t>
      </w:r>
      <w:r w:rsidRPr="00AE1663">
        <w:rPr>
          <w:rFonts w:ascii="Times New Roman" w:hAnsi="Times New Roman" w:cs="Times New Roman"/>
          <w:sz w:val="24"/>
          <w:szCs w:val="24"/>
        </w:rPr>
        <w:t>i</w:t>
      </w:r>
      <w:r w:rsidR="00006D65" w:rsidRPr="00AE1663">
        <w:rPr>
          <w:rFonts w:ascii="Times New Roman" w:hAnsi="Times New Roman" w:cs="Times New Roman"/>
          <w:sz w:val="24"/>
          <w:szCs w:val="24"/>
        </w:rPr>
        <w:t>r petitions. The right to judicial recourse under Article 25 of the ACHR does not obligate the State to award relief, but requires the State to ensure: (1) a competent</w:t>
      </w:r>
      <w:r w:rsidR="001C36E8" w:rsidRPr="00AE1663">
        <w:rPr>
          <w:rFonts w:ascii="Times New Roman" w:hAnsi="Times New Roman" w:cs="Times New Roman"/>
          <w:sz w:val="24"/>
          <w:szCs w:val="24"/>
        </w:rPr>
        <w:t>, impartial</w:t>
      </w:r>
      <w:r w:rsidR="00006D65" w:rsidRPr="00AE1663">
        <w:rPr>
          <w:rFonts w:ascii="Times New Roman" w:hAnsi="Times New Roman" w:cs="Times New Roman"/>
          <w:sz w:val="24"/>
          <w:szCs w:val="24"/>
        </w:rPr>
        <w:t xml:space="preserve"> authority determines the claimant’s rights, (2) the authority provides the possibility of judicial remedy, and (3) that </w:t>
      </w:r>
      <w:r w:rsidR="00E206E7" w:rsidRPr="00AE1663">
        <w:rPr>
          <w:rFonts w:ascii="Times New Roman" w:hAnsi="Times New Roman" w:cs="Times New Roman"/>
          <w:sz w:val="24"/>
          <w:szCs w:val="24"/>
        </w:rPr>
        <w:t>a court enforce</w:t>
      </w:r>
      <w:r w:rsidR="00006D65" w:rsidRPr="00AE1663">
        <w:rPr>
          <w:rFonts w:ascii="Times New Roman" w:hAnsi="Times New Roman" w:cs="Times New Roman"/>
          <w:sz w:val="24"/>
          <w:szCs w:val="24"/>
        </w:rPr>
        <w:t xml:space="preserve"> a remedy when granted.</w:t>
      </w:r>
      <w:r w:rsidR="00006D65" w:rsidRPr="00A7760B">
        <w:rPr>
          <w:rStyle w:val="FootnoteReference"/>
          <w:rFonts w:ascii="Times New Roman" w:hAnsi="Times New Roman" w:cs="Times New Roman"/>
          <w:sz w:val="20"/>
          <w:szCs w:val="24"/>
        </w:rPr>
        <w:footnoteReference w:id="135"/>
      </w:r>
      <w:r w:rsidR="0071238D" w:rsidRPr="00AE1663">
        <w:rPr>
          <w:rFonts w:ascii="Times New Roman" w:hAnsi="Times New Roman" w:cs="Times New Roman"/>
          <w:sz w:val="24"/>
          <w:szCs w:val="24"/>
        </w:rPr>
        <w:t xml:space="preserve"> </w:t>
      </w:r>
      <w:r w:rsidR="00006D65" w:rsidRPr="00AE1663">
        <w:rPr>
          <w:rFonts w:ascii="Times New Roman" w:hAnsi="Times New Roman" w:cs="Times New Roman"/>
          <w:sz w:val="24"/>
          <w:szCs w:val="24"/>
        </w:rPr>
        <w:t>Judicial guarantees, or the right to have rights, are in both Articles 8 and 25 of the American Convention.</w:t>
      </w:r>
      <w:r w:rsidR="00006D65" w:rsidRPr="00A7760B">
        <w:rPr>
          <w:rStyle w:val="FootnoteReference"/>
          <w:rFonts w:ascii="Times New Roman" w:hAnsi="Times New Roman" w:cs="Times New Roman"/>
          <w:sz w:val="20"/>
          <w:szCs w:val="24"/>
        </w:rPr>
        <w:footnoteReference w:id="136"/>
      </w:r>
      <w:r w:rsidR="00006D65" w:rsidRPr="00AE1663">
        <w:rPr>
          <w:rFonts w:ascii="Times New Roman" w:hAnsi="Times New Roman" w:cs="Times New Roman"/>
          <w:b/>
          <w:sz w:val="24"/>
          <w:szCs w:val="24"/>
        </w:rPr>
        <w:t xml:space="preserve"> </w:t>
      </w:r>
    </w:p>
    <w:p w:rsidR="00286F8E" w:rsidRPr="00AE1663" w:rsidRDefault="001643E9" w:rsidP="00286F8E">
      <w:pPr>
        <w:pStyle w:val="Heading3"/>
        <w:numPr>
          <w:ilvl w:val="0"/>
          <w:numId w:val="13"/>
        </w:numPr>
        <w:spacing w:before="0" w:line="480" w:lineRule="auto"/>
        <w:ind w:left="1440" w:hanging="720"/>
        <w:rPr>
          <w:rFonts w:ascii="Times New Roman" w:hAnsi="Times New Roman" w:cs="Times New Roman"/>
          <w:color w:val="auto"/>
          <w:sz w:val="24"/>
          <w:szCs w:val="24"/>
        </w:rPr>
      </w:pPr>
      <w:bookmarkStart w:id="13" w:name="_Toc352003546"/>
      <w:r w:rsidRPr="00AE1663">
        <w:rPr>
          <w:rFonts w:ascii="Times New Roman" w:hAnsi="Times New Roman" w:cs="Times New Roman"/>
          <w:color w:val="auto"/>
          <w:sz w:val="24"/>
          <w:szCs w:val="24"/>
        </w:rPr>
        <w:lastRenderedPageBreak/>
        <w:t xml:space="preserve">A Competent Authority Reviewed </w:t>
      </w:r>
      <w:r w:rsidR="004B76FF" w:rsidRPr="00AE1663">
        <w:rPr>
          <w:rFonts w:ascii="Times New Roman" w:hAnsi="Times New Roman" w:cs="Times New Roman"/>
          <w:color w:val="auto"/>
          <w:sz w:val="24"/>
          <w:szCs w:val="24"/>
        </w:rPr>
        <w:t>The Petitioners’</w:t>
      </w:r>
      <w:r w:rsidRPr="00AE1663">
        <w:rPr>
          <w:rFonts w:ascii="Times New Roman" w:hAnsi="Times New Roman" w:cs="Times New Roman"/>
          <w:color w:val="auto"/>
          <w:sz w:val="24"/>
          <w:szCs w:val="24"/>
        </w:rPr>
        <w:t xml:space="preserve"> Rights</w:t>
      </w:r>
      <w:bookmarkEnd w:id="13"/>
    </w:p>
    <w:p w:rsidR="00006D65" w:rsidRPr="00AE1663" w:rsidRDefault="001C36E8" w:rsidP="00286F8E">
      <w:pPr>
        <w:autoSpaceDE w:val="0"/>
        <w:autoSpaceDN w:val="0"/>
        <w:adjustRightInd w:val="0"/>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Lack of</w:t>
      </w:r>
      <w:r w:rsidR="007C0F8F" w:rsidRPr="00AE1663">
        <w:rPr>
          <w:rFonts w:ascii="Times New Roman" w:hAnsi="Times New Roman" w:cs="Times New Roman"/>
          <w:sz w:val="24"/>
          <w:szCs w:val="24"/>
        </w:rPr>
        <w:t xml:space="preserve"> </w:t>
      </w:r>
      <w:r w:rsidR="00006D65" w:rsidRPr="00AE1663">
        <w:rPr>
          <w:rFonts w:ascii="Times New Roman" w:hAnsi="Times New Roman" w:cs="Times New Roman"/>
          <w:sz w:val="24"/>
          <w:szCs w:val="24"/>
        </w:rPr>
        <w:t xml:space="preserve">judicial impartiality must </w:t>
      </w:r>
      <w:r w:rsidR="00E206E7" w:rsidRPr="00AE1663">
        <w:rPr>
          <w:rFonts w:ascii="Times New Roman" w:hAnsi="Times New Roman" w:cs="Times New Roman"/>
          <w:sz w:val="24"/>
          <w:szCs w:val="24"/>
        </w:rPr>
        <w:t>cite</w:t>
      </w:r>
      <w:r w:rsidR="00006D65" w:rsidRPr="00AE1663">
        <w:rPr>
          <w:rFonts w:ascii="Times New Roman" w:hAnsi="Times New Roman" w:cs="Times New Roman"/>
          <w:sz w:val="24"/>
          <w:szCs w:val="24"/>
        </w:rPr>
        <w:t xml:space="preserve"> on specific elements that indicate a situation in which “the judges have clearly allowed themselves to be influenced by aspects or criteria outside of the legal provisions.”</w:t>
      </w:r>
      <w:r w:rsidR="00006D65" w:rsidRPr="00A7760B">
        <w:rPr>
          <w:rStyle w:val="FootnoteReference"/>
          <w:rFonts w:ascii="Times New Roman" w:hAnsi="Times New Roman" w:cs="Times New Roman"/>
          <w:sz w:val="20"/>
          <w:szCs w:val="24"/>
        </w:rPr>
        <w:footnoteReference w:id="137"/>
      </w:r>
      <w:r w:rsidR="00006D65" w:rsidRPr="00AE1663">
        <w:rPr>
          <w:rFonts w:ascii="Times New Roman" w:hAnsi="Times New Roman" w:cs="Times New Roman"/>
          <w:sz w:val="24"/>
          <w:szCs w:val="24"/>
        </w:rPr>
        <w:t xml:space="preserve"> A main objective for the separation of public powers is to guarantee independence of judges and safeguard those judges against external pressures.</w:t>
      </w:r>
      <w:r w:rsidR="00006D65" w:rsidRPr="00A7760B">
        <w:rPr>
          <w:rStyle w:val="FootnoteReference"/>
          <w:rFonts w:ascii="Times New Roman" w:hAnsi="Times New Roman" w:cs="Times New Roman"/>
          <w:sz w:val="20"/>
          <w:szCs w:val="24"/>
        </w:rPr>
        <w:footnoteReference w:id="138"/>
      </w:r>
      <w:r w:rsidR="0071238D" w:rsidRPr="00AE1663">
        <w:rPr>
          <w:rFonts w:ascii="Times New Roman" w:hAnsi="Times New Roman" w:cs="Times New Roman"/>
          <w:sz w:val="24"/>
          <w:szCs w:val="24"/>
        </w:rPr>
        <w:t xml:space="preserve"> </w:t>
      </w:r>
      <w:r w:rsidR="00E206E7" w:rsidRPr="00AE1663">
        <w:rPr>
          <w:rFonts w:ascii="Times New Roman" w:hAnsi="Times New Roman" w:cs="Times New Roman"/>
          <w:sz w:val="24"/>
          <w:szCs w:val="24"/>
        </w:rPr>
        <w:t>The IACtHR presumes impartiality</w:t>
      </w:r>
      <w:r w:rsidR="00006D65" w:rsidRPr="00AE1663">
        <w:rPr>
          <w:rFonts w:ascii="Times New Roman" w:hAnsi="Times New Roman" w:cs="Times New Roman"/>
          <w:sz w:val="24"/>
          <w:szCs w:val="24"/>
        </w:rPr>
        <w:t xml:space="preserve">, </w:t>
      </w:r>
      <w:r w:rsidR="00E206E7" w:rsidRPr="00AE1663">
        <w:rPr>
          <w:rFonts w:ascii="Times New Roman" w:hAnsi="Times New Roman" w:cs="Times New Roman"/>
          <w:sz w:val="24"/>
          <w:szCs w:val="24"/>
        </w:rPr>
        <w:t>but it</w:t>
      </w:r>
      <w:r w:rsidR="00006D65" w:rsidRPr="00AE1663">
        <w:rPr>
          <w:rFonts w:ascii="Times New Roman" w:hAnsi="Times New Roman" w:cs="Times New Roman"/>
          <w:sz w:val="24"/>
          <w:szCs w:val="24"/>
        </w:rPr>
        <w:t xml:space="preserve"> has applied an objective approach test to determine if the judge has approached the facts of the case free of all prejudice.</w:t>
      </w:r>
      <w:r w:rsidR="00006D65" w:rsidRPr="00A7760B">
        <w:rPr>
          <w:rStyle w:val="FootnoteReference"/>
          <w:rFonts w:ascii="Times New Roman" w:hAnsi="Times New Roman" w:cs="Times New Roman"/>
          <w:sz w:val="20"/>
          <w:szCs w:val="24"/>
        </w:rPr>
        <w:footnoteReference w:id="139"/>
      </w:r>
      <w:r w:rsidR="0071238D" w:rsidRPr="00AE1663">
        <w:rPr>
          <w:rFonts w:ascii="Times New Roman" w:hAnsi="Times New Roman" w:cs="Times New Roman"/>
          <w:sz w:val="24"/>
          <w:szCs w:val="24"/>
        </w:rPr>
        <w:t xml:space="preserve"> </w:t>
      </w:r>
      <w:r w:rsidR="00006D65" w:rsidRPr="00AE1663">
        <w:rPr>
          <w:rFonts w:ascii="Times New Roman" w:hAnsi="Times New Roman" w:cs="Times New Roman"/>
          <w:sz w:val="24"/>
          <w:szCs w:val="24"/>
        </w:rPr>
        <w:t>A judge must appear to act only and exclusively according to the law.</w:t>
      </w:r>
      <w:r w:rsidR="00006D65" w:rsidRPr="00A7760B">
        <w:rPr>
          <w:rStyle w:val="FootnoteReference"/>
          <w:rFonts w:ascii="Times New Roman" w:hAnsi="Times New Roman" w:cs="Times New Roman"/>
          <w:sz w:val="20"/>
          <w:szCs w:val="24"/>
        </w:rPr>
        <w:footnoteReference w:id="140"/>
      </w:r>
    </w:p>
    <w:p w:rsidR="00006D65" w:rsidRPr="00AE1663" w:rsidRDefault="00006D65" w:rsidP="00006D65">
      <w:pPr>
        <w:autoSpaceDE w:val="0"/>
        <w:autoSpaceDN w:val="0"/>
        <w:adjustRightInd w:val="0"/>
        <w:spacing w:after="0" w:line="480" w:lineRule="auto"/>
        <w:ind w:firstLine="720"/>
        <w:rPr>
          <w:rFonts w:ascii="Times New Roman" w:hAnsi="Times New Roman" w:cs="Times New Roman"/>
          <w:b/>
          <w:sz w:val="24"/>
          <w:szCs w:val="24"/>
        </w:rPr>
      </w:pPr>
      <w:r w:rsidRPr="00AE1663">
        <w:rPr>
          <w:rFonts w:ascii="Times New Roman" w:hAnsi="Times New Roman" w:cs="Times New Roman"/>
          <w:sz w:val="24"/>
          <w:szCs w:val="24"/>
        </w:rPr>
        <w:t xml:space="preserve">In </w:t>
      </w:r>
      <w:r w:rsidRPr="00AE1663">
        <w:rPr>
          <w:rFonts w:ascii="Times New Roman" w:hAnsi="Times New Roman" w:cs="Times New Roman"/>
          <w:i/>
          <w:sz w:val="24"/>
          <w:szCs w:val="24"/>
        </w:rPr>
        <w:t>Atala</w:t>
      </w:r>
      <w:r w:rsidRPr="00AE1663">
        <w:rPr>
          <w:rFonts w:ascii="Times New Roman" w:hAnsi="Times New Roman" w:cs="Times New Roman"/>
          <w:sz w:val="24"/>
          <w:szCs w:val="24"/>
        </w:rPr>
        <w:t>, an interpretation of the provisions of the Chilean Civil Code in a manner contrary to the ACHR in matters concerning a homosexual individual was not enough, in itself, for the IACtHR to declare a lack of objective impartiality.</w:t>
      </w:r>
      <w:r w:rsidRPr="00A7760B">
        <w:rPr>
          <w:rStyle w:val="FootnoteReference"/>
          <w:rFonts w:ascii="Times New Roman" w:hAnsi="Times New Roman" w:cs="Times New Roman"/>
          <w:sz w:val="20"/>
          <w:szCs w:val="24"/>
        </w:rPr>
        <w:footnoteReference w:id="141"/>
      </w:r>
      <w:r w:rsidRPr="00AE1663">
        <w:rPr>
          <w:rFonts w:ascii="Times New Roman" w:hAnsi="Times New Roman" w:cs="Times New Roman"/>
          <w:sz w:val="24"/>
          <w:szCs w:val="24"/>
        </w:rPr>
        <w:t xml:space="preserve"> A court’s impartiality implies that its members have no direct interest in a pre-established viewpoint, or a preference for one of the parties, and that they are not involved in the controversy.</w:t>
      </w:r>
      <w:r w:rsidRPr="00A7760B">
        <w:rPr>
          <w:rStyle w:val="FootnoteReference"/>
          <w:rFonts w:ascii="Times New Roman" w:hAnsi="Times New Roman" w:cs="Times New Roman"/>
          <w:sz w:val="20"/>
          <w:szCs w:val="24"/>
        </w:rPr>
        <w:footnoteReference w:id="142"/>
      </w:r>
      <w:r w:rsidRPr="00AE1663">
        <w:rPr>
          <w:rFonts w:ascii="Times New Roman" w:hAnsi="Times New Roman" w:cs="Times New Roman"/>
          <w:sz w:val="24"/>
          <w:szCs w:val="24"/>
        </w:rPr>
        <w:t xml:space="preserve"> In the </w:t>
      </w:r>
      <w:r w:rsidRPr="00AE1663">
        <w:rPr>
          <w:rFonts w:ascii="Times New Roman" w:hAnsi="Times New Roman" w:cs="Times New Roman"/>
          <w:i/>
          <w:sz w:val="24"/>
          <w:szCs w:val="24"/>
        </w:rPr>
        <w:t>Atala</w:t>
      </w:r>
      <w:r w:rsidR="00BA679C" w:rsidRPr="00AE1663">
        <w:rPr>
          <w:rFonts w:ascii="Times New Roman" w:hAnsi="Times New Roman" w:cs="Times New Roman"/>
          <w:sz w:val="24"/>
          <w:szCs w:val="24"/>
        </w:rPr>
        <w:t>, the</w:t>
      </w:r>
      <w:r w:rsidRPr="00AE1663">
        <w:rPr>
          <w:rFonts w:ascii="Times New Roman" w:hAnsi="Times New Roman" w:cs="Times New Roman"/>
          <w:sz w:val="24"/>
          <w:szCs w:val="24"/>
        </w:rPr>
        <w:t xml:space="preserve"> Chilean legal doctrine reserved a remedy for serious acts of abuses by a judge allowing a higher domestic court to revoke a decision for an arbitrary interpretation of law but not for errors of interpretation.</w:t>
      </w:r>
      <w:r w:rsidRPr="00A7760B">
        <w:rPr>
          <w:rStyle w:val="FootnoteReference"/>
          <w:rFonts w:ascii="Times New Roman" w:hAnsi="Times New Roman" w:cs="Times New Roman"/>
          <w:sz w:val="20"/>
          <w:szCs w:val="24"/>
        </w:rPr>
        <w:footnoteReference w:id="143"/>
      </w:r>
      <w:r w:rsidRPr="00AE1663">
        <w:rPr>
          <w:rFonts w:ascii="Times New Roman" w:hAnsi="Times New Roman" w:cs="Times New Roman"/>
          <w:sz w:val="24"/>
          <w:szCs w:val="24"/>
        </w:rPr>
        <w:t xml:space="preserve"> No evidence of external pressure, or lack of impartiality, existed for the IACtHR to find that </w:t>
      </w:r>
      <w:r w:rsidR="00E206E7" w:rsidRPr="00AE1663">
        <w:rPr>
          <w:rFonts w:ascii="Times New Roman" w:hAnsi="Times New Roman" w:cs="Times New Roman"/>
          <w:sz w:val="24"/>
          <w:szCs w:val="24"/>
        </w:rPr>
        <w:t xml:space="preserve">the higher court judges ignored their duties of </w:t>
      </w:r>
      <w:r w:rsidRPr="00AE1663">
        <w:rPr>
          <w:rFonts w:ascii="Times New Roman" w:hAnsi="Times New Roman" w:cs="Times New Roman"/>
          <w:sz w:val="24"/>
          <w:szCs w:val="24"/>
        </w:rPr>
        <w:t>judicial independence.</w:t>
      </w:r>
      <w:r w:rsidRPr="00A7760B">
        <w:rPr>
          <w:rStyle w:val="FootnoteReference"/>
          <w:rFonts w:ascii="Times New Roman" w:hAnsi="Times New Roman" w:cs="Times New Roman"/>
          <w:sz w:val="20"/>
          <w:szCs w:val="24"/>
        </w:rPr>
        <w:footnoteReference w:id="144"/>
      </w:r>
      <w:r w:rsidR="0071238D" w:rsidRPr="00AE1663">
        <w:rPr>
          <w:rFonts w:ascii="Times New Roman" w:hAnsi="Times New Roman" w:cs="Times New Roman"/>
          <w:sz w:val="24"/>
          <w:szCs w:val="24"/>
        </w:rPr>
        <w:t xml:space="preserve"> </w:t>
      </w:r>
    </w:p>
    <w:p w:rsidR="00006D65" w:rsidRPr="00AE1663" w:rsidRDefault="00006D65" w:rsidP="00006D65">
      <w:pPr>
        <w:spacing w:line="480" w:lineRule="auto"/>
        <w:ind w:firstLine="720"/>
        <w:rPr>
          <w:rFonts w:ascii="Times New Roman" w:hAnsi="Times New Roman" w:cs="Times New Roman"/>
          <w:i/>
          <w:sz w:val="24"/>
          <w:szCs w:val="24"/>
        </w:rPr>
      </w:pPr>
      <w:r w:rsidRPr="00AE1663">
        <w:rPr>
          <w:rFonts w:ascii="Times New Roman" w:hAnsi="Times New Roman" w:cs="Times New Roman"/>
          <w:sz w:val="24"/>
          <w:szCs w:val="24"/>
        </w:rPr>
        <w:t xml:space="preserve">The purpose of Elizabetia’s constitutional remedy through Family Court No.3 is not to correct </w:t>
      </w:r>
      <w:r w:rsidR="00BA679C" w:rsidRPr="00AE1663">
        <w:rPr>
          <w:rFonts w:ascii="Times New Roman" w:hAnsi="Times New Roman" w:cs="Times New Roman"/>
          <w:sz w:val="24"/>
          <w:szCs w:val="24"/>
        </w:rPr>
        <w:t xml:space="preserve">simple errors of interpretation, but </w:t>
      </w:r>
      <w:r w:rsidRPr="00AE1663">
        <w:rPr>
          <w:rFonts w:ascii="Times New Roman" w:hAnsi="Times New Roman" w:cs="Times New Roman"/>
          <w:sz w:val="24"/>
          <w:szCs w:val="24"/>
        </w:rPr>
        <w:t xml:space="preserve">is only proper to challenge cases of “manifest </w:t>
      </w:r>
      <w:r w:rsidRPr="00AE1663">
        <w:rPr>
          <w:rFonts w:ascii="Times New Roman" w:hAnsi="Times New Roman" w:cs="Times New Roman"/>
          <w:sz w:val="24"/>
          <w:szCs w:val="24"/>
        </w:rPr>
        <w:lastRenderedPageBreak/>
        <w:t>arbitrariness.”</w:t>
      </w:r>
      <w:r w:rsidRPr="00A7760B">
        <w:rPr>
          <w:rStyle w:val="FootnoteReference"/>
          <w:rFonts w:ascii="Times New Roman" w:hAnsi="Times New Roman" w:cs="Times New Roman"/>
          <w:sz w:val="20"/>
          <w:szCs w:val="24"/>
        </w:rPr>
        <w:footnoteReference w:id="145"/>
      </w:r>
      <w:r w:rsidRPr="00AE1663">
        <w:rPr>
          <w:rFonts w:ascii="Times New Roman" w:hAnsi="Times New Roman" w:cs="Times New Roman"/>
          <w:sz w:val="24"/>
          <w:szCs w:val="24"/>
        </w:rPr>
        <w:t xml:space="preserve"> There is no evidence to infer external pressures, or bias, existed among t</w:t>
      </w:r>
      <w:r w:rsidR="007C0F8F" w:rsidRPr="00AE1663">
        <w:rPr>
          <w:rFonts w:ascii="Times New Roman" w:hAnsi="Times New Roman" w:cs="Times New Roman"/>
          <w:sz w:val="24"/>
          <w:szCs w:val="24"/>
        </w:rPr>
        <w:t>he judges who reviewed Petitioner</w:t>
      </w:r>
      <w:r w:rsidRPr="00AE1663">
        <w:rPr>
          <w:rFonts w:ascii="Times New Roman" w:hAnsi="Times New Roman" w:cs="Times New Roman"/>
          <w:sz w:val="24"/>
          <w:szCs w:val="24"/>
        </w:rPr>
        <w:t>s</w:t>
      </w:r>
      <w:r w:rsidR="007C0F8F" w:rsidRPr="00AE1663">
        <w:rPr>
          <w:rFonts w:ascii="Times New Roman" w:hAnsi="Times New Roman" w:cs="Times New Roman"/>
          <w:sz w:val="24"/>
          <w:szCs w:val="24"/>
        </w:rPr>
        <w:t>’</w:t>
      </w:r>
      <w:r w:rsidRPr="00AE1663">
        <w:rPr>
          <w:rFonts w:ascii="Times New Roman" w:hAnsi="Times New Roman" w:cs="Times New Roman"/>
          <w:sz w:val="24"/>
          <w:szCs w:val="24"/>
        </w:rPr>
        <w:t xml:space="preserve"> request for marriage authorization. Each domestic court </w:t>
      </w:r>
      <w:r w:rsidR="00C85A1F" w:rsidRPr="00AE1663">
        <w:rPr>
          <w:rFonts w:ascii="Times New Roman" w:hAnsi="Times New Roman" w:cs="Times New Roman"/>
          <w:sz w:val="24"/>
          <w:szCs w:val="24"/>
        </w:rPr>
        <w:t>they</w:t>
      </w:r>
      <w:r w:rsidRPr="00AE1663">
        <w:rPr>
          <w:rFonts w:ascii="Times New Roman" w:hAnsi="Times New Roman" w:cs="Times New Roman"/>
          <w:sz w:val="24"/>
          <w:szCs w:val="24"/>
        </w:rPr>
        <w:t xml:space="preserve"> accessed was a separate judicial authority whose job was to review the legality of decisions made by lower court judges.</w:t>
      </w:r>
      <w:r w:rsidRPr="00A7760B">
        <w:rPr>
          <w:rStyle w:val="FootnoteReference"/>
          <w:rFonts w:ascii="Times New Roman" w:hAnsi="Times New Roman" w:cs="Times New Roman"/>
          <w:sz w:val="20"/>
          <w:szCs w:val="24"/>
        </w:rPr>
        <w:footnoteReference w:id="146"/>
      </w:r>
      <w:r w:rsidRPr="00AE1663">
        <w:rPr>
          <w:rFonts w:ascii="Times New Roman" w:hAnsi="Times New Roman" w:cs="Times New Roman"/>
          <w:sz w:val="24"/>
          <w:szCs w:val="24"/>
        </w:rPr>
        <w:t xml:space="preserve"> Beyond a presumption that Eli</w:t>
      </w:r>
      <w:r w:rsidR="00C85A1F" w:rsidRPr="00AE1663">
        <w:rPr>
          <w:rFonts w:ascii="Times New Roman" w:hAnsi="Times New Roman" w:cs="Times New Roman"/>
          <w:sz w:val="24"/>
          <w:szCs w:val="24"/>
        </w:rPr>
        <w:t>zabetia’s domestic judges acted impartial</w:t>
      </w:r>
      <w:r w:rsidRPr="00AE1663">
        <w:rPr>
          <w:rFonts w:ascii="Times New Roman" w:hAnsi="Times New Roman" w:cs="Times New Roman"/>
          <w:sz w:val="24"/>
          <w:szCs w:val="24"/>
        </w:rPr>
        <w:t xml:space="preserve">, the reviewing judges at the administrative and Family Court levels all based their decisions </w:t>
      </w:r>
      <w:r w:rsidRPr="00AE1663">
        <w:rPr>
          <w:rFonts w:ascii="Times New Roman" w:hAnsi="Times New Roman" w:cs="Times New Roman"/>
          <w:i/>
          <w:sz w:val="24"/>
          <w:szCs w:val="24"/>
        </w:rPr>
        <w:t>exclusively and according to</w:t>
      </w:r>
      <w:r w:rsidRPr="00AE1663">
        <w:rPr>
          <w:rFonts w:ascii="Times New Roman" w:hAnsi="Times New Roman" w:cs="Times New Roman"/>
          <w:sz w:val="24"/>
          <w:szCs w:val="24"/>
        </w:rPr>
        <w:t xml:space="preserve"> Article 396 of Elizabetia Law.</w:t>
      </w:r>
      <w:r w:rsidRPr="00A7760B">
        <w:rPr>
          <w:rStyle w:val="FootnoteReference"/>
          <w:rFonts w:ascii="Times New Roman" w:hAnsi="Times New Roman" w:cs="Times New Roman"/>
          <w:sz w:val="20"/>
          <w:szCs w:val="24"/>
        </w:rPr>
        <w:footnoteReference w:id="147"/>
      </w:r>
      <w:r w:rsidR="007C0F8F" w:rsidRPr="00AE1663">
        <w:rPr>
          <w:rFonts w:ascii="Times New Roman" w:hAnsi="Times New Roman" w:cs="Times New Roman"/>
          <w:sz w:val="24"/>
          <w:szCs w:val="24"/>
        </w:rPr>
        <w:t xml:space="preserve"> Petitioner</w:t>
      </w:r>
      <w:r w:rsidRPr="00AE1663">
        <w:rPr>
          <w:rFonts w:ascii="Times New Roman" w:hAnsi="Times New Roman" w:cs="Times New Roman"/>
          <w:sz w:val="24"/>
          <w:szCs w:val="24"/>
        </w:rPr>
        <w:t>s</w:t>
      </w:r>
      <w:r w:rsidR="007C0F8F" w:rsidRPr="00AE1663">
        <w:rPr>
          <w:rFonts w:ascii="Times New Roman" w:hAnsi="Times New Roman" w:cs="Times New Roman"/>
          <w:sz w:val="24"/>
          <w:szCs w:val="24"/>
        </w:rPr>
        <w:t>’</w:t>
      </w:r>
      <w:r w:rsidRPr="00AE1663">
        <w:rPr>
          <w:rFonts w:ascii="Times New Roman" w:hAnsi="Times New Roman" w:cs="Times New Roman"/>
          <w:sz w:val="24"/>
          <w:szCs w:val="24"/>
        </w:rPr>
        <w:t xml:space="preserve"> mere interpretation of Article 396 as contrary to the ACHR is not enough to declare a lack of impartiality or judicial incompetence. </w:t>
      </w:r>
    </w:p>
    <w:p w:rsidR="001643E9" w:rsidRPr="00AE1663" w:rsidRDefault="001643E9" w:rsidP="00286F8E">
      <w:pPr>
        <w:pStyle w:val="Heading3"/>
        <w:numPr>
          <w:ilvl w:val="0"/>
          <w:numId w:val="13"/>
        </w:numPr>
        <w:spacing w:before="0" w:line="480" w:lineRule="auto"/>
        <w:ind w:left="1440" w:hanging="720"/>
        <w:rPr>
          <w:rFonts w:ascii="Times New Roman" w:hAnsi="Times New Roman" w:cs="Times New Roman"/>
          <w:color w:val="auto"/>
          <w:sz w:val="24"/>
          <w:szCs w:val="24"/>
        </w:rPr>
      </w:pPr>
      <w:bookmarkStart w:id="14" w:name="_Toc352003547"/>
      <w:r w:rsidRPr="00AE1663">
        <w:rPr>
          <w:rFonts w:ascii="Times New Roman" w:hAnsi="Times New Roman" w:cs="Times New Roman"/>
          <w:color w:val="auto"/>
          <w:sz w:val="24"/>
          <w:szCs w:val="24"/>
        </w:rPr>
        <w:t>Elizabeti</w:t>
      </w:r>
      <w:r w:rsidR="003D1F38" w:rsidRPr="00AE1663">
        <w:rPr>
          <w:rFonts w:ascii="Times New Roman" w:hAnsi="Times New Roman" w:cs="Times New Roman"/>
          <w:color w:val="auto"/>
          <w:sz w:val="24"/>
          <w:szCs w:val="24"/>
        </w:rPr>
        <w:t xml:space="preserve">a </w:t>
      </w:r>
      <w:r w:rsidR="00FF5A92" w:rsidRPr="00AE1663">
        <w:rPr>
          <w:rFonts w:ascii="Times New Roman" w:hAnsi="Times New Roman" w:cs="Times New Roman"/>
          <w:color w:val="auto"/>
          <w:sz w:val="24"/>
          <w:szCs w:val="24"/>
        </w:rPr>
        <w:t>Offered</w:t>
      </w:r>
      <w:r w:rsidR="003D1F38" w:rsidRPr="00AE1663">
        <w:rPr>
          <w:rFonts w:ascii="Times New Roman" w:hAnsi="Times New Roman" w:cs="Times New Roman"/>
          <w:color w:val="auto"/>
          <w:sz w:val="24"/>
          <w:szCs w:val="24"/>
        </w:rPr>
        <w:t xml:space="preserve"> The Possibility Of A</w:t>
      </w:r>
      <w:r w:rsidRPr="00AE1663">
        <w:rPr>
          <w:rFonts w:ascii="Times New Roman" w:hAnsi="Times New Roman" w:cs="Times New Roman"/>
          <w:color w:val="auto"/>
          <w:sz w:val="24"/>
          <w:szCs w:val="24"/>
        </w:rPr>
        <w:t>n Effective Remedy</w:t>
      </w:r>
      <w:bookmarkEnd w:id="14"/>
    </w:p>
    <w:p w:rsidR="008D1CC1" w:rsidRPr="00AE1663" w:rsidRDefault="00006D65" w:rsidP="00990BA6">
      <w:pPr>
        <w:spacing w:after="0" w:line="480" w:lineRule="auto"/>
        <w:ind w:firstLine="720"/>
        <w:rPr>
          <w:rFonts w:ascii="Times New Roman" w:hAnsi="Times New Roman" w:cs="Times New Roman"/>
          <w:spacing w:val="-3"/>
          <w:sz w:val="24"/>
          <w:szCs w:val="24"/>
        </w:rPr>
      </w:pPr>
      <w:r w:rsidRPr="00AE1663">
        <w:rPr>
          <w:rFonts w:ascii="Times New Roman" w:hAnsi="Times New Roman" w:cs="Times New Roman"/>
          <w:sz w:val="24"/>
          <w:szCs w:val="24"/>
        </w:rPr>
        <w:t xml:space="preserve">As soon as an authority can provide safeguards of independence, impartiality, and procedure, </w:t>
      </w:r>
      <w:r w:rsidR="00E206E7" w:rsidRPr="00AE1663">
        <w:rPr>
          <w:rFonts w:ascii="Times New Roman" w:hAnsi="Times New Roman" w:cs="Times New Roman"/>
          <w:sz w:val="24"/>
          <w:szCs w:val="24"/>
        </w:rPr>
        <w:t xml:space="preserve">it has offered </w:t>
      </w:r>
      <w:r w:rsidRPr="00AE1663">
        <w:rPr>
          <w:rFonts w:ascii="Times New Roman" w:hAnsi="Times New Roman" w:cs="Times New Roman"/>
          <w:sz w:val="24"/>
          <w:szCs w:val="24"/>
        </w:rPr>
        <w:t>the petitioner an effective remedy.</w:t>
      </w:r>
      <w:r w:rsidRPr="00A7760B">
        <w:rPr>
          <w:rStyle w:val="FootnoteReference"/>
          <w:rFonts w:ascii="Times New Roman" w:hAnsi="Times New Roman" w:cs="Times New Roman"/>
          <w:sz w:val="20"/>
          <w:szCs w:val="24"/>
        </w:rPr>
        <w:footnoteReference w:id="148"/>
      </w:r>
      <w:r w:rsidRPr="00AE1663">
        <w:rPr>
          <w:rFonts w:ascii="Times New Roman" w:hAnsi="Times New Roman" w:cs="Times New Roman"/>
          <w:sz w:val="24"/>
          <w:szCs w:val="24"/>
        </w:rPr>
        <w:t xml:space="preserve"> The IACtHR has firmly stated that for a remedy to be effective, it ha</w:t>
      </w:r>
      <w:r w:rsidR="00E206E7" w:rsidRPr="00AE1663">
        <w:rPr>
          <w:rFonts w:ascii="Times New Roman" w:hAnsi="Times New Roman" w:cs="Times New Roman"/>
          <w:sz w:val="24"/>
          <w:szCs w:val="24"/>
        </w:rPr>
        <w:t>s to be capable of producing its intended</w:t>
      </w:r>
      <w:r w:rsidRPr="00AE1663">
        <w:rPr>
          <w:rFonts w:ascii="Times New Roman" w:hAnsi="Times New Roman" w:cs="Times New Roman"/>
          <w:sz w:val="24"/>
          <w:szCs w:val="24"/>
        </w:rPr>
        <w:t xml:space="preserve"> result.</w:t>
      </w:r>
      <w:r w:rsidRPr="00A7760B">
        <w:rPr>
          <w:rStyle w:val="FootnoteReference"/>
          <w:rFonts w:ascii="Times New Roman" w:hAnsi="Times New Roman" w:cs="Times New Roman"/>
          <w:sz w:val="20"/>
          <w:szCs w:val="24"/>
        </w:rPr>
        <w:footnoteReference w:id="149"/>
      </w:r>
      <w:r w:rsidRPr="00AE1663">
        <w:rPr>
          <w:rFonts w:ascii="Times New Roman" w:hAnsi="Times New Roman" w:cs="Times New Roman"/>
          <w:sz w:val="24"/>
          <w:szCs w:val="24"/>
        </w:rPr>
        <w:t xml:space="preserve"> </w:t>
      </w:r>
      <w:r w:rsidR="00E206E7" w:rsidRPr="00AE1663">
        <w:rPr>
          <w:rFonts w:ascii="Times New Roman" w:hAnsi="Times New Roman" w:cs="Times New Roman"/>
          <w:sz w:val="24"/>
          <w:szCs w:val="24"/>
        </w:rPr>
        <w:t xml:space="preserve">A state’s domestic process violates </w:t>
      </w:r>
      <w:r w:rsidR="00E206E7" w:rsidRPr="00AE1663">
        <w:rPr>
          <w:rFonts w:ascii="Times New Roman" w:hAnsi="Times New Roman" w:cs="Times New Roman"/>
          <w:spacing w:val="-3"/>
          <w:sz w:val="24"/>
          <w:szCs w:val="24"/>
        </w:rPr>
        <w:t>j</w:t>
      </w:r>
      <w:r w:rsidR="000D1014" w:rsidRPr="00AE1663">
        <w:rPr>
          <w:rFonts w:ascii="Times New Roman" w:hAnsi="Times New Roman" w:cs="Times New Roman"/>
          <w:spacing w:val="-3"/>
          <w:sz w:val="24"/>
          <w:szCs w:val="24"/>
        </w:rPr>
        <w:t xml:space="preserve">udicial protection </w:t>
      </w:r>
      <w:r w:rsidR="000D1014" w:rsidRPr="00AE1663">
        <w:rPr>
          <w:rFonts w:ascii="Times New Roman" w:hAnsi="Times New Roman" w:cs="Times New Roman"/>
          <w:sz w:val="24"/>
          <w:szCs w:val="24"/>
        </w:rPr>
        <w:t>w</w:t>
      </w:r>
      <w:r w:rsidRPr="00AE1663">
        <w:rPr>
          <w:rFonts w:ascii="Times New Roman" w:hAnsi="Times New Roman" w:cs="Times New Roman"/>
          <w:sz w:val="24"/>
          <w:szCs w:val="24"/>
        </w:rPr>
        <w:t xml:space="preserve">hen </w:t>
      </w:r>
      <w:r w:rsidR="00E206E7" w:rsidRPr="00AE1663">
        <w:rPr>
          <w:rFonts w:ascii="Times New Roman" w:hAnsi="Times New Roman" w:cs="Times New Roman"/>
          <w:sz w:val="24"/>
          <w:szCs w:val="24"/>
        </w:rPr>
        <w:t>it</w:t>
      </w:r>
      <w:r w:rsidRPr="00AE1663">
        <w:rPr>
          <w:rFonts w:ascii="Times New Roman" w:hAnsi="Times New Roman" w:cs="Times New Roman"/>
          <w:sz w:val="24"/>
          <w:szCs w:val="24"/>
        </w:rPr>
        <w:t xml:space="preserve"> does not allow for the correction of judicial error</w:t>
      </w:r>
      <w:r w:rsidRPr="00AE1663">
        <w:rPr>
          <w:rFonts w:ascii="Times New Roman" w:eastAsia="Times New Roman" w:hAnsi="Times New Roman" w:cs="Times New Roman"/>
          <w:spacing w:val="-3"/>
          <w:sz w:val="24"/>
          <w:szCs w:val="24"/>
        </w:rPr>
        <w:t>,</w:t>
      </w:r>
      <w:r w:rsidRPr="00A7760B">
        <w:rPr>
          <w:rStyle w:val="FootnoteReference"/>
          <w:rFonts w:ascii="Times New Roman" w:eastAsia="Times New Roman" w:hAnsi="Times New Roman" w:cs="Times New Roman"/>
          <w:spacing w:val="-3"/>
          <w:sz w:val="20"/>
          <w:szCs w:val="24"/>
        </w:rPr>
        <w:footnoteReference w:id="150"/>
      </w:r>
      <w:r w:rsidR="0071238D" w:rsidRPr="00AE1663">
        <w:rPr>
          <w:rFonts w:ascii="Times New Roman" w:eastAsia="Times New Roman" w:hAnsi="Times New Roman" w:cs="Times New Roman"/>
          <w:spacing w:val="-3"/>
          <w:sz w:val="24"/>
          <w:szCs w:val="24"/>
        </w:rPr>
        <w:t xml:space="preserve"> </w:t>
      </w:r>
      <w:r w:rsidRPr="00AE1663">
        <w:rPr>
          <w:rFonts w:ascii="Times New Roman" w:hAnsi="Times New Roman" w:cs="Times New Roman"/>
          <w:spacing w:val="-3"/>
          <w:sz w:val="24"/>
          <w:szCs w:val="24"/>
        </w:rPr>
        <w:t xml:space="preserve">or when </w:t>
      </w:r>
      <w:r w:rsidR="00E206E7" w:rsidRPr="00AE1663">
        <w:rPr>
          <w:rFonts w:ascii="Times New Roman" w:hAnsi="Times New Roman" w:cs="Times New Roman"/>
          <w:spacing w:val="-3"/>
          <w:sz w:val="24"/>
          <w:szCs w:val="24"/>
        </w:rPr>
        <w:t xml:space="preserve">it precludes </w:t>
      </w:r>
      <w:r w:rsidRPr="00AE1663">
        <w:rPr>
          <w:rFonts w:ascii="Times New Roman" w:hAnsi="Times New Roman" w:cs="Times New Roman"/>
          <w:spacing w:val="-3"/>
          <w:sz w:val="24"/>
          <w:szCs w:val="24"/>
        </w:rPr>
        <w:t xml:space="preserve">judicial remedy </w:t>
      </w:r>
      <w:r w:rsidR="00990BA6" w:rsidRPr="00AE1663">
        <w:rPr>
          <w:rFonts w:ascii="Times New Roman" w:hAnsi="Times New Roman" w:cs="Times New Roman"/>
          <w:spacing w:val="-3"/>
          <w:sz w:val="24"/>
          <w:szCs w:val="24"/>
        </w:rPr>
        <w:t>by dismissing</w:t>
      </w:r>
      <w:r w:rsidRPr="00AE1663">
        <w:rPr>
          <w:rFonts w:ascii="Times New Roman" w:hAnsi="Times New Roman" w:cs="Times New Roman"/>
          <w:spacing w:val="-3"/>
          <w:sz w:val="24"/>
          <w:szCs w:val="24"/>
        </w:rPr>
        <w:t xml:space="preserve"> the petitioner's extraordinary writ</w:t>
      </w:r>
      <w:r w:rsidR="000D1014" w:rsidRPr="00AE1663">
        <w:rPr>
          <w:rFonts w:ascii="Times New Roman" w:hAnsi="Times New Roman" w:cs="Times New Roman"/>
          <w:spacing w:val="-3"/>
          <w:sz w:val="24"/>
          <w:szCs w:val="24"/>
        </w:rPr>
        <w:t>.</w:t>
      </w:r>
      <w:r w:rsidRPr="00A7760B">
        <w:rPr>
          <w:rStyle w:val="FootnoteReference"/>
          <w:rFonts w:ascii="Times New Roman" w:hAnsi="Times New Roman" w:cs="Times New Roman"/>
          <w:spacing w:val="-3"/>
          <w:sz w:val="20"/>
          <w:szCs w:val="24"/>
        </w:rPr>
        <w:footnoteReference w:id="151"/>
      </w:r>
      <w:r w:rsidR="000D1014" w:rsidRPr="00AE1663">
        <w:rPr>
          <w:rFonts w:ascii="Times New Roman" w:hAnsi="Times New Roman" w:cs="Times New Roman"/>
          <w:spacing w:val="-3"/>
          <w:sz w:val="24"/>
          <w:szCs w:val="24"/>
        </w:rPr>
        <w:t xml:space="preserve"> </w:t>
      </w:r>
      <w:r w:rsidRPr="00AE1663">
        <w:rPr>
          <w:rFonts w:ascii="Times New Roman" w:hAnsi="Times New Roman" w:cs="Times New Roman"/>
          <w:spacing w:val="-3"/>
          <w:sz w:val="24"/>
          <w:szCs w:val="24"/>
        </w:rPr>
        <w:t xml:space="preserve"> </w:t>
      </w:r>
    </w:p>
    <w:p w:rsidR="00006D65" w:rsidRPr="00AE1663" w:rsidRDefault="007C0F8F" w:rsidP="00006D65">
      <w:pPr>
        <w:spacing w:line="480" w:lineRule="auto"/>
        <w:ind w:firstLine="720"/>
        <w:rPr>
          <w:rFonts w:ascii="Times New Roman" w:hAnsi="Times New Roman" w:cs="Times New Roman"/>
          <w:spacing w:val="-3"/>
          <w:sz w:val="24"/>
          <w:szCs w:val="24"/>
        </w:rPr>
      </w:pPr>
      <w:r w:rsidRPr="00AE1663">
        <w:rPr>
          <w:rFonts w:ascii="Times New Roman" w:eastAsia="Times New Roman" w:hAnsi="Times New Roman" w:cs="Times New Roman"/>
          <w:sz w:val="24"/>
          <w:szCs w:val="24"/>
        </w:rPr>
        <w:t xml:space="preserve">Petitioners </w:t>
      </w:r>
      <w:r w:rsidR="00006D65" w:rsidRPr="00AE1663">
        <w:rPr>
          <w:rFonts w:ascii="Times New Roman" w:eastAsia="Times New Roman" w:hAnsi="Times New Roman" w:cs="Times New Roman"/>
          <w:sz w:val="24"/>
          <w:szCs w:val="24"/>
        </w:rPr>
        <w:t>had access to a compe</w:t>
      </w:r>
      <w:r w:rsidRPr="00AE1663">
        <w:rPr>
          <w:rFonts w:ascii="Times New Roman" w:eastAsia="Times New Roman" w:hAnsi="Times New Roman" w:cs="Times New Roman"/>
          <w:sz w:val="24"/>
          <w:szCs w:val="24"/>
        </w:rPr>
        <w:t xml:space="preserve">tent authority </w:t>
      </w:r>
      <w:r w:rsidR="00990BA6" w:rsidRPr="00AE1663">
        <w:rPr>
          <w:rFonts w:ascii="Times New Roman" w:eastAsia="Times New Roman" w:hAnsi="Times New Roman" w:cs="Times New Roman"/>
          <w:sz w:val="24"/>
          <w:szCs w:val="24"/>
        </w:rPr>
        <w:t>that</w:t>
      </w:r>
      <w:r w:rsidRPr="00AE1663">
        <w:rPr>
          <w:rFonts w:ascii="Times New Roman" w:eastAsia="Times New Roman" w:hAnsi="Times New Roman" w:cs="Times New Roman"/>
          <w:sz w:val="24"/>
          <w:szCs w:val="24"/>
        </w:rPr>
        <w:t xml:space="preserve"> provided them </w:t>
      </w:r>
      <w:r w:rsidR="00006D65" w:rsidRPr="00AE1663">
        <w:rPr>
          <w:rFonts w:ascii="Times New Roman" w:eastAsia="Times New Roman" w:hAnsi="Times New Roman" w:cs="Times New Roman"/>
          <w:sz w:val="24"/>
          <w:szCs w:val="24"/>
        </w:rPr>
        <w:t>with an effective remedy. If administrative judges had based their opinions on an arbitrary standard ins</w:t>
      </w:r>
      <w:r w:rsidRPr="00AE1663">
        <w:rPr>
          <w:rFonts w:ascii="Times New Roman" w:eastAsia="Times New Roman" w:hAnsi="Times New Roman" w:cs="Times New Roman"/>
          <w:sz w:val="24"/>
          <w:szCs w:val="24"/>
        </w:rPr>
        <w:t>tead of on Article 396, Petitioners</w:t>
      </w:r>
      <w:r w:rsidR="00006D65" w:rsidRPr="00AE1663">
        <w:rPr>
          <w:rFonts w:ascii="Times New Roman" w:eastAsia="Times New Roman" w:hAnsi="Times New Roman" w:cs="Times New Roman"/>
          <w:sz w:val="24"/>
          <w:szCs w:val="24"/>
        </w:rPr>
        <w:t xml:space="preserve"> could have vacated their decision upon appeal.</w:t>
      </w:r>
      <w:r w:rsidR="00006D65" w:rsidRPr="00A7760B">
        <w:rPr>
          <w:rStyle w:val="FootnoteReference"/>
          <w:rFonts w:ascii="Times New Roman" w:eastAsia="Times New Roman" w:hAnsi="Times New Roman" w:cs="Times New Roman"/>
          <w:sz w:val="20"/>
          <w:szCs w:val="24"/>
        </w:rPr>
        <w:footnoteReference w:id="152"/>
      </w:r>
      <w:r w:rsidR="00006D65" w:rsidRPr="00AE1663">
        <w:rPr>
          <w:rFonts w:ascii="Times New Roman" w:eastAsia="Times New Roman" w:hAnsi="Times New Roman" w:cs="Times New Roman"/>
          <w:sz w:val="24"/>
          <w:szCs w:val="24"/>
        </w:rPr>
        <w:t xml:space="preserve"> If </w:t>
      </w:r>
      <w:r w:rsidRPr="00AE1663">
        <w:rPr>
          <w:rFonts w:ascii="Times New Roman" w:eastAsia="Times New Roman" w:hAnsi="Times New Roman" w:cs="Times New Roman"/>
          <w:sz w:val="24"/>
          <w:szCs w:val="24"/>
        </w:rPr>
        <w:t>Petitioners</w:t>
      </w:r>
      <w:r w:rsidR="00006D65" w:rsidRPr="00AE1663">
        <w:rPr>
          <w:rFonts w:ascii="Times New Roman" w:eastAsia="Times New Roman" w:hAnsi="Times New Roman" w:cs="Times New Roman"/>
          <w:sz w:val="24"/>
          <w:szCs w:val="24"/>
        </w:rPr>
        <w:t xml:space="preserve"> had argued </w:t>
      </w:r>
      <w:r w:rsidRPr="00AE1663">
        <w:rPr>
          <w:rFonts w:ascii="Times New Roman" w:eastAsia="Times New Roman" w:hAnsi="Times New Roman" w:cs="Times New Roman"/>
          <w:sz w:val="24"/>
          <w:szCs w:val="24"/>
        </w:rPr>
        <w:t>that Article 396 was defective, they c</w:t>
      </w:r>
      <w:r w:rsidR="00006D65" w:rsidRPr="00AE1663">
        <w:rPr>
          <w:rFonts w:ascii="Times New Roman" w:eastAsia="Times New Roman" w:hAnsi="Times New Roman" w:cs="Times New Roman"/>
          <w:sz w:val="24"/>
          <w:szCs w:val="24"/>
        </w:rPr>
        <w:t xml:space="preserve">ould have pursued Elizabetia’s public right of action remedy which has prevailed in overturning Constitutional provisions relating to homosexual </w:t>
      </w:r>
      <w:r w:rsidR="00006D65" w:rsidRPr="00AE1663">
        <w:rPr>
          <w:rFonts w:ascii="Times New Roman" w:eastAsia="Times New Roman" w:hAnsi="Times New Roman" w:cs="Times New Roman"/>
          <w:sz w:val="24"/>
          <w:szCs w:val="24"/>
        </w:rPr>
        <w:lastRenderedPageBreak/>
        <w:t>discrimination in the past.</w:t>
      </w:r>
      <w:r w:rsidR="00006D65" w:rsidRPr="00A7760B">
        <w:rPr>
          <w:rStyle w:val="FootnoteReference"/>
          <w:rFonts w:ascii="Times New Roman" w:eastAsia="Times New Roman" w:hAnsi="Times New Roman" w:cs="Times New Roman"/>
          <w:sz w:val="20"/>
          <w:szCs w:val="24"/>
        </w:rPr>
        <w:footnoteReference w:id="153"/>
      </w:r>
      <w:r w:rsidR="00006D65" w:rsidRPr="00AE1663">
        <w:rPr>
          <w:rFonts w:ascii="Times New Roman" w:eastAsia="Times New Roman" w:hAnsi="Times New Roman" w:cs="Times New Roman"/>
          <w:sz w:val="24"/>
          <w:szCs w:val="24"/>
        </w:rPr>
        <w:t xml:space="preserve"> The administrative courts did not have jurisdiction to alter a constitutional provis</w:t>
      </w:r>
      <w:r w:rsidR="00C85A1F" w:rsidRPr="00AE1663">
        <w:rPr>
          <w:rFonts w:ascii="Times New Roman" w:eastAsia="Times New Roman" w:hAnsi="Times New Roman" w:cs="Times New Roman"/>
          <w:sz w:val="24"/>
          <w:szCs w:val="24"/>
        </w:rPr>
        <w:t>ion, yet they still safeguarded</w:t>
      </w:r>
      <w:r w:rsidR="00AB2980" w:rsidRPr="00AE1663">
        <w:rPr>
          <w:rFonts w:ascii="Times New Roman" w:eastAsia="Times New Roman" w:hAnsi="Times New Roman" w:cs="Times New Roman"/>
          <w:sz w:val="24"/>
          <w:szCs w:val="24"/>
        </w:rPr>
        <w:t xml:space="preserve"> Petitioners</w:t>
      </w:r>
      <w:r w:rsidR="00006D65" w:rsidRPr="00AE1663">
        <w:rPr>
          <w:rFonts w:ascii="Times New Roman" w:eastAsia="Times New Roman" w:hAnsi="Times New Roman" w:cs="Times New Roman"/>
          <w:sz w:val="24"/>
          <w:szCs w:val="24"/>
        </w:rPr>
        <w:t xml:space="preserve"> from the possibility of an arbitrary or illegal decision.</w:t>
      </w:r>
    </w:p>
    <w:p w:rsidR="001643E9" w:rsidRPr="00AE1663" w:rsidRDefault="003D1F38" w:rsidP="008D1CC1">
      <w:pPr>
        <w:pStyle w:val="Heading3"/>
        <w:numPr>
          <w:ilvl w:val="0"/>
          <w:numId w:val="15"/>
        </w:numPr>
        <w:spacing w:before="0" w:line="240" w:lineRule="auto"/>
        <w:ind w:left="2160" w:hanging="720"/>
        <w:rPr>
          <w:rFonts w:ascii="Times New Roman" w:hAnsi="Times New Roman" w:cs="Times New Roman"/>
          <w:i/>
          <w:color w:val="auto"/>
          <w:sz w:val="24"/>
          <w:szCs w:val="24"/>
        </w:rPr>
      </w:pPr>
      <w:bookmarkStart w:id="15" w:name="_Toc352003548"/>
      <w:r w:rsidRPr="00AE1663">
        <w:rPr>
          <w:rFonts w:ascii="Times New Roman" w:hAnsi="Times New Roman" w:cs="Times New Roman"/>
          <w:i/>
          <w:color w:val="auto"/>
          <w:sz w:val="24"/>
          <w:szCs w:val="24"/>
        </w:rPr>
        <w:t>Administrative A</w:t>
      </w:r>
      <w:r w:rsidR="001643E9" w:rsidRPr="00AE1663">
        <w:rPr>
          <w:rFonts w:ascii="Times New Roman" w:hAnsi="Times New Roman" w:cs="Times New Roman"/>
          <w:i/>
          <w:color w:val="auto"/>
          <w:sz w:val="24"/>
          <w:szCs w:val="24"/>
        </w:rPr>
        <w:t xml:space="preserve">nd Judicial Review of </w:t>
      </w:r>
      <w:r w:rsidR="00AB2980" w:rsidRPr="00AE1663">
        <w:rPr>
          <w:rFonts w:ascii="Times New Roman" w:hAnsi="Times New Roman" w:cs="Times New Roman"/>
          <w:i/>
          <w:color w:val="auto"/>
          <w:sz w:val="24"/>
          <w:szCs w:val="24"/>
        </w:rPr>
        <w:t xml:space="preserve">Petitioners’ </w:t>
      </w:r>
      <w:r w:rsidR="00391EA8" w:rsidRPr="00AE1663">
        <w:rPr>
          <w:rFonts w:ascii="Times New Roman" w:hAnsi="Times New Roman" w:cs="Times New Roman"/>
          <w:i/>
          <w:color w:val="auto"/>
          <w:sz w:val="24"/>
          <w:szCs w:val="24"/>
        </w:rPr>
        <w:t xml:space="preserve">Requests Satisfied Due </w:t>
      </w:r>
      <w:r w:rsidR="001643E9" w:rsidRPr="00AE1663">
        <w:rPr>
          <w:rFonts w:ascii="Times New Roman" w:hAnsi="Times New Roman" w:cs="Times New Roman"/>
          <w:i/>
          <w:color w:val="auto"/>
          <w:sz w:val="24"/>
          <w:szCs w:val="24"/>
        </w:rPr>
        <w:t>Process</w:t>
      </w:r>
      <w:bookmarkEnd w:id="15"/>
    </w:p>
    <w:p w:rsidR="00AB2980" w:rsidRPr="00AE1663" w:rsidRDefault="00AB2980" w:rsidP="00AB2980">
      <w:pPr>
        <w:spacing w:after="0"/>
        <w:rPr>
          <w:rFonts w:ascii="Times New Roman" w:hAnsi="Times New Roman" w:cs="Times New Roman"/>
          <w:sz w:val="24"/>
          <w:szCs w:val="24"/>
        </w:rPr>
      </w:pPr>
    </w:p>
    <w:p w:rsidR="008B6A40" w:rsidRPr="00AE1663" w:rsidRDefault="008B6A40" w:rsidP="00A7760B">
      <w:pPr>
        <w:spacing w:after="0" w:line="480" w:lineRule="auto"/>
        <w:ind w:firstLine="720"/>
        <w:rPr>
          <w:rFonts w:ascii="Times New Roman" w:hAnsi="Times New Roman" w:cs="Times New Roman"/>
          <w:spacing w:val="-3"/>
          <w:sz w:val="24"/>
          <w:szCs w:val="24"/>
        </w:rPr>
      </w:pPr>
      <w:r w:rsidRPr="00AE1663">
        <w:rPr>
          <w:rFonts w:ascii="Times New Roman" w:hAnsi="Times New Roman" w:cs="Times New Roman"/>
          <w:sz w:val="24"/>
          <w:szCs w:val="24"/>
        </w:rPr>
        <w:t>Elizabetia complied with procedural equality despite granting the Petitioner</w:t>
      </w:r>
      <w:r w:rsidR="007C0F8F" w:rsidRPr="00AE1663">
        <w:rPr>
          <w:rFonts w:ascii="Times New Roman" w:hAnsi="Times New Roman" w:cs="Times New Roman"/>
          <w:sz w:val="24"/>
          <w:szCs w:val="24"/>
        </w:rPr>
        <w:t>s</w:t>
      </w:r>
      <w:r w:rsidRPr="00AE1663">
        <w:rPr>
          <w:rFonts w:ascii="Times New Roman" w:hAnsi="Times New Roman" w:cs="Times New Roman"/>
          <w:sz w:val="24"/>
          <w:szCs w:val="24"/>
        </w:rPr>
        <w:t xml:space="preserve"> an unfavorable result. “For ‘the due process of law’ a defendant must be able to exercise his rights in full procedural equality with other defendants.”</w:t>
      </w:r>
      <w:r w:rsidRPr="00A7760B">
        <w:rPr>
          <w:rStyle w:val="FootnoteReference"/>
          <w:rFonts w:ascii="Times New Roman" w:hAnsi="Times New Roman" w:cs="Times New Roman"/>
          <w:sz w:val="20"/>
          <w:szCs w:val="24"/>
        </w:rPr>
        <w:footnoteReference w:id="154"/>
      </w:r>
      <w:r w:rsidRPr="00AE1663">
        <w:rPr>
          <w:rFonts w:ascii="Times New Roman" w:hAnsi="Times New Roman" w:cs="Times New Roman"/>
          <w:sz w:val="24"/>
          <w:szCs w:val="24"/>
        </w:rPr>
        <w:t xml:space="preserve"> A State-entrusted administrative body that determines a person’s rights observes this norm.</w:t>
      </w:r>
      <w:r w:rsidRPr="00A7760B">
        <w:rPr>
          <w:rStyle w:val="FootnoteReference"/>
          <w:rFonts w:ascii="Times New Roman" w:hAnsi="Times New Roman" w:cs="Times New Roman"/>
          <w:sz w:val="20"/>
          <w:szCs w:val="24"/>
        </w:rPr>
        <w:footnoteReference w:id="155"/>
      </w:r>
      <w:r w:rsidRPr="00AE1663">
        <w:rPr>
          <w:rFonts w:ascii="Times New Roman" w:hAnsi="Times New Roman" w:cs="Times New Roman"/>
          <w:sz w:val="24"/>
          <w:szCs w:val="24"/>
        </w:rPr>
        <w:t xml:space="preserve"> </w:t>
      </w:r>
      <w:r w:rsidRPr="00AE1663">
        <w:rPr>
          <w:rFonts w:ascii="Times New Roman" w:hAnsi="Times New Roman" w:cs="Times New Roman"/>
          <w:spacing w:val="-3"/>
          <w:sz w:val="24"/>
          <w:szCs w:val="24"/>
        </w:rPr>
        <w:t xml:space="preserve">If </w:t>
      </w:r>
      <w:r w:rsidR="00990BA6" w:rsidRPr="00AE1663">
        <w:rPr>
          <w:rFonts w:ascii="Times New Roman" w:hAnsi="Times New Roman" w:cs="Times New Roman"/>
          <w:spacing w:val="-3"/>
          <w:sz w:val="24"/>
          <w:szCs w:val="24"/>
        </w:rPr>
        <w:t xml:space="preserve">a state respects </w:t>
      </w:r>
      <w:r w:rsidRPr="00AE1663">
        <w:rPr>
          <w:rFonts w:ascii="Times New Roman" w:hAnsi="Times New Roman" w:cs="Times New Roman"/>
          <w:spacing w:val="-3"/>
          <w:sz w:val="24"/>
          <w:szCs w:val="24"/>
        </w:rPr>
        <w:t xml:space="preserve">the right to a hearing </w:t>
      </w:r>
      <w:r w:rsidR="00990BA6" w:rsidRPr="00AE1663">
        <w:rPr>
          <w:rFonts w:ascii="Times New Roman" w:hAnsi="Times New Roman" w:cs="Times New Roman"/>
          <w:spacing w:val="-3"/>
          <w:sz w:val="24"/>
          <w:szCs w:val="24"/>
        </w:rPr>
        <w:t>and carries it</w:t>
      </w:r>
      <w:r w:rsidRPr="00AE1663">
        <w:rPr>
          <w:rFonts w:ascii="Times New Roman" w:hAnsi="Times New Roman" w:cs="Times New Roman"/>
          <w:spacing w:val="-3"/>
          <w:sz w:val="24"/>
          <w:szCs w:val="24"/>
        </w:rPr>
        <w:t xml:space="preserve"> out in a reasonable </w:t>
      </w:r>
      <w:r w:rsidR="00990BA6" w:rsidRPr="00AE1663">
        <w:rPr>
          <w:rFonts w:ascii="Times New Roman" w:hAnsi="Times New Roman" w:cs="Times New Roman"/>
          <w:spacing w:val="-3"/>
          <w:sz w:val="24"/>
          <w:szCs w:val="24"/>
        </w:rPr>
        <w:t>period</w:t>
      </w:r>
      <w:r w:rsidRPr="00AE1663">
        <w:rPr>
          <w:rFonts w:ascii="Times New Roman" w:hAnsi="Times New Roman" w:cs="Times New Roman"/>
          <w:spacing w:val="-3"/>
          <w:sz w:val="24"/>
          <w:szCs w:val="24"/>
        </w:rPr>
        <w:t xml:space="preserve">, and the petitioner does not claim a lack of competence, </w:t>
      </w:r>
      <w:r w:rsidR="00990BA6" w:rsidRPr="00AE1663">
        <w:rPr>
          <w:rFonts w:ascii="Times New Roman" w:hAnsi="Times New Roman" w:cs="Times New Roman"/>
          <w:spacing w:val="-3"/>
          <w:sz w:val="24"/>
          <w:szCs w:val="24"/>
        </w:rPr>
        <w:t>independence,</w:t>
      </w:r>
      <w:r w:rsidRPr="00AE1663">
        <w:rPr>
          <w:rFonts w:ascii="Times New Roman" w:hAnsi="Times New Roman" w:cs="Times New Roman"/>
          <w:spacing w:val="-3"/>
          <w:sz w:val="24"/>
          <w:szCs w:val="24"/>
        </w:rPr>
        <w:t xml:space="preserve"> or impartiality of the court in any instance, then no due process violation has occurred.</w:t>
      </w:r>
      <w:r w:rsidRPr="00A7760B">
        <w:rPr>
          <w:rStyle w:val="FootnoteReference"/>
          <w:rFonts w:ascii="Times New Roman" w:hAnsi="Times New Roman" w:cs="Times New Roman"/>
          <w:spacing w:val="-3"/>
          <w:sz w:val="20"/>
          <w:szCs w:val="24"/>
        </w:rPr>
        <w:footnoteReference w:id="156"/>
      </w:r>
    </w:p>
    <w:p w:rsidR="008B6A40" w:rsidRPr="00AE1663" w:rsidRDefault="008B6A40" w:rsidP="00A7760B">
      <w:pPr>
        <w:spacing w:after="0" w:line="480" w:lineRule="auto"/>
        <w:ind w:firstLine="720"/>
        <w:rPr>
          <w:rFonts w:ascii="Times New Roman" w:hAnsi="Times New Roman" w:cs="Times New Roman"/>
          <w:spacing w:val="-3"/>
          <w:sz w:val="24"/>
          <w:szCs w:val="24"/>
        </w:rPr>
      </w:pPr>
      <w:r w:rsidRPr="00AE1663">
        <w:rPr>
          <w:rFonts w:ascii="Times New Roman" w:hAnsi="Times New Roman" w:cs="Times New Roman"/>
          <w:spacing w:val="-3"/>
          <w:sz w:val="24"/>
          <w:szCs w:val="24"/>
        </w:rPr>
        <w:t>In a 1996 Commission report to Argentina, there was no violation of due process when the Supreme Court of Argentina dismissed a petitioner’s extraordinary writ without ruling on the merits.</w:t>
      </w:r>
      <w:r w:rsidRPr="00A7760B">
        <w:rPr>
          <w:rStyle w:val="FootnoteReference"/>
          <w:rFonts w:ascii="Times New Roman" w:hAnsi="Times New Roman" w:cs="Times New Roman"/>
          <w:spacing w:val="-3"/>
          <w:sz w:val="20"/>
          <w:szCs w:val="24"/>
        </w:rPr>
        <w:footnoteReference w:id="157"/>
      </w:r>
      <w:r w:rsidRPr="00AE1663">
        <w:rPr>
          <w:rFonts w:ascii="Times New Roman" w:hAnsi="Times New Roman" w:cs="Times New Roman"/>
          <w:spacing w:val="-3"/>
          <w:sz w:val="24"/>
          <w:szCs w:val="24"/>
        </w:rPr>
        <w:t xml:space="preserve"> Before the </w:t>
      </w:r>
      <w:r w:rsidR="00990BA6" w:rsidRPr="00AE1663">
        <w:rPr>
          <w:rFonts w:ascii="Times New Roman" w:hAnsi="Times New Roman" w:cs="Times New Roman"/>
          <w:spacing w:val="-3"/>
          <w:sz w:val="24"/>
          <w:szCs w:val="24"/>
        </w:rPr>
        <w:t xml:space="preserve">domestic court granted the </w:t>
      </w:r>
      <w:r w:rsidRPr="00AE1663">
        <w:rPr>
          <w:rFonts w:ascii="Times New Roman" w:hAnsi="Times New Roman" w:cs="Times New Roman"/>
          <w:spacing w:val="-3"/>
          <w:sz w:val="24"/>
          <w:szCs w:val="24"/>
        </w:rPr>
        <w:t>writ</w:t>
      </w:r>
      <w:r w:rsidR="00990BA6" w:rsidRPr="00AE1663">
        <w:rPr>
          <w:rFonts w:ascii="Times New Roman" w:hAnsi="Times New Roman" w:cs="Times New Roman"/>
          <w:spacing w:val="-3"/>
          <w:sz w:val="24"/>
          <w:szCs w:val="24"/>
        </w:rPr>
        <w:t>,</w:t>
      </w:r>
      <w:r w:rsidRPr="00AE1663">
        <w:rPr>
          <w:rFonts w:ascii="Times New Roman" w:hAnsi="Times New Roman" w:cs="Times New Roman"/>
          <w:spacing w:val="-3"/>
          <w:sz w:val="24"/>
          <w:szCs w:val="24"/>
        </w:rPr>
        <w:t xml:space="preserve"> petitioner had access to a labor court and received full and prompt recourse resulting in an unfavorable decision.</w:t>
      </w:r>
      <w:r w:rsidRPr="00A7760B">
        <w:rPr>
          <w:rStyle w:val="FootnoteReference"/>
          <w:rFonts w:ascii="Times New Roman" w:hAnsi="Times New Roman" w:cs="Times New Roman"/>
          <w:spacing w:val="-3"/>
          <w:sz w:val="20"/>
          <w:szCs w:val="24"/>
        </w:rPr>
        <w:footnoteReference w:id="158"/>
      </w:r>
      <w:r w:rsidRPr="00AE1663">
        <w:rPr>
          <w:rFonts w:ascii="Times New Roman" w:hAnsi="Times New Roman" w:cs="Times New Roman"/>
          <w:spacing w:val="-3"/>
          <w:sz w:val="24"/>
          <w:szCs w:val="24"/>
        </w:rPr>
        <w:t> The Commission explained</w:t>
      </w:r>
      <w:r w:rsidR="00990BA6" w:rsidRPr="00AE1663">
        <w:rPr>
          <w:rFonts w:ascii="Times New Roman" w:hAnsi="Times New Roman" w:cs="Times New Roman"/>
          <w:spacing w:val="-3"/>
          <w:sz w:val="24"/>
          <w:szCs w:val="24"/>
        </w:rPr>
        <w:t>,</w:t>
      </w:r>
      <w:r w:rsidRPr="00AE1663">
        <w:rPr>
          <w:rFonts w:ascii="Times New Roman" w:hAnsi="Times New Roman" w:cs="Times New Roman"/>
          <w:spacing w:val="-3"/>
          <w:sz w:val="24"/>
          <w:szCs w:val="24"/>
        </w:rPr>
        <w:t xml:space="preserve"> “a negative result in a fair adjudication, in itself, does not constitute a violation of the Convention.”</w:t>
      </w:r>
      <w:r w:rsidRPr="00A7760B">
        <w:rPr>
          <w:rStyle w:val="FootnoteReference"/>
          <w:rFonts w:ascii="Times New Roman" w:hAnsi="Times New Roman" w:cs="Times New Roman"/>
          <w:spacing w:val="-3"/>
          <w:sz w:val="20"/>
          <w:szCs w:val="24"/>
        </w:rPr>
        <w:footnoteReference w:id="159"/>
      </w:r>
    </w:p>
    <w:p w:rsidR="008B6A40" w:rsidRPr="00AE1663" w:rsidRDefault="008B6A40" w:rsidP="008B6A40">
      <w:pPr>
        <w:spacing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 xml:space="preserve">Elizabetia catered to all procedural aspects of </w:t>
      </w:r>
      <w:r w:rsidR="00AB2980" w:rsidRPr="00AE1663">
        <w:rPr>
          <w:rFonts w:ascii="Times New Roman" w:hAnsi="Times New Roman" w:cs="Times New Roman"/>
          <w:sz w:val="24"/>
          <w:szCs w:val="24"/>
        </w:rPr>
        <w:t>Petitioners’</w:t>
      </w:r>
      <w:r w:rsidR="00C85A1F" w:rsidRPr="00AE1663">
        <w:rPr>
          <w:rFonts w:ascii="Times New Roman" w:hAnsi="Times New Roman" w:cs="Times New Roman"/>
          <w:sz w:val="24"/>
          <w:szCs w:val="24"/>
        </w:rPr>
        <w:t xml:space="preserve"> request for marriage, and</w:t>
      </w:r>
      <w:r w:rsidRPr="00AE1663">
        <w:rPr>
          <w:rFonts w:ascii="Times New Roman" w:hAnsi="Times New Roman" w:cs="Times New Roman"/>
          <w:sz w:val="24"/>
          <w:szCs w:val="24"/>
        </w:rPr>
        <w:t xml:space="preserve"> was not required to grant a favorable decision in order to prove a fair adjudication. The administrative </w:t>
      </w:r>
      <w:r w:rsidRPr="00AE1663">
        <w:rPr>
          <w:rFonts w:ascii="Times New Roman" w:hAnsi="Times New Roman" w:cs="Times New Roman"/>
          <w:sz w:val="24"/>
          <w:szCs w:val="24"/>
        </w:rPr>
        <w:lastRenderedPageBreak/>
        <w:t>courts ruled according to Article 396 and ar</w:t>
      </w:r>
      <w:r w:rsidR="001C36E8" w:rsidRPr="00AE1663">
        <w:rPr>
          <w:rFonts w:ascii="Times New Roman" w:hAnsi="Times New Roman" w:cs="Times New Roman"/>
          <w:sz w:val="24"/>
          <w:szCs w:val="24"/>
        </w:rPr>
        <w:t>ticulated Elizabetia</w:t>
      </w:r>
      <w:r w:rsidRPr="00AE1663">
        <w:rPr>
          <w:rFonts w:ascii="Times New Roman" w:hAnsi="Times New Roman" w:cs="Times New Roman"/>
          <w:sz w:val="24"/>
          <w:szCs w:val="24"/>
        </w:rPr>
        <w:t>’s interest in preserving the</w:t>
      </w:r>
      <w:r w:rsidR="001C36E8" w:rsidRPr="00AE1663">
        <w:rPr>
          <w:rFonts w:ascii="Times New Roman" w:hAnsi="Times New Roman" w:cs="Times New Roman"/>
          <w:sz w:val="24"/>
          <w:szCs w:val="24"/>
        </w:rPr>
        <w:t xml:space="preserve"> concept of family</w:t>
      </w:r>
      <w:r w:rsidRPr="00AE1663">
        <w:rPr>
          <w:rFonts w:ascii="Times New Roman" w:hAnsi="Times New Roman" w:cs="Times New Roman"/>
          <w:sz w:val="24"/>
          <w:szCs w:val="24"/>
        </w:rPr>
        <w:t>.</w:t>
      </w:r>
      <w:r w:rsidRPr="00A7760B">
        <w:rPr>
          <w:rStyle w:val="FootnoteReference"/>
          <w:rFonts w:ascii="Times New Roman" w:hAnsi="Times New Roman" w:cs="Times New Roman"/>
          <w:sz w:val="20"/>
          <w:szCs w:val="24"/>
        </w:rPr>
        <w:footnoteReference w:id="160"/>
      </w:r>
      <w:r w:rsidRPr="00AE1663">
        <w:rPr>
          <w:rFonts w:ascii="Times New Roman" w:hAnsi="Times New Roman" w:cs="Times New Roman"/>
          <w:sz w:val="24"/>
          <w:szCs w:val="24"/>
        </w:rPr>
        <w:t xml:space="preserve"> There is no evidence that </w:t>
      </w:r>
      <w:r w:rsidR="00990BA6" w:rsidRPr="00AE1663">
        <w:rPr>
          <w:rFonts w:ascii="Times New Roman" w:hAnsi="Times New Roman" w:cs="Times New Roman"/>
          <w:sz w:val="24"/>
          <w:szCs w:val="24"/>
        </w:rPr>
        <w:t xml:space="preserve">Elizabetia did not offer </w:t>
      </w:r>
      <w:r w:rsidR="001C36E8" w:rsidRPr="00AE1663">
        <w:rPr>
          <w:rFonts w:ascii="Times New Roman" w:hAnsi="Times New Roman" w:cs="Times New Roman"/>
          <w:sz w:val="24"/>
          <w:szCs w:val="24"/>
        </w:rPr>
        <w:t xml:space="preserve">Petitioners </w:t>
      </w:r>
      <w:r w:rsidRPr="00AE1663">
        <w:rPr>
          <w:rFonts w:ascii="Times New Roman" w:hAnsi="Times New Roman" w:cs="Times New Roman"/>
          <w:sz w:val="24"/>
          <w:szCs w:val="24"/>
        </w:rPr>
        <w:t>the same procedural equality as other defendants.</w:t>
      </w:r>
      <w:r w:rsidR="0071238D" w:rsidRPr="00AE1663">
        <w:rPr>
          <w:rFonts w:ascii="Times New Roman" w:hAnsi="Times New Roman" w:cs="Times New Roman"/>
          <w:sz w:val="24"/>
          <w:szCs w:val="24"/>
        </w:rPr>
        <w:t xml:space="preserve"> </w:t>
      </w:r>
      <w:r w:rsidR="00C85A1F" w:rsidRPr="00AE1663">
        <w:rPr>
          <w:rFonts w:ascii="Times New Roman" w:hAnsi="Times New Roman" w:cs="Times New Roman"/>
          <w:sz w:val="24"/>
          <w:szCs w:val="24"/>
        </w:rPr>
        <w:t>They</w:t>
      </w:r>
      <w:r w:rsidR="00AB2980" w:rsidRPr="00AE1663">
        <w:rPr>
          <w:rFonts w:ascii="Times New Roman" w:hAnsi="Times New Roman" w:cs="Times New Roman"/>
          <w:sz w:val="24"/>
          <w:szCs w:val="24"/>
        </w:rPr>
        <w:t xml:space="preserve"> were</w:t>
      </w:r>
      <w:r w:rsidRPr="00AE1663">
        <w:rPr>
          <w:rFonts w:ascii="Times New Roman" w:hAnsi="Times New Roman" w:cs="Times New Roman"/>
          <w:sz w:val="24"/>
          <w:szCs w:val="24"/>
        </w:rPr>
        <w:t xml:space="preserve"> able to defend </w:t>
      </w:r>
      <w:r w:rsidR="00AB2980" w:rsidRPr="00AE1663">
        <w:rPr>
          <w:rFonts w:ascii="Times New Roman" w:hAnsi="Times New Roman" w:cs="Times New Roman"/>
          <w:sz w:val="24"/>
          <w:szCs w:val="24"/>
        </w:rPr>
        <w:t>their</w:t>
      </w:r>
      <w:r w:rsidRPr="00AE1663">
        <w:rPr>
          <w:rFonts w:ascii="Times New Roman" w:hAnsi="Times New Roman" w:cs="Times New Roman"/>
          <w:sz w:val="24"/>
          <w:szCs w:val="24"/>
        </w:rPr>
        <w:t xml:space="preserve"> interests within eleven months from the date </w:t>
      </w:r>
      <w:r w:rsidR="00AB2980" w:rsidRPr="00AE1663">
        <w:rPr>
          <w:rFonts w:ascii="Times New Roman" w:hAnsi="Times New Roman" w:cs="Times New Roman"/>
          <w:sz w:val="24"/>
          <w:szCs w:val="24"/>
        </w:rPr>
        <w:t>they</w:t>
      </w:r>
      <w:r w:rsidRPr="00AE1663">
        <w:rPr>
          <w:rFonts w:ascii="Times New Roman" w:hAnsi="Times New Roman" w:cs="Times New Roman"/>
          <w:sz w:val="24"/>
          <w:szCs w:val="24"/>
        </w:rPr>
        <w:t xml:space="preserve"> first requested marriage authorization on March 15, 2011.</w:t>
      </w:r>
      <w:r w:rsidRPr="00A7760B">
        <w:rPr>
          <w:rStyle w:val="FootnoteReference"/>
          <w:rFonts w:ascii="Times New Roman" w:hAnsi="Times New Roman" w:cs="Times New Roman"/>
          <w:sz w:val="20"/>
          <w:szCs w:val="24"/>
        </w:rPr>
        <w:footnoteReference w:id="161"/>
      </w:r>
      <w:r w:rsidR="00C85A1F" w:rsidRPr="00AE1663">
        <w:rPr>
          <w:rFonts w:ascii="Times New Roman" w:hAnsi="Times New Roman" w:cs="Times New Roman"/>
          <w:sz w:val="24"/>
          <w:szCs w:val="24"/>
        </w:rPr>
        <w:t xml:space="preserve"> Furthermore, Elizabetia</w:t>
      </w:r>
      <w:r w:rsidRPr="00AE1663">
        <w:rPr>
          <w:rFonts w:ascii="Times New Roman" w:hAnsi="Times New Roman" w:cs="Times New Roman"/>
          <w:sz w:val="24"/>
          <w:szCs w:val="24"/>
        </w:rPr>
        <w:t xml:space="preserve">’s multi-tiered review process demonstrates that protective measures against an arbitrary decision were in place. </w:t>
      </w:r>
    </w:p>
    <w:p w:rsidR="00391EA8" w:rsidRPr="00AE1663" w:rsidRDefault="003D1F38" w:rsidP="008D1CC1">
      <w:pPr>
        <w:pStyle w:val="Heading3"/>
        <w:numPr>
          <w:ilvl w:val="0"/>
          <w:numId w:val="15"/>
        </w:numPr>
        <w:spacing w:before="0" w:line="480" w:lineRule="auto"/>
        <w:ind w:left="2160" w:hanging="720"/>
        <w:rPr>
          <w:rFonts w:ascii="Times New Roman" w:hAnsi="Times New Roman" w:cs="Times New Roman"/>
          <w:i/>
          <w:color w:val="auto"/>
          <w:sz w:val="24"/>
          <w:szCs w:val="24"/>
        </w:rPr>
      </w:pPr>
      <w:bookmarkStart w:id="16" w:name="_Toc352003549"/>
      <w:r w:rsidRPr="00AE1663">
        <w:rPr>
          <w:rFonts w:ascii="Times New Roman" w:hAnsi="Times New Roman" w:cs="Times New Roman"/>
          <w:i/>
          <w:color w:val="auto"/>
          <w:sz w:val="24"/>
          <w:szCs w:val="24"/>
        </w:rPr>
        <w:t>A State Has The Right To Legislate According To I</w:t>
      </w:r>
      <w:r w:rsidR="001D778C" w:rsidRPr="00AE1663">
        <w:rPr>
          <w:rFonts w:ascii="Times New Roman" w:hAnsi="Times New Roman" w:cs="Times New Roman"/>
          <w:i/>
          <w:color w:val="auto"/>
          <w:sz w:val="24"/>
          <w:szCs w:val="24"/>
        </w:rPr>
        <w:t>ts Own Interes</w:t>
      </w:r>
      <w:r w:rsidR="008B6A40" w:rsidRPr="00AE1663">
        <w:rPr>
          <w:rFonts w:ascii="Times New Roman" w:hAnsi="Times New Roman" w:cs="Times New Roman"/>
          <w:i/>
          <w:color w:val="auto"/>
          <w:sz w:val="24"/>
          <w:szCs w:val="24"/>
        </w:rPr>
        <w:t>t</w:t>
      </w:r>
      <w:bookmarkEnd w:id="16"/>
    </w:p>
    <w:p w:rsidR="008B6A40" w:rsidRPr="00AE1663" w:rsidRDefault="008B6A40" w:rsidP="00805CDB">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The drafters of the ACHR intended for signatory States to retain their autonomy while still committing to a system of respect for the essential rights of man.</w:t>
      </w:r>
      <w:r w:rsidR="0071238D" w:rsidRPr="00AE1663">
        <w:rPr>
          <w:rFonts w:ascii="Times New Roman" w:hAnsi="Times New Roman" w:cs="Times New Roman"/>
          <w:sz w:val="24"/>
          <w:szCs w:val="24"/>
        </w:rPr>
        <w:t xml:space="preserve"> </w:t>
      </w:r>
      <w:r w:rsidRPr="00AE1663">
        <w:rPr>
          <w:rFonts w:ascii="Times New Roman" w:hAnsi="Times New Roman" w:cs="Times New Roman"/>
          <w:sz w:val="24"/>
          <w:szCs w:val="24"/>
        </w:rPr>
        <w:t>By “reinforcing or complimenting”</w:t>
      </w:r>
      <w:r w:rsidRPr="00A7760B">
        <w:rPr>
          <w:rStyle w:val="FootnoteReference"/>
          <w:rFonts w:ascii="Times New Roman" w:hAnsi="Times New Roman" w:cs="Times New Roman"/>
          <w:sz w:val="20"/>
          <w:szCs w:val="24"/>
        </w:rPr>
        <w:footnoteReference w:id="162"/>
      </w:r>
      <w:r w:rsidRPr="00AE1663">
        <w:rPr>
          <w:rFonts w:ascii="Times New Roman" w:hAnsi="Times New Roman" w:cs="Times New Roman"/>
          <w:sz w:val="24"/>
          <w:szCs w:val="24"/>
        </w:rPr>
        <w:t xml:space="preserve"> the domestic laws of a signatory State, the ACHR acknowledges that States retain a certain degree of independence.</w:t>
      </w:r>
      <w:r w:rsidR="0071238D" w:rsidRPr="00AE1663">
        <w:rPr>
          <w:rFonts w:ascii="Times New Roman" w:hAnsi="Times New Roman" w:cs="Times New Roman"/>
          <w:sz w:val="24"/>
          <w:szCs w:val="24"/>
        </w:rPr>
        <w:t xml:space="preserve"> </w:t>
      </w:r>
      <w:r w:rsidR="000D1014" w:rsidRPr="00AE1663">
        <w:rPr>
          <w:rFonts w:ascii="Times New Roman" w:hAnsi="Times New Roman" w:cs="Times New Roman"/>
          <w:sz w:val="24"/>
          <w:szCs w:val="24"/>
        </w:rPr>
        <w:t>Furthermore,</w:t>
      </w:r>
      <w:r w:rsidRPr="00AE1663">
        <w:rPr>
          <w:rFonts w:ascii="Times New Roman" w:hAnsi="Times New Roman" w:cs="Times New Roman"/>
          <w:sz w:val="24"/>
          <w:szCs w:val="24"/>
        </w:rPr>
        <w:t xml:space="preserve"> the </w:t>
      </w:r>
      <w:r w:rsidR="000D1014" w:rsidRPr="00AE1663">
        <w:rPr>
          <w:rFonts w:ascii="Times New Roman" w:hAnsi="Times New Roman" w:cs="Times New Roman"/>
          <w:sz w:val="24"/>
          <w:szCs w:val="24"/>
        </w:rPr>
        <w:t>ACHR</w:t>
      </w:r>
      <w:r w:rsidRPr="00AE1663">
        <w:rPr>
          <w:rFonts w:ascii="Times New Roman" w:hAnsi="Times New Roman" w:cs="Times New Roman"/>
          <w:sz w:val="24"/>
          <w:szCs w:val="24"/>
        </w:rPr>
        <w:t>’s requirement that parties exhau</w:t>
      </w:r>
      <w:r w:rsidR="000D1014" w:rsidRPr="00AE1663">
        <w:rPr>
          <w:rFonts w:ascii="Times New Roman" w:hAnsi="Times New Roman" w:cs="Times New Roman"/>
          <w:sz w:val="24"/>
          <w:szCs w:val="24"/>
        </w:rPr>
        <w:t xml:space="preserve">st all domestic remedies </w:t>
      </w:r>
      <w:r w:rsidRPr="00AE1663">
        <w:rPr>
          <w:rFonts w:ascii="Times New Roman" w:hAnsi="Times New Roman" w:cs="Times New Roman"/>
          <w:sz w:val="24"/>
          <w:szCs w:val="24"/>
        </w:rPr>
        <w:t>limits the Commission’s jurisdiction, and allows the State to legislate within its own framework.</w:t>
      </w:r>
      <w:r w:rsidRPr="00A7760B">
        <w:rPr>
          <w:rStyle w:val="FootnoteReference"/>
          <w:rFonts w:ascii="Times New Roman" w:hAnsi="Times New Roman" w:cs="Times New Roman"/>
          <w:sz w:val="20"/>
          <w:szCs w:val="24"/>
        </w:rPr>
        <w:footnoteReference w:id="163"/>
      </w:r>
      <w:r w:rsidR="0071238D" w:rsidRPr="00AE1663">
        <w:rPr>
          <w:rFonts w:ascii="Times New Roman" w:hAnsi="Times New Roman" w:cs="Times New Roman"/>
          <w:sz w:val="24"/>
          <w:szCs w:val="24"/>
        </w:rPr>
        <w:t xml:space="preserve"> </w:t>
      </w:r>
      <w:r w:rsidRPr="00AE1663">
        <w:rPr>
          <w:rFonts w:ascii="Times New Roman" w:hAnsi="Times New Roman" w:cs="Times New Roman"/>
          <w:sz w:val="24"/>
          <w:szCs w:val="24"/>
        </w:rPr>
        <w:t>Through jurisprudence, both the IACtHR and the ECtHR have stated that international protections are</w:t>
      </w:r>
      <w:r w:rsidR="00805CDB" w:rsidRPr="00AE1663">
        <w:rPr>
          <w:rFonts w:ascii="Times New Roman" w:hAnsi="Times New Roman" w:cs="Times New Roman"/>
          <w:sz w:val="24"/>
          <w:szCs w:val="24"/>
        </w:rPr>
        <w:t xml:space="preserve"> subsidiary to national systems</w:t>
      </w:r>
      <w:r w:rsidRPr="00AE1663">
        <w:rPr>
          <w:rFonts w:ascii="Times New Roman" w:hAnsi="Times New Roman" w:cs="Times New Roman"/>
          <w:sz w:val="24"/>
          <w:szCs w:val="24"/>
        </w:rPr>
        <w:t>.</w:t>
      </w:r>
      <w:r w:rsidRPr="00A7760B">
        <w:rPr>
          <w:rStyle w:val="FootnoteReference"/>
          <w:rFonts w:ascii="Times New Roman" w:hAnsi="Times New Roman" w:cs="Times New Roman"/>
          <w:sz w:val="20"/>
          <w:szCs w:val="24"/>
        </w:rPr>
        <w:footnoteReference w:id="164"/>
      </w:r>
      <w:r w:rsidR="00805CDB" w:rsidRPr="00AE1663">
        <w:rPr>
          <w:rFonts w:ascii="Times New Roman" w:hAnsi="Times New Roman" w:cs="Times New Roman"/>
          <w:sz w:val="24"/>
          <w:szCs w:val="24"/>
        </w:rPr>
        <w:t xml:space="preserve"> </w:t>
      </w:r>
      <w:r w:rsidR="00C85A1F" w:rsidRPr="00AE1663">
        <w:rPr>
          <w:rFonts w:ascii="Times New Roman" w:hAnsi="Times New Roman" w:cs="Times New Roman"/>
          <w:sz w:val="24"/>
          <w:szCs w:val="24"/>
        </w:rPr>
        <w:t>Article 30 of the ACHR</w:t>
      </w:r>
      <w:r w:rsidRPr="00AE1663">
        <w:rPr>
          <w:rFonts w:ascii="Times New Roman" w:hAnsi="Times New Roman" w:cs="Times New Roman"/>
          <w:sz w:val="24"/>
          <w:szCs w:val="24"/>
        </w:rPr>
        <w:t xml:space="preserve"> provides that certain restrictions on the rights and freedoms recognized by the Convention are possible by laws enacted for reasons of “general interest,” meaning the public order or protection of public morals.</w:t>
      </w:r>
      <w:r w:rsidRPr="00A7760B">
        <w:rPr>
          <w:rStyle w:val="FootnoteReference"/>
          <w:rFonts w:ascii="Times New Roman" w:hAnsi="Times New Roman" w:cs="Times New Roman"/>
          <w:sz w:val="20"/>
          <w:szCs w:val="24"/>
        </w:rPr>
        <w:footnoteReference w:id="165"/>
      </w:r>
      <w:r w:rsidRPr="00AE1663">
        <w:rPr>
          <w:rFonts w:ascii="Times New Roman" w:hAnsi="Times New Roman" w:cs="Times New Roman"/>
          <w:sz w:val="24"/>
          <w:szCs w:val="24"/>
        </w:rPr>
        <w:t xml:space="preserve"> Even if textually absent, it is implicit in privacy rights and the right against discrimination, that state action may be necessary for meeting the just requirements of morality.</w:t>
      </w:r>
      <w:r w:rsidRPr="00A7760B">
        <w:rPr>
          <w:rStyle w:val="FootnoteReference"/>
          <w:rFonts w:ascii="Times New Roman" w:hAnsi="Times New Roman" w:cs="Times New Roman"/>
          <w:sz w:val="20"/>
          <w:szCs w:val="24"/>
        </w:rPr>
        <w:footnoteReference w:id="166"/>
      </w:r>
    </w:p>
    <w:p w:rsidR="008B6A40" w:rsidRPr="00AE1663" w:rsidRDefault="008B6A40" w:rsidP="004B76FF">
      <w:pPr>
        <w:spacing w:after="0" w:line="480" w:lineRule="auto"/>
        <w:ind w:firstLine="720"/>
        <w:rPr>
          <w:rFonts w:ascii="Times New Roman" w:hAnsi="Times New Roman" w:cs="Times New Roman"/>
          <w:color w:val="FF0000"/>
          <w:sz w:val="24"/>
          <w:szCs w:val="24"/>
        </w:rPr>
      </w:pPr>
      <w:r w:rsidRPr="00AE1663">
        <w:rPr>
          <w:rFonts w:ascii="Times New Roman" w:hAnsi="Times New Roman" w:cs="Times New Roman"/>
          <w:sz w:val="24"/>
          <w:szCs w:val="24"/>
        </w:rPr>
        <w:lastRenderedPageBreak/>
        <w:t>Under Chapter IV of the OAS, the rights and duties of a State include “the right to organize itself as it sees fit and to legislate concerning its own interests.”</w:t>
      </w:r>
      <w:r w:rsidRPr="00A7760B">
        <w:rPr>
          <w:rStyle w:val="FootnoteReference"/>
          <w:rFonts w:ascii="Times New Roman" w:hAnsi="Times New Roman" w:cs="Times New Roman"/>
          <w:sz w:val="20"/>
          <w:szCs w:val="24"/>
        </w:rPr>
        <w:footnoteReference w:id="167"/>
      </w:r>
      <w:r w:rsidR="0071238D" w:rsidRPr="00AE1663">
        <w:rPr>
          <w:rFonts w:ascii="Times New Roman" w:hAnsi="Times New Roman" w:cs="Times New Roman"/>
          <w:sz w:val="24"/>
          <w:szCs w:val="24"/>
        </w:rPr>
        <w:t xml:space="preserve"> </w:t>
      </w:r>
      <w:r w:rsidRPr="00AE1663">
        <w:rPr>
          <w:rFonts w:ascii="Times New Roman" w:hAnsi="Times New Roman" w:cs="Times New Roman"/>
          <w:sz w:val="24"/>
          <w:szCs w:val="24"/>
        </w:rPr>
        <w:t>The OAS counsel charges the Commission with furthering human rights set forth in the American Declaration of the Rights and Duties of Man.</w:t>
      </w:r>
      <w:r w:rsidRPr="00A7760B">
        <w:rPr>
          <w:rStyle w:val="FootnoteReference"/>
          <w:rFonts w:ascii="Times New Roman" w:hAnsi="Times New Roman" w:cs="Times New Roman"/>
          <w:sz w:val="20"/>
          <w:szCs w:val="24"/>
        </w:rPr>
        <w:footnoteReference w:id="168"/>
      </w:r>
      <w:r w:rsidRPr="00AE1663">
        <w:rPr>
          <w:rFonts w:ascii="Times New Roman" w:hAnsi="Times New Roman" w:cs="Times New Roman"/>
          <w:sz w:val="24"/>
          <w:szCs w:val="24"/>
        </w:rPr>
        <w:t xml:space="preserve"> </w:t>
      </w:r>
      <w:r w:rsidR="00990BA6" w:rsidRPr="00AE1663">
        <w:rPr>
          <w:rFonts w:ascii="Times New Roman" w:hAnsi="Times New Roman" w:cs="Times New Roman"/>
          <w:sz w:val="24"/>
          <w:szCs w:val="24"/>
        </w:rPr>
        <w:t>The ACHR imports o</w:t>
      </w:r>
      <w:r w:rsidRPr="00AE1663">
        <w:rPr>
          <w:rFonts w:ascii="Times New Roman" w:hAnsi="Times New Roman" w:cs="Times New Roman"/>
          <w:sz w:val="24"/>
          <w:szCs w:val="24"/>
        </w:rPr>
        <w:t xml:space="preserve">bligations of the Declaration </w:t>
      </w:r>
      <w:r w:rsidR="00990BA6" w:rsidRPr="00AE1663">
        <w:rPr>
          <w:rFonts w:ascii="Times New Roman" w:hAnsi="Times New Roman" w:cs="Times New Roman"/>
          <w:sz w:val="24"/>
          <w:szCs w:val="24"/>
        </w:rPr>
        <w:t>b</w:t>
      </w:r>
      <w:r w:rsidRPr="00AE1663">
        <w:rPr>
          <w:rFonts w:ascii="Times New Roman" w:hAnsi="Times New Roman" w:cs="Times New Roman"/>
          <w:sz w:val="24"/>
          <w:szCs w:val="24"/>
        </w:rPr>
        <w:t>ecause no provision of the ACHR can limit the effect of the American Declaration.</w:t>
      </w:r>
      <w:r w:rsidRPr="00A7760B">
        <w:rPr>
          <w:rStyle w:val="FootnoteReference"/>
          <w:rFonts w:ascii="Times New Roman" w:hAnsi="Times New Roman" w:cs="Times New Roman"/>
          <w:sz w:val="20"/>
          <w:szCs w:val="24"/>
        </w:rPr>
        <w:footnoteReference w:id="169"/>
      </w:r>
      <w:r w:rsidRPr="00AE1663">
        <w:rPr>
          <w:rFonts w:ascii="Times New Roman" w:hAnsi="Times New Roman" w:cs="Times New Roman"/>
          <w:sz w:val="24"/>
          <w:szCs w:val="24"/>
        </w:rPr>
        <w:t xml:space="preserve"> </w:t>
      </w:r>
    </w:p>
    <w:p w:rsidR="008B6A40" w:rsidRPr="00AE1663" w:rsidRDefault="008F7CF4" w:rsidP="004B76FF">
      <w:pPr>
        <w:spacing w:after="0" w:line="480" w:lineRule="auto"/>
        <w:ind w:firstLine="720"/>
        <w:rPr>
          <w:rFonts w:ascii="Times New Roman" w:hAnsi="Times New Roman" w:cs="Times New Roman"/>
          <w:b/>
          <w:sz w:val="24"/>
          <w:szCs w:val="24"/>
          <w:u w:val="single"/>
        </w:rPr>
      </w:pPr>
      <w:r w:rsidRPr="00AE1663">
        <w:rPr>
          <w:rFonts w:ascii="Times New Roman" w:hAnsi="Times New Roman" w:cs="Times New Roman"/>
          <w:sz w:val="24"/>
          <w:szCs w:val="24"/>
        </w:rPr>
        <w:t>Petitioner</w:t>
      </w:r>
      <w:r w:rsidR="008B6A40" w:rsidRPr="00AE1663">
        <w:rPr>
          <w:rFonts w:ascii="Times New Roman" w:hAnsi="Times New Roman" w:cs="Times New Roman"/>
          <w:sz w:val="24"/>
          <w:szCs w:val="24"/>
        </w:rPr>
        <w:t>s</w:t>
      </w:r>
      <w:r w:rsidRPr="00AE1663">
        <w:rPr>
          <w:rFonts w:ascii="Times New Roman" w:hAnsi="Times New Roman" w:cs="Times New Roman"/>
          <w:sz w:val="24"/>
          <w:szCs w:val="24"/>
        </w:rPr>
        <w:t>’</w:t>
      </w:r>
      <w:r w:rsidR="008B6A40" w:rsidRPr="00AE1663">
        <w:rPr>
          <w:rFonts w:ascii="Times New Roman" w:hAnsi="Times New Roman" w:cs="Times New Roman"/>
          <w:sz w:val="24"/>
          <w:szCs w:val="24"/>
        </w:rPr>
        <w:t xml:space="preserve"> inability to have </w:t>
      </w:r>
      <w:r w:rsidRPr="00AE1663">
        <w:rPr>
          <w:rFonts w:ascii="Times New Roman" w:hAnsi="Times New Roman" w:cs="Times New Roman"/>
          <w:sz w:val="24"/>
          <w:szCs w:val="24"/>
        </w:rPr>
        <w:t>t</w:t>
      </w:r>
      <w:r w:rsidR="008B6A40" w:rsidRPr="00AE1663">
        <w:rPr>
          <w:rFonts w:ascii="Times New Roman" w:hAnsi="Times New Roman" w:cs="Times New Roman"/>
          <w:sz w:val="24"/>
          <w:szCs w:val="24"/>
        </w:rPr>
        <w:t>he</w:t>
      </w:r>
      <w:r w:rsidRPr="00AE1663">
        <w:rPr>
          <w:rFonts w:ascii="Times New Roman" w:hAnsi="Times New Roman" w:cs="Times New Roman"/>
          <w:sz w:val="24"/>
          <w:szCs w:val="24"/>
        </w:rPr>
        <w:t>i</w:t>
      </w:r>
      <w:r w:rsidR="008B6A40" w:rsidRPr="00AE1663">
        <w:rPr>
          <w:rFonts w:ascii="Times New Roman" w:hAnsi="Times New Roman" w:cs="Times New Roman"/>
          <w:sz w:val="24"/>
          <w:szCs w:val="24"/>
        </w:rPr>
        <w:t xml:space="preserve">r relationship recognized as a “marriage” is not a failure of judicial protection. </w:t>
      </w:r>
      <w:r w:rsidR="00990BA6" w:rsidRPr="00AE1663">
        <w:rPr>
          <w:rFonts w:ascii="Times New Roman" w:hAnsi="Times New Roman" w:cs="Times New Roman"/>
          <w:sz w:val="24"/>
          <w:szCs w:val="24"/>
        </w:rPr>
        <w:t xml:space="preserve">It is necessary for Elizabetia restrict the concept of family in order to respect the values of its community. </w:t>
      </w:r>
      <w:r w:rsidR="008B6A40" w:rsidRPr="00AE1663">
        <w:rPr>
          <w:rFonts w:ascii="Times New Roman" w:hAnsi="Times New Roman" w:cs="Times New Roman"/>
          <w:sz w:val="24"/>
          <w:szCs w:val="24"/>
        </w:rPr>
        <w:t>Elizabetia chose</w:t>
      </w:r>
      <w:r w:rsidRPr="00AE1663">
        <w:rPr>
          <w:rFonts w:ascii="Times New Roman" w:hAnsi="Times New Roman" w:cs="Times New Roman"/>
          <w:sz w:val="24"/>
          <w:szCs w:val="24"/>
        </w:rPr>
        <w:t xml:space="preserve"> to interpret its Constitution</w:t>
      </w:r>
      <w:r w:rsidR="008B6A40" w:rsidRPr="00AE1663">
        <w:rPr>
          <w:rFonts w:ascii="Times New Roman" w:hAnsi="Times New Roman" w:cs="Times New Roman"/>
          <w:sz w:val="24"/>
          <w:szCs w:val="24"/>
        </w:rPr>
        <w:t xml:space="preserve"> in light of public opinion polls showing </w:t>
      </w:r>
      <w:r w:rsidRPr="00AE1663">
        <w:rPr>
          <w:rFonts w:ascii="Times New Roman" w:hAnsi="Times New Roman" w:cs="Times New Roman"/>
          <w:sz w:val="24"/>
          <w:szCs w:val="24"/>
        </w:rPr>
        <w:t xml:space="preserve">general disapproval </w:t>
      </w:r>
      <w:r w:rsidR="008B6A40" w:rsidRPr="00AE1663">
        <w:rPr>
          <w:rFonts w:ascii="Times New Roman" w:hAnsi="Times New Roman" w:cs="Times New Roman"/>
          <w:sz w:val="24"/>
          <w:szCs w:val="24"/>
        </w:rPr>
        <w:t>of same sex couples’ domestic partnerships being equal to marriage.</w:t>
      </w:r>
      <w:r w:rsidR="008B6A40" w:rsidRPr="00A7760B">
        <w:rPr>
          <w:rStyle w:val="FootnoteReference"/>
          <w:rFonts w:ascii="Times New Roman" w:hAnsi="Times New Roman" w:cs="Times New Roman"/>
          <w:sz w:val="20"/>
          <w:szCs w:val="24"/>
        </w:rPr>
        <w:footnoteReference w:id="170"/>
      </w:r>
      <w:r w:rsidR="008B6A40" w:rsidRPr="00AE1663">
        <w:rPr>
          <w:rFonts w:ascii="Times New Roman" w:hAnsi="Times New Roman" w:cs="Times New Roman"/>
          <w:sz w:val="24"/>
          <w:szCs w:val="24"/>
        </w:rPr>
        <w:t xml:space="preserve"> The restriction on same-sex marriage is justified on account of Elizabetia’s democratic voice. </w:t>
      </w:r>
    </w:p>
    <w:p w:rsidR="008F7CF4" w:rsidRPr="00AE1663" w:rsidRDefault="003D1F38" w:rsidP="008F7CF4">
      <w:pPr>
        <w:pStyle w:val="Heading3"/>
        <w:numPr>
          <w:ilvl w:val="0"/>
          <w:numId w:val="15"/>
        </w:numPr>
        <w:spacing w:before="0"/>
        <w:ind w:left="2160" w:hanging="720"/>
        <w:rPr>
          <w:rFonts w:ascii="Times New Roman" w:hAnsi="Times New Roman" w:cs="Times New Roman"/>
          <w:i/>
          <w:color w:val="auto"/>
          <w:sz w:val="24"/>
          <w:szCs w:val="24"/>
        </w:rPr>
      </w:pPr>
      <w:bookmarkStart w:id="17" w:name="_Toc352003550"/>
      <w:r w:rsidRPr="00AE1663">
        <w:rPr>
          <w:rFonts w:ascii="Times New Roman" w:hAnsi="Times New Roman" w:cs="Times New Roman"/>
          <w:i/>
          <w:color w:val="auto"/>
          <w:sz w:val="24"/>
          <w:szCs w:val="24"/>
        </w:rPr>
        <w:t>Elizabetia A</w:t>
      </w:r>
      <w:r w:rsidR="001D778C" w:rsidRPr="00AE1663">
        <w:rPr>
          <w:rFonts w:ascii="Times New Roman" w:hAnsi="Times New Roman" w:cs="Times New Roman"/>
          <w:i/>
          <w:color w:val="auto"/>
          <w:sz w:val="24"/>
          <w:szCs w:val="24"/>
        </w:rPr>
        <w:t xml:space="preserve">llowed </w:t>
      </w:r>
      <w:r w:rsidR="00AB2980" w:rsidRPr="00AE1663">
        <w:rPr>
          <w:rFonts w:ascii="Times New Roman" w:hAnsi="Times New Roman" w:cs="Times New Roman"/>
          <w:i/>
          <w:color w:val="auto"/>
          <w:sz w:val="24"/>
          <w:szCs w:val="24"/>
        </w:rPr>
        <w:t>Petitioners</w:t>
      </w:r>
      <w:r w:rsidRPr="00AE1663">
        <w:rPr>
          <w:rFonts w:ascii="Times New Roman" w:hAnsi="Times New Roman" w:cs="Times New Roman"/>
          <w:i/>
          <w:color w:val="auto"/>
          <w:sz w:val="24"/>
          <w:szCs w:val="24"/>
        </w:rPr>
        <w:t xml:space="preserve"> To Timely Conduct </w:t>
      </w:r>
      <w:r w:rsidR="00AB2980" w:rsidRPr="00AE1663">
        <w:rPr>
          <w:rFonts w:ascii="Times New Roman" w:hAnsi="Times New Roman" w:cs="Times New Roman"/>
          <w:i/>
          <w:color w:val="auto"/>
          <w:sz w:val="24"/>
          <w:szCs w:val="24"/>
        </w:rPr>
        <w:t>Their</w:t>
      </w:r>
      <w:r w:rsidR="001D778C" w:rsidRPr="00AE1663">
        <w:rPr>
          <w:rFonts w:ascii="Times New Roman" w:hAnsi="Times New Roman" w:cs="Times New Roman"/>
          <w:i/>
          <w:color w:val="auto"/>
          <w:sz w:val="24"/>
          <w:szCs w:val="24"/>
        </w:rPr>
        <w:t xml:space="preserve"> Administrative Proceedings</w:t>
      </w:r>
      <w:bookmarkEnd w:id="17"/>
    </w:p>
    <w:p w:rsidR="008B6A40" w:rsidRPr="00AE1663" w:rsidRDefault="008B6A40" w:rsidP="008B6A40">
      <w:pPr>
        <w:autoSpaceDE w:val="0"/>
        <w:autoSpaceDN w:val="0"/>
        <w:adjustRightInd w:val="0"/>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The IACtHR examines reasonableness of the proceeding in light of four criteria: a) the complexity of the case, b) the procedural activity of the interested party, c) the conduct of the judicial authorities, and d) the adverse effect of the duration of the proceeding.</w:t>
      </w:r>
      <w:r w:rsidRPr="00A7760B">
        <w:rPr>
          <w:rFonts w:ascii="Times New Roman" w:hAnsi="Times New Roman" w:cs="Times New Roman"/>
          <w:sz w:val="20"/>
          <w:szCs w:val="24"/>
          <w:vertAlign w:val="superscript"/>
        </w:rPr>
        <w:footnoteReference w:id="171"/>
      </w:r>
      <w:r w:rsidRPr="00AE1663">
        <w:rPr>
          <w:rFonts w:ascii="Times New Roman" w:hAnsi="Times New Roman" w:cs="Times New Roman"/>
          <w:sz w:val="24"/>
          <w:szCs w:val="24"/>
        </w:rPr>
        <w:t xml:space="preserve"> By satisfying each element, E</w:t>
      </w:r>
      <w:r w:rsidR="008F7CF4" w:rsidRPr="00AE1663">
        <w:rPr>
          <w:rFonts w:ascii="Times New Roman" w:hAnsi="Times New Roman" w:cs="Times New Roman"/>
          <w:sz w:val="24"/>
          <w:szCs w:val="24"/>
        </w:rPr>
        <w:t>lizabetia administered Petitioner</w:t>
      </w:r>
      <w:r w:rsidRPr="00AE1663">
        <w:rPr>
          <w:rFonts w:ascii="Times New Roman" w:hAnsi="Times New Roman" w:cs="Times New Roman"/>
          <w:sz w:val="24"/>
          <w:szCs w:val="24"/>
        </w:rPr>
        <w:t>s</w:t>
      </w:r>
      <w:r w:rsidR="008F7CF4" w:rsidRPr="00AE1663">
        <w:rPr>
          <w:rFonts w:ascii="Times New Roman" w:hAnsi="Times New Roman" w:cs="Times New Roman"/>
          <w:sz w:val="24"/>
          <w:szCs w:val="24"/>
        </w:rPr>
        <w:t>’</w:t>
      </w:r>
      <w:r w:rsidRPr="00AE1663">
        <w:rPr>
          <w:rFonts w:ascii="Times New Roman" w:hAnsi="Times New Roman" w:cs="Times New Roman"/>
          <w:sz w:val="24"/>
          <w:szCs w:val="24"/>
        </w:rPr>
        <w:t xml:space="preserve"> claim in a reasonable time.</w:t>
      </w:r>
    </w:p>
    <w:p w:rsidR="008B6A40" w:rsidRPr="00AE1663" w:rsidRDefault="008F7CF4" w:rsidP="008B6A40">
      <w:pPr>
        <w:autoSpaceDE w:val="0"/>
        <w:autoSpaceDN w:val="0"/>
        <w:adjustRightInd w:val="0"/>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Petitioners’</w:t>
      </w:r>
      <w:r w:rsidR="008B6A40" w:rsidRPr="00AE1663">
        <w:rPr>
          <w:rFonts w:ascii="Times New Roman" w:hAnsi="Times New Roman" w:cs="Times New Roman"/>
          <w:sz w:val="24"/>
          <w:szCs w:val="24"/>
        </w:rPr>
        <w:t xml:space="preserve"> own procedural conduct did not i</w:t>
      </w:r>
      <w:r w:rsidRPr="00AE1663">
        <w:rPr>
          <w:rFonts w:ascii="Times New Roman" w:hAnsi="Times New Roman" w:cs="Times New Roman"/>
          <w:sz w:val="24"/>
          <w:szCs w:val="24"/>
        </w:rPr>
        <w:t>mpact the proceeding because they</w:t>
      </w:r>
      <w:r w:rsidR="008B6A40" w:rsidRPr="00AE1663">
        <w:rPr>
          <w:rFonts w:ascii="Times New Roman" w:hAnsi="Times New Roman" w:cs="Times New Roman"/>
          <w:sz w:val="24"/>
          <w:szCs w:val="24"/>
        </w:rPr>
        <w:t xml:space="preserve"> filed everything in a timely manner.</w:t>
      </w:r>
      <w:r w:rsidR="008B6A40" w:rsidRPr="00A7760B">
        <w:rPr>
          <w:rFonts w:ascii="Times New Roman" w:hAnsi="Times New Roman" w:cs="Times New Roman"/>
          <w:sz w:val="20"/>
          <w:szCs w:val="24"/>
          <w:vertAlign w:val="superscript"/>
        </w:rPr>
        <w:footnoteReference w:id="172"/>
      </w:r>
      <w:r w:rsidR="008B6A40" w:rsidRPr="00AE1663">
        <w:rPr>
          <w:rFonts w:ascii="Times New Roman" w:hAnsi="Times New Roman" w:cs="Times New Roman"/>
          <w:sz w:val="24"/>
          <w:szCs w:val="24"/>
        </w:rPr>
        <w:t xml:space="preserve"> It would be unreasonable to find that judicial authorities delayed the proceedings, given the eleven m</w:t>
      </w:r>
      <w:r w:rsidRPr="00AE1663">
        <w:rPr>
          <w:rFonts w:ascii="Times New Roman" w:hAnsi="Times New Roman" w:cs="Times New Roman"/>
          <w:sz w:val="24"/>
          <w:szCs w:val="24"/>
        </w:rPr>
        <w:t>onths taken to review the claim. Had Petitioners</w:t>
      </w:r>
      <w:r w:rsidR="008B6A40" w:rsidRPr="00AE1663">
        <w:rPr>
          <w:rFonts w:ascii="Times New Roman" w:hAnsi="Times New Roman" w:cs="Times New Roman"/>
          <w:sz w:val="24"/>
          <w:szCs w:val="24"/>
        </w:rPr>
        <w:t xml:space="preserve"> submitted </w:t>
      </w:r>
      <w:r w:rsidRPr="00AE1663">
        <w:rPr>
          <w:rFonts w:ascii="Times New Roman" w:hAnsi="Times New Roman" w:cs="Times New Roman"/>
          <w:sz w:val="24"/>
          <w:szCs w:val="24"/>
        </w:rPr>
        <w:t>t</w:t>
      </w:r>
      <w:r w:rsidR="008B6A40" w:rsidRPr="00AE1663">
        <w:rPr>
          <w:rFonts w:ascii="Times New Roman" w:hAnsi="Times New Roman" w:cs="Times New Roman"/>
          <w:sz w:val="24"/>
          <w:szCs w:val="24"/>
        </w:rPr>
        <w:t>he</w:t>
      </w:r>
      <w:r w:rsidRPr="00AE1663">
        <w:rPr>
          <w:rFonts w:ascii="Times New Roman" w:hAnsi="Times New Roman" w:cs="Times New Roman"/>
          <w:sz w:val="24"/>
          <w:szCs w:val="24"/>
        </w:rPr>
        <w:t>i</w:t>
      </w:r>
      <w:r w:rsidR="008B6A40" w:rsidRPr="00AE1663">
        <w:rPr>
          <w:rFonts w:ascii="Times New Roman" w:hAnsi="Times New Roman" w:cs="Times New Roman"/>
          <w:sz w:val="24"/>
          <w:szCs w:val="24"/>
        </w:rPr>
        <w:t xml:space="preserve">r case before the Constitutional Chamber of the Supreme Court of Justice in an </w:t>
      </w:r>
      <w:r w:rsidR="008B6A40" w:rsidRPr="00AE1663">
        <w:rPr>
          <w:rFonts w:ascii="Times New Roman" w:hAnsi="Times New Roman" w:cs="Times New Roman"/>
          <w:sz w:val="24"/>
          <w:szCs w:val="24"/>
        </w:rPr>
        <w:lastRenderedPageBreak/>
        <w:t>unconstitutionality action, the judicial auth</w:t>
      </w:r>
      <w:r w:rsidR="00422E7E" w:rsidRPr="00AE1663">
        <w:rPr>
          <w:rFonts w:ascii="Times New Roman" w:hAnsi="Times New Roman" w:cs="Times New Roman"/>
          <w:sz w:val="24"/>
          <w:szCs w:val="24"/>
        </w:rPr>
        <w:t>ority may</w:t>
      </w:r>
      <w:r w:rsidR="008B6A40" w:rsidRPr="00AE1663">
        <w:rPr>
          <w:rFonts w:ascii="Times New Roman" w:hAnsi="Times New Roman" w:cs="Times New Roman"/>
          <w:sz w:val="24"/>
          <w:szCs w:val="24"/>
        </w:rPr>
        <w:t xml:space="preserve"> have cons</w:t>
      </w:r>
      <w:r w:rsidR="00422E7E" w:rsidRPr="00AE1663">
        <w:rPr>
          <w:rFonts w:ascii="Times New Roman" w:hAnsi="Times New Roman" w:cs="Times New Roman"/>
          <w:sz w:val="24"/>
          <w:szCs w:val="24"/>
        </w:rPr>
        <w:t>idered the more complex issue regarding</w:t>
      </w:r>
      <w:r w:rsidR="008B6A40" w:rsidRPr="00AE1663">
        <w:rPr>
          <w:rFonts w:ascii="Times New Roman" w:hAnsi="Times New Roman" w:cs="Times New Roman"/>
          <w:sz w:val="24"/>
          <w:szCs w:val="24"/>
        </w:rPr>
        <w:t xml:space="preserve"> the constitutionality of Article 396.</w:t>
      </w:r>
      <w:r w:rsidR="008B6A40" w:rsidRPr="00A7760B">
        <w:rPr>
          <w:rFonts w:ascii="Times New Roman" w:hAnsi="Times New Roman" w:cs="Times New Roman"/>
          <w:sz w:val="20"/>
          <w:szCs w:val="24"/>
          <w:vertAlign w:val="superscript"/>
        </w:rPr>
        <w:footnoteReference w:id="173"/>
      </w:r>
      <w:r w:rsidR="008B6A40" w:rsidRPr="00AE1663">
        <w:rPr>
          <w:rFonts w:ascii="Times New Roman" w:hAnsi="Times New Roman" w:cs="Times New Roman"/>
          <w:sz w:val="24"/>
          <w:szCs w:val="24"/>
        </w:rPr>
        <w:t xml:space="preserve"> However, for Court No.3, </w:t>
      </w:r>
      <w:r w:rsidR="00AB2980" w:rsidRPr="00AE1663">
        <w:rPr>
          <w:rFonts w:ascii="Times New Roman" w:hAnsi="Times New Roman" w:cs="Times New Roman"/>
          <w:sz w:val="24"/>
          <w:szCs w:val="24"/>
        </w:rPr>
        <w:t>Petitioners’</w:t>
      </w:r>
      <w:r w:rsidR="008B6A40" w:rsidRPr="00AE1663">
        <w:rPr>
          <w:rFonts w:ascii="Times New Roman" w:hAnsi="Times New Roman" w:cs="Times New Roman"/>
          <w:sz w:val="24"/>
          <w:szCs w:val="24"/>
        </w:rPr>
        <w:t xml:space="preserve"> case was not complex because the facts of </w:t>
      </w:r>
      <w:r w:rsidR="00AB2980" w:rsidRPr="00AE1663">
        <w:rPr>
          <w:rFonts w:ascii="Times New Roman" w:hAnsi="Times New Roman" w:cs="Times New Roman"/>
          <w:sz w:val="24"/>
          <w:szCs w:val="24"/>
        </w:rPr>
        <w:t>their</w:t>
      </w:r>
      <w:r w:rsidR="008B6A40" w:rsidRPr="00AE1663">
        <w:rPr>
          <w:rFonts w:ascii="Times New Roman" w:hAnsi="Times New Roman" w:cs="Times New Roman"/>
          <w:sz w:val="24"/>
          <w:szCs w:val="24"/>
        </w:rPr>
        <w:t xml:space="preserve"> petition did not reflect any bias of the judges or manifest arbitrariness.</w:t>
      </w:r>
      <w:r w:rsidR="008B6A40" w:rsidRPr="00A7760B">
        <w:rPr>
          <w:rFonts w:ascii="Times New Roman" w:hAnsi="Times New Roman" w:cs="Times New Roman"/>
          <w:sz w:val="20"/>
          <w:szCs w:val="24"/>
          <w:vertAlign w:val="superscript"/>
        </w:rPr>
        <w:footnoteReference w:id="174"/>
      </w:r>
      <w:r w:rsidRPr="00AE1663">
        <w:rPr>
          <w:rFonts w:ascii="Times New Roman" w:hAnsi="Times New Roman" w:cs="Times New Roman"/>
          <w:sz w:val="24"/>
          <w:szCs w:val="24"/>
        </w:rPr>
        <w:t xml:space="preserve"> Furthermore, </w:t>
      </w:r>
      <w:r w:rsidR="008B6A40" w:rsidRPr="00AE1663">
        <w:rPr>
          <w:rFonts w:ascii="Times New Roman" w:hAnsi="Times New Roman" w:cs="Times New Roman"/>
          <w:sz w:val="24"/>
          <w:szCs w:val="24"/>
        </w:rPr>
        <w:t xml:space="preserve">Court No.7 was attentive and responsive when it explained the reasonable restriction to marriage in Elizabetia within five months of </w:t>
      </w:r>
      <w:r w:rsidR="00AB2980" w:rsidRPr="00AE1663">
        <w:rPr>
          <w:rFonts w:ascii="Times New Roman" w:hAnsi="Times New Roman" w:cs="Times New Roman"/>
          <w:sz w:val="24"/>
          <w:szCs w:val="24"/>
        </w:rPr>
        <w:t>the</w:t>
      </w:r>
      <w:r w:rsidR="008B6A40" w:rsidRPr="00AE1663">
        <w:rPr>
          <w:rFonts w:ascii="Times New Roman" w:hAnsi="Times New Roman" w:cs="Times New Roman"/>
          <w:sz w:val="24"/>
          <w:szCs w:val="24"/>
        </w:rPr>
        <w:t xml:space="preserve"> initial petition for marriage.</w:t>
      </w:r>
      <w:r w:rsidR="008B6A40" w:rsidRPr="00A7760B">
        <w:rPr>
          <w:rFonts w:ascii="Times New Roman" w:hAnsi="Times New Roman" w:cs="Times New Roman"/>
          <w:sz w:val="20"/>
          <w:szCs w:val="24"/>
          <w:vertAlign w:val="superscript"/>
        </w:rPr>
        <w:footnoteReference w:id="175"/>
      </w:r>
      <w:r w:rsidR="0071238D" w:rsidRPr="00AE1663">
        <w:rPr>
          <w:rFonts w:ascii="Times New Roman" w:hAnsi="Times New Roman" w:cs="Times New Roman"/>
          <w:sz w:val="24"/>
          <w:szCs w:val="24"/>
        </w:rPr>
        <w:t xml:space="preserve"> </w:t>
      </w:r>
    </w:p>
    <w:p w:rsidR="001D778C" w:rsidRPr="00AE1663" w:rsidRDefault="00985610" w:rsidP="00985610">
      <w:pPr>
        <w:pStyle w:val="ListParagraph"/>
        <w:numPr>
          <w:ilvl w:val="0"/>
          <w:numId w:val="7"/>
        </w:numPr>
        <w:spacing w:after="0" w:line="240" w:lineRule="auto"/>
        <w:ind w:left="720"/>
        <w:rPr>
          <w:rFonts w:ascii="Times New Roman" w:hAnsi="Times New Roman" w:cs="Times New Roman"/>
          <w:sz w:val="24"/>
          <w:szCs w:val="24"/>
        </w:rPr>
      </w:pPr>
      <w:r w:rsidRPr="00AE1663">
        <w:rPr>
          <w:rFonts w:ascii="Times New Roman" w:hAnsi="Times New Roman" w:cs="Times New Roman"/>
          <w:b/>
          <w:sz w:val="24"/>
          <w:szCs w:val="24"/>
        </w:rPr>
        <w:t>ELIZABETIA VALIDLY DEFINED “MARRIAGE” TO THE RESTRICTION OF SAME-SEX MARRIAGE PURSUANT TO DEMOCRATIC VALUES</w:t>
      </w:r>
    </w:p>
    <w:p w:rsidR="00A219A6" w:rsidRPr="00AE1663" w:rsidRDefault="00A219A6" w:rsidP="00A219A6">
      <w:pPr>
        <w:pStyle w:val="ListParagraph"/>
        <w:spacing w:after="0" w:line="240" w:lineRule="auto"/>
        <w:rPr>
          <w:rFonts w:ascii="Times New Roman" w:hAnsi="Times New Roman" w:cs="Times New Roman"/>
          <w:sz w:val="24"/>
          <w:szCs w:val="24"/>
        </w:rPr>
      </w:pPr>
    </w:p>
    <w:p w:rsidR="008B6A40" w:rsidRPr="00AE1663" w:rsidRDefault="008B6A40" w:rsidP="008B6A40">
      <w:pPr>
        <w:autoSpaceDE w:val="0"/>
        <w:autoSpaceDN w:val="0"/>
        <w:adjustRightInd w:val="0"/>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There is no</w:t>
      </w:r>
      <w:r w:rsidRPr="00AE1663">
        <w:rPr>
          <w:rFonts w:ascii="Times New Roman" w:hAnsi="Times New Roman" w:cs="Times New Roman"/>
          <w:i/>
          <w:sz w:val="24"/>
          <w:szCs w:val="24"/>
        </w:rPr>
        <w:t xml:space="preserve"> </w:t>
      </w:r>
      <w:r w:rsidRPr="00AE1663">
        <w:rPr>
          <w:rFonts w:ascii="Times New Roman" w:hAnsi="Times New Roman" w:cs="Times New Roman"/>
          <w:sz w:val="24"/>
          <w:szCs w:val="24"/>
        </w:rPr>
        <w:t>requirement under the Convention that states permit same sex couples to marry. This requirement is also not evident in other international treaties and conventions, including the ICCPR and the ECHR.</w:t>
      </w:r>
      <w:r w:rsidRPr="00A7760B">
        <w:rPr>
          <w:rFonts w:ascii="Times New Roman" w:hAnsi="Times New Roman" w:cs="Times New Roman"/>
          <w:sz w:val="20"/>
          <w:szCs w:val="24"/>
          <w:vertAlign w:val="superscript"/>
        </w:rPr>
        <w:footnoteReference w:id="176"/>
      </w:r>
      <w:r w:rsidRPr="00AE1663">
        <w:rPr>
          <w:rFonts w:ascii="Times New Roman" w:hAnsi="Times New Roman" w:cs="Times New Roman"/>
          <w:sz w:val="24"/>
          <w:szCs w:val="24"/>
        </w:rPr>
        <w:t xml:space="preserve"> Lack of using general terms</w:t>
      </w:r>
      <w:r w:rsidR="00A219A6" w:rsidRPr="00AE1663">
        <w:rPr>
          <w:rFonts w:ascii="Times New Roman" w:hAnsi="Times New Roman" w:cs="Times New Roman"/>
          <w:sz w:val="24"/>
          <w:szCs w:val="24"/>
        </w:rPr>
        <w:t xml:space="preserve"> in the ICCPR</w:t>
      </w:r>
      <w:r w:rsidRPr="00AE1663">
        <w:rPr>
          <w:rFonts w:ascii="Times New Roman" w:hAnsi="Times New Roman" w:cs="Times New Roman"/>
          <w:sz w:val="24"/>
          <w:szCs w:val="24"/>
        </w:rPr>
        <w:t xml:space="preserve"> </w:t>
      </w:r>
      <w:r w:rsidR="00422E7E" w:rsidRPr="00AE1663">
        <w:rPr>
          <w:rFonts w:ascii="Times New Roman" w:hAnsi="Times New Roman" w:cs="Times New Roman"/>
          <w:sz w:val="24"/>
          <w:szCs w:val="24"/>
        </w:rPr>
        <w:t xml:space="preserve">in regards to marriage </w:t>
      </w:r>
      <w:r w:rsidRPr="00AE1663">
        <w:rPr>
          <w:rFonts w:ascii="Times New Roman" w:hAnsi="Times New Roman" w:cs="Times New Roman"/>
          <w:sz w:val="24"/>
          <w:szCs w:val="24"/>
        </w:rPr>
        <w:t>indicates that the treaty obligation</w:t>
      </w:r>
      <w:r w:rsidR="00A219A6" w:rsidRPr="00AE1663">
        <w:rPr>
          <w:rFonts w:ascii="Times New Roman" w:hAnsi="Times New Roman" w:cs="Times New Roman"/>
          <w:sz w:val="24"/>
          <w:szCs w:val="24"/>
        </w:rPr>
        <w:t xml:space="preserve"> of State parties </w:t>
      </w:r>
      <w:r w:rsidR="00422E7E" w:rsidRPr="00AE1663">
        <w:rPr>
          <w:rFonts w:ascii="Times New Roman" w:hAnsi="Times New Roman" w:cs="Times New Roman"/>
          <w:sz w:val="24"/>
          <w:szCs w:val="24"/>
        </w:rPr>
        <w:t>is to extend the right to marriage only upon</w:t>
      </w:r>
      <w:r w:rsidRPr="00AE1663">
        <w:rPr>
          <w:rFonts w:ascii="Times New Roman" w:hAnsi="Times New Roman" w:cs="Times New Roman"/>
          <w:sz w:val="24"/>
          <w:szCs w:val="24"/>
        </w:rPr>
        <w:t xml:space="preserve"> union</w:t>
      </w:r>
      <w:r w:rsidR="00422E7E" w:rsidRPr="00AE1663">
        <w:rPr>
          <w:rFonts w:ascii="Times New Roman" w:hAnsi="Times New Roman" w:cs="Times New Roman"/>
          <w:sz w:val="24"/>
          <w:szCs w:val="24"/>
        </w:rPr>
        <w:t>s</w:t>
      </w:r>
      <w:r w:rsidRPr="00AE1663">
        <w:rPr>
          <w:rFonts w:ascii="Times New Roman" w:hAnsi="Times New Roman" w:cs="Times New Roman"/>
          <w:sz w:val="24"/>
          <w:szCs w:val="24"/>
        </w:rPr>
        <w:t xml:space="preserve"> between a man and a woman.</w:t>
      </w:r>
      <w:r w:rsidRPr="00A7760B">
        <w:rPr>
          <w:rFonts w:ascii="Times New Roman" w:hAnsi="Times New Roman" w:cs="Times New Roman"/>
          <w:sz w:val="20"/>
          <w:szCs w:val="24"/>
          <w:vertAlign w:val="superscript"/>
        </w:rPr>
        <w:footnoteReference w:id="177"/>
      </w:r>
      <w:r w:rsidRPr="00AE1663">
        <w:rPr>
          <w:rFonts w:ascii="Times New Roman" w:hAnsi="Times New Roman" w:cs="Times New Roman"/>
          <w:sz w:val="24"/>
          <w:szCs w:val="24"/>
        </w:rPr>
        <w:t xml:space="preserve"> According to the interpretative maxim, </w:t>
      </w:r>
      <w:r w:rsidRPr="00AE1663">
        <w:rPr>
          <w:rFonts w:ascii="Times New Roman" w:hAnsi="Times New Roman" w:cs="Times New Roman"/>
          <w:i/>
          <w:iCs/>
          <w:sz w:val="24"/>
          <w:szCs w:val="24"/>
        </w:rPr>
        <w:t>generalia specialibus non derogant</w:t>
      </w:r>
      <w:r w:rsidRPr="00AE1663">
        <w:rPr>
          <w:rFonts w:ascii="Times New Roman" w:hAnsi="Times New Roman" w:cs="Times New Roman"/>
          <w:sz w:val="24"/>
          <w:szCs w:val="24"/>
        </w:rPr>
        <w:t>, the general provisions of the Convention should not detract or contradict the more specific meaning of marriage found in Article 17(2) of the Convention.</w:t>
      </w:r>
      <w:r w:rsidRPr="00A7760B">
        <w:rPr>
          <w:rFonts w:ascii="Times New Roman" w:hAnsi="Times New Roman" w:cs="Times New Roman"/>
          <w:sz w:val="20"/>
          <w:szCs w:val="24"/>
          <w:vertAlign w:val="superscript"/>
        </w:rPr>
        <w:footnoteReference w:id="178"/>
      </w:r>
      <w:r w:rsidRPr="00AE1663">
        <w:rPr>
          <w:rFonts w:ascii="Times New Roman" w:hAnsi="Times New Roman" w:cs="Times New Roman"/>
          <w:sz w:val="24"/>
          <w:szCs w:val="24"/>
        </w:rPr>
        <w:t xml:space="preserve"> </w:t>
      </w:r>
    </w:p>
    <w:p w:rsidR="00A219A6" w:rsidRPr="00AE1663" w:rsidRDefault="008B6A40" w:rsidP="008B6A40">
      <w:pPr>
        <w:autoSpaceDE w:val="0"/>
        <w:autoSpaceDN w:val="0"/>
        <w:adjustRightInd w:val="0"/>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 xml:space="preserve">In </w:t>
      </w:r>
      <w:r w:rsidRPr="00AE1663">
        <w:rPr>
          <w:rFonts w:ascii="Times New Roman" w:hAnsi="Times New Roman" w:cs="Times New Roman"/>
          <w:i/>
          <w:iCs/>
          <w:sz w:val="24"/>
          <w:szCs w:val="24"/>
        </w:rPr>
        <w:t>Joslin</w:t>
      </w:r>
      <w:r w:rsidR="00444CA0" w:rsidRPr="00AE1663">
        <w:rPr>
          <w:rFonts w:ascii="Times New Roman" w:hAnsi="Times New Roman" w:cs="Times New Roman"/>
          <w:i/>
          <w:iCs/>
          <w:sz w:val="24"/>
          <w:szCs w:val="24"/>
        </w:rPr>
        <w:fldChar w:fldCharType="begin"/>
      </w:r>
      <w:r w:rsidR="00706568" w:rsidRPr="00AE1663">
        <w:rPr>
          <w:rFonts w:ascii="Times New Roman" w:hAnsi="Times New Roman" w:cs="Times New Roman"/>
          <w:i/>
          <w:iCs/>
          <w:sz w:val="24"/>
          <w:szCs w:val="24"/>
        </w:rPr>
        <w:instrText xml:space="preserve"> TA \s "Joslin v. New Zealand" </w:instrText>
      </w:r>
      <w:r w:rsidR="00444CA0" w:rsidRPr="00AE1663">
        <w:rPr>
          <w:rFonts w:ascii="Times New Roman" w:hAnsi="Times New Roman" w:cs="Times New Roman"/>
          <w:i/>
          <w:iCs/>
          <w:sz w:val="24"/>
          <w:szCs w:val="24"/>
        </w:rPr>
        <w:fldChar w:fldCharType="end"/>
      </w:r>
      <w:r w:rsidRPr="00AE1663">
        <w:rPr>
          <w:rFonts w:ascii="Times New Roman" w:hAnsi="Times New Roman" w:cs="Times New Roman"/>
          <w:sz w:val="24"/>
          <w:szCs w:val="24"/>
        </w:rPr>
        <w:t>,</w:t>
      </w:r>
      <w:r w:rsidR="00A219A6" w:rsidRPr="00AE1663">
        <w:rPr>
          <w:rFonts w:ascii="Times New Roman" w:hAnsi="Times New Roman" w:cs="Times New Roman"/>
          <w:sz w:val="24"/>
          <w:szCs w:val="24"/>
        </w:rPr>
        <w:t xml:space="preserve"> where</w:t>
      </w:r>
      <w:r w:rsidRPr="00AE1663">
        <w:rPr>
          <w:rFonts w:ascii="Times New Roman" w:hAnsi="Times New Roman" w:cs="Times New Roman"/>
          <w:sz w:val="24"/>
          <w:szCs w:val="24"/>
        </w:rPr>
        <w:t xml:space="preserve"> the Human Rights Committee found no requirement of its signatory States to permit gay marriage</w:t>
      </w:r>
      <w:r w:rsidR="00A219A6" w:rsidRPr="00AE1663">
        <w:rPr>
          <w:rFonts w:ascii="Times New Roman" w:hAnsi="Times New Roman" w:cs="Times New Roman"/>
          <w:sz w:val="24"/>
          <w:szCs w:val="24"/>
        </w:rPr>
        <w:t>,</w:t>
      </w:r>
      <w:r w:rsidRPr="00A7760B">
        <w:rPr>
          <w:rFonts w:ascii="Times New Roman" w:hAnsi="Times New Roman" w:cs="Times New Roman"/>
          <w:sz w:val="20"/>
          <w:szCs w:val="24"/>
          <w:vertAlign w:val="superscript"/>
        </w:rPr>
        <w:footnoteReference w:id="179"/>
      </w:r>
      <w:r w:rsidR="00A219A6" w:rsidRPr="00AE1663">
        <w:rPr>
          <w:rFonts w:ascii="Times New Roman" w:hAnsi="Times New Roman" w:cs="Times New Roman"/>
          <w:sz w:val="24"/>
          <w:szCs w:val="24"/>
        </w:rPr>
        <w:t xml:space="preserve"> t</w:t>
      </w:r>
      <w:r w:rsidRPr="00AE1663">
        <w:rPr>
          <w:rFonts w:ascii="Times New Roman" w:hAnsi="Times New Roman" w:cs="Times New Roman"/>
          <w:sz w:val="24"/>
          <w:szCs w:val="24"/>
        </w:rPr>
        <w:t>he Registrar-General indicated it was acting lawfully in interpreting New Zealand’s Marriage Act as confined to marriage between a man and a woman.</w:t>
      </w:r>
      <w:r w:rsidRPr="00A7760B">
        <w:rPr>
          <w:rFonts w:ascii="Times New Roman" w:hAnsi="Times New Roman" w:cs="Times New Roman"/>
          <w:sz w:val="20"/>
          <w:szCs w:val="24"/>
          <w:vertAlign w:val="superscript"/>
        </w:rPr>
        <w:footnoteReference w:id="180"/>
      </w:r>
      <w:r w:rsidR="007D7629" w:rsidRPr="00AE1663">
        <w:rPr>
          <w:rFonts w:ascii="Times New Roman" w:hAnsi="Times New Roman" w:cs="Times New Roman"/>
          <w:sz w:val="24"/>
          <w:szCs w:val="24"/>
        </w:rPr>
        <w:t xml:space="preserve"> The nature of the couple, not the individual, is determinative in a state’s decision not </w:t>
      </w:r>
      <w:r w:rsidR="007D7629" w:rsidRPr="00AE1663">
        <w:rPr>
          <w:rFonts w:ascii="Times New Roman" w:hAnsi="Times New Roman" w:cs="Times New Roman"/>
          <w:sz w:val="24"/>
          <w:szCs w:val="24"/>
        </w:rPr>
        <w:lastRenderedPageBreak/>
        <w:t>to allow same-sex marriage</w:t>
      </w:r>
      <w:r w:rsidR="00FF5A92" w:rsidRPr="00AE1663">
        <w:rPr>
          <w:rFonts w:ascii="Times New Roman" w:hAnsi="Times New Roman" w:cs="Times New Roman"/>
          <w:sz w:val="24"/>
          <w:szCs w:val="24"/>
        </w:rPr>
        <w:t>.</w:t>
      </w:r>
      <w:r w:rsidR="00FF5A92" w:rsidRPr="00A7760B">
        <w:rPr>
          <w:rStyle w:val="FootnoteReference"/>
          <w:rFonts w:ascii="Times New Roman" w:hAnsi="Times New Roman" w:cs="Times New Roman"/>
          <w:sz w:val="20"/>
          <w:szCs w:val="24"/>
        </w:rPr>
        <w:footnoteReference w:id="181"/>
      </w:r>
      <w:r w:rsidR="00805CDB" w:rsidRPr="00AE1663">
        <w:rPr>
          <w:rFonts w:ascii="Times New Roman" w:hAnsi="Times New Roman" w:cs="Times New Roman"/>
          <w:sz w:val="24"/>
          <w:szCs w:val="24"/>
        </w:rPr>
        <w:t xml:space="preserve"> </w:t>
      </w:r>
      <w:r w:rsidRPr="00AE1663">
        <w:rPr>
          <w:rFonts w:ascii="Times New Roman" w:hAnsi="Times New Roman" w:cs="Times New Roman"/>
          <w:sz w:val="24"/>
          <w:szCs w:val="24"/>
        </w:rPr>
        <w:t>The principle of “non-discrimination” under ICCPR Article 23(2) does not mean “identical treatment.”</w:t>
      </w:r>
      <w:r w:rsidRPr="00A7760B">
        <w:rPr>
          <w:rFonts w:ascii="Times New Roman" w:hAnsi="Times New Roman" w:cs="Times New Roman"/>
          <w:sz w:val="20"/>
          <w:szCs w:val="24"/>
          <w:vertAlign w:val="superscript"/>
        </w:rPr>
        <w:footnoteReference w:id="182"/>
      </w:r>
    </w:p>
    <w:p w:rsidR="008B6A40" w:rsidRPr="00AE1663" w:rsidRDefault="008B6A40" w:rsidP="008B6A40">
      <w:pPr>
        <w:autoSpaceDE w:val="0"/>
        <w:autoSpaceDN w:val="0"/>
        <w:adjustRightInd w:val="0"/>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 xml:space="preserve">When discrimination in a case refers to unequal protection by domestic laws, </w:t>
      </w:r>
      <w:r w:rsidR="00990BA6" w:rsidRPr="00AE1663">
        <w:rPr>
          <w:rFonts w:ascii="Times New Roman" w:hAnsi="Times New Roman" w:cs="Times New Roman"/>
          <w:sz w:val="24"/>
          <w:szCs w:val="24"/>
        </w:rPr>
        <w:t xml:space="preserve">the IACtHR must analyze the </w:t>
      </w:r>
      <w:r w:rsidRPr="00AE1663">
        <w:rPr>
          <w:rFonts w:ascii="Times New Roman" w:hAnsi="Times New Roman" w:cs="Times New Roman"/>
          <w:sz w:val="24"/>
          <w:szCs w:val="24"/>
        </w:rPr>
        <w:t>facts in light of Article 24 of the ACHR.</w:t>
      </w:r>
      <w:r w:rsidRPr="00A7760B">
        <w:rPr>
          <w:rFonts w:ascii="Times New Roman" w:hAnsi="Times New Roman" w:cs="Times New Roman"/>
          <w:sz w:val="20"/>
          <w:szCs w:val="24"/>
          <w:vertAlign w:val="superscript"/>
        </w:rPr>
        <w:footnoteReference w:id="183"/>
      </w:r>
      <w:r w:rsidRPr="00AE1663">
        <w:rPr>
          <w:rFonts w:ascii="Times New Roman" w:hAnsi="Times New Roman" w:cs="Times New Roman"/>
          <w:sz w:val="24"/>
          <w:szCs w:val="24"/>
        </w:rPr>
        <w:t xml:space="preserve"> This is distinct from a situation in which the State discriminates in the guarantee of a right </w:t>
      </w:r>
      <w:r w:rsidRPr="00AE1663">
        <w:rPr>
          <w:rFonts w:ascii="Times New Roman" w:hAnsi="Times New Roman" w:cs="Times New Roman"/>
          <w:i/>
          <w:sz w:val="24"/>
          <w:szCs w:val="24"/>
        </w:rPr>
        <w:t>contained</w:t>
      </w:r>
      <w:r w:rsidRPr="00AE1663">
        <w:rPr>
          <w:rFonts w:ascii="Times New Roman" w:hAnsi="Times New Roman" w:cs="Times New Roman"/>
          <w:sz w:val="24"/>
          <w:szCs w:val="24"/>
        </w:rPr>
        <w:t xml:space="preserve"> </w:t>
      </w:r>
      <w:r w:rsidRPr="00AE1663">
        <w:rPr>
          <w:rFonts w:ascii="Times New Roman" w:hAnsi="Times New Roman" w:cs="Times New Roman"/>
          <w:i/>
          <w:sz w:val="24"/>
          <w:szCs w:val="24"/>
        </w:rPr>
        <w:t>in</w:t>
      </w:r>
      <w:r w:rsidRPr="00AE1663">
        <w:rPr>
          <w:rFonts w:ascii="Times New Roman" w:hAnsi="Times New Roman" w:cs="Times New Roman"/>
          <w:sz w:val="24"/>
          <w:szCs w:val="24"/>
        </w:rPr>
        <w:t xml:space="preserve"> the Convention, which is a failure to comply with Article 1(1) and the substantive law in question.</w:t>
      </w:r>
      <w:r w:rsidRPr="00A7760B">
        <w:rPr>
          <w:rFonts w:ascii="Times New Roman" w:hAnsi="Times New Roman" w:cs="Times New Roman"/>
          <w:sz w:val="20"/>
          <w:szCs w:val="24"/>
          <w:vertAlign w:val="superscript"/>
        </w:rPr>
        <w:footnoteReference w:id="184"/>
      </w:r>
      <w:r w:rsidRPr="00AE1663">
        <w:rPr>
          <w:rFonts w:ascii="Times New Roman" w:hAnsi="Times New Roman" w:cs="Times New Roman"/>
          <w:sz w:val="24"/>
          <w:szCs w:val="24"/>
        </w:rPr>
        <w:t xml:space="preserve"> The EU Council has disagreed on policy grounds to treat same-sex marriages on equal terms as different-sex marriages for purposes of EU employment benefits.</w:t>
      </w:r>
      <w:r w:rsidRPr="00A7760B">
        <w:rPr>
          <w:rFonts w:ascii="Times New Roman" w:hAnsi="Times New Roman" w:cs="Times New Roman"/>
          <w:sz w:val="20"/>
          <w:szCs w:val="24"/>
          <w:vertAlign w:val="superscript"/>
        </w:rPr>
        <w:footnoteReference w:id="185"/>
      </w:r>
      <w:r w:rsidRPr="00AE1663">
        <w:rPr>
          <w:rFonts w:ascii="Times New Roman" w:hAnsi="Times New Roman" w:cs="Times New Roman"/>
          <w:sz w:val="24"/>
          <w:szCs w:val="24"/>
        </w:rPr>
        <w:t xml:space="preserve"> In 2004, the ECtHR held that </w:t>
      </w:r>
      <w:r w:rsidR="00990BA6" w:rsidRPr="00AE1663">
        <w:rPr>
          <w:rFonts w:ascii="Times New Roman" w:hAnsi="Times New Roman" w:cs="Times New Roman"/>
          <w:sz w:val="24"/>
          <w:szCs w:val="24"/>
        </w:rPr>
        <w:t xml:space="preserve">the state infringed </w:t>
      </w:r>
      <w:r w:rsidRPr="00AE1663">
        <w:rPr>
          <w:rFonts w:ascii="Times New Roman" w:hAnsi="Times New Roman" w:cs="Times New Roman"/>
          <w:sz w:val="24"/>
          <w:szCs w:val="24"/>
        </w:rPr>
        <w:t>“the very essence” of a transsexual woman’s right to marry because the state did not allow her to marry a man, and did not recognize the transsexual’s changed sex for all legal purposes.</w:t>
      </w:r>
      <w:r w:rsidRPr="00A7760B">
        <w:rPr>
          <w:rFonts w:ascii="Times New Roman" w:hAnsi="Times New Roman" w:cs="Times New Roman"/>
          <w:sz w:val="20"/>
          <w:szCs w:val="24"/>
          <w:vertAlign w:val="superscript"/>
        </w:rPr>
        <w:footnoteReference w:id="186"/>
      </w:r>
      <w:r w:rsidRPr="00AE1663">
        <w:rPr>
          <w:rFonts w:ascii="Times New Roman" w:hAnsi="Times New Roman" w:cs="Times New Roman"/>
          <w:sz w:val="24"/>
          <w:szCs w:val="24"/>
        </w:rPr>
        <w:t xml:space="preserve"> Nevertheless, the ECtHR has not gone further than recognizing the right to marry as between persons of opposite sex.</w:t>
      </w:r>
      <w:r w:rsidRPr="00A7760B">
        <w:rPr>
          <w:rFonts w:ascii="Times New Roman" w:hAnsi="Times New Roman" w:cs="Times New Roman"/>
          <w:sz w:val="20"/>
          <w:szCs w:val="24"/>
          <w:vertAlign w:val="superscript"/>
        </w:rPr>
        <w:footnoteReference w:id="187"/>
      </w:r>
      <w:r w:rsidR="0071238D" w:rsidRPr="00AE1663">
        <w:rPr>
          <w:rFonts w:ascii="Times New Roman" w:hAnsi="Times New Roman" w:cs="Times New Roman"/>
          <w:sz w:val="24"/>
          <w:szCs w:val="24"/>
        </w:rPr>
        <w:t xml:space="preserve"> </w:t>
      </w:r>
      <w:r w:rsidRPr="00AE1663">
        <w:rPr>
          <w:rFonts w:ascii="Times New Roman" w:hAnsi="Times New Roman" w:cs="Times New Roman"/>
          <w:sz w:val="24"/>
          <w:szCs w:val="24"/>
        </w:rPr>
        <w:t xml:space="preserve"> </w:t>
      </w:r>
    </w:p>
    <w:p w:rsidR="008B6A40" w:rsidRPr="00AE1663" w:rsidRDefault="008B6A40" w:rsidP="008B6A40">
      <w:pPr>
        <w:autoSpaceDE w:val="0"/>
        <w:autoSpaceDN w:val="0"/>
        <w:adjustRightInd w:val="0"/>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Refusal to authorize same-sex marriage is a valid restriction</w:t>
      </w:r>
      <w:r w:rsidR="00286F8E" w:rsidRPr="00AE1663">
        <w:rPr>
          <w:rFonts w:ascii="Times New Roman" w:hAnsi="Times New Roman" w:cs="Times New Roman"/>
          <w:sz w:val="24"/>
          <w:szCs w:val="24"/>
        </w:rPr>
        <w:t xml:space="preserve"> of equal protection in regards to laws regulating </w:t>
      </w:r>
      <w:r w:rsidRPr="00AE1663">
        <w:rPr>
          <w:rFonts w:ascii="Times New Roman" w:hAnsi="Times New Roman" w:cs="Times New Roman"/>
          <w:sz w:val="24"/>
          <w:szCs w:val="24"/>
        </w:rPr>
        <w:t xml:space="preserve">the concept of marriage that various international organs recognize. The discrimination alleged in our case in regards to Elizabetia’s domestic laws invokes analysis </w:t>
      </w:r>
      <w:r w:rsidR="00990BA6" w:rsidRPr="00AE1663">
        <w:rPr>
          <w:rFonts w:ascii="Times New Roman" w:hAnsi="Times New Roman" w:cs="Times New Roman"/>
          <w:sz w:val="24"/>
          <w:szCs w:val="24"/>
        </w:rPr>
        <w:t>under ACHR article 24, but there was no</w:t>
      </w:r>
      <w:r w:rsidRPr="00AE1663">
        <w:rPr>
          <w:rFonts w:ascii="Times New Roman" w:hAnsi="Times New Roman" w:cs="Times New Roman"/>
          <w:sz w:val="24"/>
          <w:szCs w:val="24"/>
        </w:rPr>
        <w:t xml:space="preserve"> express </w:t>
      </w:r>
      <w:r w:rsidR="00990BA6" w:rsidRPr="00AE1663">
        <w:rPr>
          <w:rFonts w:ascii="Times New Roman" w:hAnsi="Times New Roman" w:cs="Times New Roman"/>
          <w:sz w:val="24"/>
          <w:szCs w:val="24"/>
        </w:rPr>
        <w:t xml:space="preserve">violation </w:t>
      </w:r>
      <w:r w:rsidRPr="00AE1663">
        <w:rPr>
          <w:rFonts w:ascii="Times New Roman" w:hAnsi="Times New Roman" w:cs="Times New Roman"/>
          <w:sz w:val="24"/>
          <w:szCs w:val="24"/>
        </w:rPr>
        <w:t>under the ACHR.</w:t>
      </w:r>
      <w:r w:rsidR="0071238D" w:rsidRPr="00AE1663">
        <w:rPr>
          <w:rFonts w:ascii="Times New Roman" w:hAnsi="Times New Roman" w:cs="Times New Roman"/>
          <w:sz w:val="24"/>
          <w:szCs w:val="24"/>
        </w:rPr>
        <w:t xml:space="preserve"> </w:t>
      </w:r>
      <w:r w:rsidR="00096090" w:rsidRPr="00AE1663">
        <w:rPr>
          <w:rFonts w:ascii="Times New Roman" w:hAnsi="Times New Roman" w:cs="Times New Roman"/>
          <w:sz w:val="24"/>
          <w:szCs w:val="24"/>
        </w:rPr>
        <w:t xml:space="preserve">Moreover, </w:t>
      </w:r>
      <w:r w:rsidRPr="00AE1663">
        <w:rPr>
          <w:rFonts w:ascii="Times New Roman" w:hAnsi="Times New Roman" w:cs="Times New Roman"/>
          <w:sz w:val="24"/>
          <w:szCs w:val="24"/>
        </w:rPr>
        <w:t xml:space="preserve">Article 396 </w:t>
      </w:r>
      <w:r w:rsidR="00286F8E" w:rsidRPr="00AE1663">
        <w:rPr>
          <w:rFonts w:ascii="Times New Roman" w:hAnsi="Times New Roman" w:cs="Times New Roman"/>
          <w:sz w:val="24"/>
          <w:szCs w:val="24"/>
        </w:rPr>
        <w:t>expressly applies to</w:t>
      </w:r>
      <w:r w:rsidR="00422E7E" w:rsidRPr="00AE1663">
        <w:rPr>
          <w:rFonts w:ascii="Times New Roman" w:hAnsi="Times New Roman" w:cs="Times New Roman"/>
          <w:sz w:val="24"/>
          <w:szCs w:val="24"/>
        </w:rPr>
        <w:t xml:space="preserve"> </w:t>
      </w:r>
      <w:r w:rsidR="00096090" w:rsidRPr="00AE1663">
        <w:rPr>
          <w:rFonts w:ascii="Times New Roman" w:hAnsi="Times New Roman" w:cs="Times New Roman"/>
          <w:sz w:val="24"/>
          <w:szCs w:val="24"/>
        </w:rPr>
        <w:t>a</w:t>
      </w:r>
      <w:r w:rsidR="00422E7E" w:rsidRPr="00AE1663">
        <w:rPr>
          <w:rFonts w:ascii="Times New Roman" w:hAnsi="Times New Roman" w:cs="Times New Roman"/>
          <w:sz w:val="24"/>
          <w:szCs w:val="24"/>
        </w:rPr>
        <w:t xml:space="preserve"> couple</w:t>
      </w:r>
      <w:r w:rsidR="00096090" w:rsidRPr="00AE1663">
        <w:rPr>
          <w:rFonts w:ascii="Times New Roman" w:hAnsi="Times New Roman" w:cs="Times New Roman"/>
          <w:sz w:val="24"/>
          <w:szCs w:val="24"/>
        </w:rPr>
        <w:t xml:space="preserve"> </w:t>
      </w:r>
      <w:r w:rsidR="00286F8E" w:rsidRPr="00AE1663">
        <w:rPr>
          <w:rFonts w:ascii="Times New Roman" w:hAnsi="Times New Roman" w:cs="Times New Roman"/>
          <w:sz w:val="24"/>
          <w:szCs w:val="24"/>
        </w:rPr>
        <w:t xml:space="preserve">consisting of one man and one woman, and </w:t>
      </w:r>
      <w:r w:rsidRPr="00AE1663">
        <w:rPr>
          <w:rFonts w:ascii="Times New Roman" w:hAnsi="Times New Roman" w:cs="Times New Roman"/>
          <w:sz w:val="24"/>
          <w:szCs w:val="24"/>
        </w:rPr>
        <w:t xml:space="preserve">is </w:t>
      </w:r>
      <w:r w:rsidR="00286F8E" w:rsidRPr="00AE1663">
        <w:rPr>
          <w:rFonts w:ascii="Times New Roman" w:hAnsi="Times New Roman" w:cs="Times New Roman"/>
          <w:sz w:val="24"/>
          <w:szCs w:val="24"/>
        </w:rPr>
        <w:t xml:space="preserve">thus </w:t>
      </w:r>
      <w:r w:rsidRPr="00AE1663">
        <w:rPr>
          <w:rFonts w:ascii="Times New Roman" w:hAnsi="Times New Roman" w:cs="Times New Roman"/>
          <w:sz w:val="24"/>
          <w:szCs w:val="24"/>
        </w:rPr>
        <w:t>restrictive as to the nature of the</w:t>
      </w:r>
      <w:r w:rsidR="00286F8E" w:rsidRPr="00AE1663">
        <w:rPr>
          <w:rFonts w:ascii="Times New Roman" w:hAnsi="Times New Roman" w:cs="Times New Roman"/>
          <w:sz w:val="24"/>
          <w:szCs w:val="24"/>
        </w:rPr>
        <w:t xml:space="preserve"> couple, not the individual</w:t>
      </w:r>
      <w:r w:rsidRPr="00AE1663">
        <w:rPr>
          <w:rFonts w:ascii="Times New Roman" w:hAnsi="Times New Roman" w:cs="Times New Roman"/>
          <w:sz w:val="24"/>
          <w:szCs w:val="24"/>
        </w:rPr>
        <w:t>.</w:t>
      </w:r>
      <w:r w:rsidRPr="00A7760B">
        <w:rPr>
          <w:rFonts w:ascii="Times New Roman" w:hAnsi="Times New Roman" w:cs="Times New Roman"/>
          <w:sz w:val="20"/>
          <w:szCs w:val="24"/>
          <w:vertAlign w:val="superscript"/>
        </w:rPr>
        <w:footnoteReference w:id="188"/>
      </w:r>
      <w:r w:rsidRPr="00AE1663">
        <w:rPr>
          <w:rFonts w:ascii="Times New Roman" w:hAnsi="Times New Roman" w:cs="Times New Roman"/>
          <w:sz w:val="24"/>
          <w:szCs w:val="24"/>
        </w:rPr>
        <w:t xml:space="preserve"> As the Registrar-General</w:t>
      </w:r>
      <w:r w:rsidR="00286F8E" w:rsidRPr="00AE1663">
        <w:rPr>
          <w:rFonts w:ascii="Times New Roman" w:hAnsi="Times New Roman" w:cs="Times New Roman"/>
          <w:sz w:val="24"/>
          <w:szCs w:val="24"/>
        </w:rPr>
        <w:t xml:space="preserve"> did</w:t>
      </w:r>
      <w:r w:rsidRPr="00AE1663">
        <w:rPr>
          <w:rFonts w:ascii="Times New Roman" w:hAnsi="Times New Roman" w:cs="Times New Roman"/>
          <w:sz w:val="24"/>
          <w:szCs w:val="24"/>
        </w:rPr>
        <w:t xml:space="preserve"> in </w:t>
      </w:r>
      <w:r w:rsidRPr="00AE1663">
        <w:rPr>
          <w:rFonts w:ascii="Times New Roman" w:hAnsi="Times New Roman" w:cs="Times New Roman"/>
          <w:i/>
          <w:sz w:val="24"/>
          <w:szCs w:val="24"/>
        </w:rPr>
        <w:t>Joslin</w:t>
      </w:r>
      <w:r w:rsidRPr="00AE1663">
        <w:rPr>
          <w:rFonts w:ascii="Times New Roman" w:hAnsi="Times New Roman" w:cs="Times New Roman"/>
          <w:sz w:val="24"/>
          <w:szCs w:val="24"/>
        </w:rPr>
        <w:t xml:space="preserve">, Elizabetia acted lawfully in rejecting </w:t>
      </w:r>
      <w:r w:rsidR="00AB2980" w:rsidRPr="00AE1663">
        <w:rPr>
          <w:rFonts w:ascii="Times New Roman" w:hAnsi="Times New Roman" w:cs="Times New Roman"/>
          <w:sz w:val="24"/>
          <w:szCs w:val="24"/>
        </w:rPr>
        <w:t>Petitioners’</w:t>
      </w:r>
      <w:r w:rsidRPr="00AE1663">
        <w:rPr>
          <w:rFonts w:ascii="Times New Roman" w:hAnsi="Times New Roman" w:cs="Times New Roman"/>
          <w:sz w:val="24"/>
          <w:szCs w:val="24"/>
        </w:rPr>
        <w:t xml:space="preserve"> request for marriage authorization upon </w:t>
      </w:r>
      <w:r w:rsidRPr="00AE1663">
        <w:rPr>
          <w:rFonts w:ascii="Times New Roman" w:hAnsi="Times New Roman" w:cs="Times New Roman"/>
          <w:sz w:val="24"/>
          <w:szCs w:val="24"/>
        </w:rPr>
        <w:lastRenderedPageBreak/>
        <w:t>interpretation of Article 396.</w:t>
      </w:r>
      <w:r w:rsidRPr="00A7760B">
        <w:rPr>
          <w:rFonts w:ascii="Times New Roman" w:hAnsi="Times New Roman" w:cs="Times New Roman"/>
          <w:sz w:val="20"/>
          <w:szCs w:val="24"/>
          <w:vertAlign w:val="superscript"/>
        </w:rPr>
        <w:footnoteReference w:id="189"/>
      </w:r>
      <w:r w:rsidRPr="00AE1663">
        <w:rPr>
          <w:rFonts w:ascii="Times New Roman" w:hAnsi="Times New Roman" w:cs="Times New Roman"/>
          <w:sz w:val="24"/>
          <w:szCs w:val="24"/>
        </w:rPr>
        <w:t xml:space="preserve"> The state of the law may change in the future for Elizabetia or in the international context. However, under the laws currently in place, Elizabetia committed no violations of equal protection.</w:t>
      </w:r>
    </w:p>
    <w:p w:rsidR="00985610" w:rsidRPr="00AE1663" w:rsidRDefault="001D778C" w:rsidP="00522E07">
      <w:pPr>
        <w:pStyle w:val="Heading2"/>
        <w:numPr>
          <w:ilvl w:val="0"/>
          <w:numId w:val="7"/>
        </w:numPr>
        <w:spacing w:before="0" w:line="240" w:lineRule="auto"/>
        <w:rPr>
          <w:rFonts w:ascii="Times New Roman" w:hAnsi="Times New Roman" w:cs="Times New Roman"/>
          <w:caps/>
          <w:color w:val="auto"/>
          <w:sz w:val="24"/>
          <w:szCs w:val="24"/>
        </w:rPr>
      </w:pPr>
      <w:bookmarkStart w:id="18" w:name="_Toc352003551"/>
      <w:r w:rsidRPr="00AE1663">
        <w:rPr>
          <w:rFonts w:ascii="Times New Roman" w:hAnsi="Times New Roman" w:cs="Times New Roman"/>
          <w:caps/>
          <w:color w:val="auto"/>
          <w:sz w:val="24"/>
          <w:szCs w:val="24"/>
        </w:rPr>
        <w:t xml:space="preserve">Elizabetia Did </w:t>
      </w:r>
      <w:r w:rsidR="00985610" w:rsidRPr="00AE1663">
        <w:rPr>
          <w:rFonts w:ascii="Times New Roman" w:hAnsi="Times New Roman" w:cs="Times New Roman"/>
          <w:caps/>
          <w:color w:val="auto"/>
          <w:sz w:val="24"/>
          <w:szCs w:val="24"/>
        </w:rPr>
        <w:t xml:space="preserve">Not Violate the </w:t>
      </w:r>
      <w:r w:rsidR="004B76FF" w:rsidRPr="00AE1663">
        <w:rPr>
          <w:rFonts w:ascii="Times New Roman" w:hAnsi="Times New Roman" w:cs="Times New Roman"/>
          <w:caps/>
          <w:color w:val="auto"/>
          <w:sz w:val="24"/>
          <w:szCs w:val="24"/>
        </w:rPr>
        <w:t>Petitioners’</w:t>
      </w:r>
      <w:r w:rsidRPr="00AE1663">
        <w:rPr>
          <w:rFonts w:ascii="Times New Roman" w:hAnsi="Times New Roman" w:cs="Times New Roman"/>
          <w:caps/>
          <w:color w:val="auto"/>
          <w:sz w:val="24"/>
          <w:szCs w:val="24"/>
        </w:rPr>
        <w:t xml:space="preserve"> Right to </w:t>
      </w:r>
      <w:r w:rsidR="00522E07" w:rsidRPr="00AE1663">
        <w:rPr>
          <w:rFonts w:ascii="Times New Roman" w:hAnsi="Times New Roman" w:cs="Times New Roman"/>
          <w:caps/>
          <w:color w:val="auto"/>
          <w:sz w:val="24"/>
          <w:szCs w:val="24"/>
        </w:rPr>
        <w:t>Life Nor Did It Fail to CONFORM TO THE ACHR</w:t>
      </w:r>
      <w:bookmarkEnd w:id="18"/>
    </w:p>
    <w:p w:rsidR="00522E07" w:rsidRPr="00AE1663" w:rsidRDefault="00522E07" w:rsidP="00522E07">
      <w:pPr>
        <w:rPr>
          <w:rFonts w:ascii="Times New Roman" w:hAnsi="Times New Roman" w:cs="Times New Roman"/>
          <w:sz w:val="24"/>
          <w:szCs w:val="24"/>
        </w:rPr>
      </w:pPr>
    </w:p>
    <w:p w:rsidR="001D778C" w:rsidRPr="00AE1663" w:rsidRDefault="001D778C" w:rsidP="00522E07">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Elizabetia did not</w:t>
      </w:r>
      <w:r w:rsidR="00DC5E3A" w:rsidRPr="00AE1663">
        <w:rPr>
          <w:rFonts w:ascii="Times New Roman" w:hAnsi="Times New Roman" w:cs="Times New Roman"/>
          <w:sz w:val="24"/>
          <w:szCs w:val="24"/>
        </w:rPr>
        <w:t xml:space="preserve"> violate Article 1 or 2 of the ACHR</w:t>
      </w:r>
      <w:r w:rsidR="00AF7472" w:rsidRPr="00A7760B">
        <w:rPr>
          <w:rStyle w:val="FootnoteReference"/>
          <w:rFonts w:ascii="Times New Roman" w:hAnsi="Times New Roman" w:cs="Times New Roman"/>
          <w:sz w:val="20"/>
          <w:szCs w:val="24"/>
        </w:rPr>
        <w:footnoteReference w:id="190"/>
      </w:r>
      <w:r w:rsidR="00DC5E3A" w:rsidRPr="00AE1663">
        <w:rPr>
          <w:rFonts w:ascii="Times New Roman" w:hAnsi="Times New Roman" w:cs="Times New Roman"/>
          <w:sz w:val="24"/>
          <w:szCs w:val="24"/>
        </w:rPr>
        <w:t xml:space="preserve"> by discriminating</w:t>
      </w:r>
      <w:r w:rsidRPr="00AE1663">
        <w:rPr>
          <w:rFonts w:ascii="Times New Roman" w:hAnsi="Times New Roman" w:cs="Times New Roman"/>
          <w:sz w:val="24"/>
          <w:szCs w:val="24"/>
        </w:rPr>
        <w:t xml:space="preserve"> against the alleged victim on the basis her status as an indigenous person because there is no evidence that the </w:t>
      </w:r>
      <w:r w:rsidR="00DC5E3A" w:rsidRPr="00AE1663">
        <w:rPr>
          <w:rFonts w:ascii="Times New Roman" w:hAnsi="Times New Roman" w:cs="Times New Roman"/>
          <w:sz w:val="24"/>
          <w:szCs w:val="24"/>
        </w:rPr>
        <w:t xml:space="preserve">indigenous </w:t>
      </w:r>
      <w:r w:rsidRPr="00AE1663">
        <w:rPr>
          <w:rFonts w:ascii="Times New Roman" w:hAnsi="Times New Roman" w:cs="Times New Roman"/>
          <w:sz w:val="24"/>
          <w:szCs w:val="24"/>
        </w:rPr>
        <w:t xml:space="preserve">religion induced her to desire a homosexual marriage. Moreover, Elizabetia did not withhold marriage from the alleged victim. Despite the five-year cohabitation requirement, Elizabetia did not improperly discriminate against the </w:t>
      </w:r>
      <w:r w:rsidR="004B76FF" w:rsidRPr="00AE1663">
        <w:rPr>
          <w:rFonts w:ascii="Times New Roman" w:hAnsi="Times New Roman" w:cs="Times New Roman"/>
          <w:sz w:val="24"/>
          <w:szCs w:val="24"/>
        </w:rPr>
        <w:t>petitioners</w:t>
      </w:r>
      <w:r w:rsidRPr="00AE1663">
        <w:rPr>
          <w:rFonts w:ascii="Times New Roman" w:hAnsi="Times New Roman" w:cs="Times New Roman"/>
          <w:sz w:val="24"/>
          <w:szCs w:val="24"/>
        </w:rPr>
        <w:t xml:space="preserve"> because </w:t>
      </w:r>
      <w:r w:rsidR="00BE03F5" w:rsidRPr="00AE1663">
        <w:rPr>
          <w:rFonts w:ascii="Times New Roman" w:hAnsi="Times New Roman" w:cs="Times New Roman"/>
          <w:sz w:val="24"/>
          <w:szCs w:val="24"/>
        </w:rPr>
        <w:t>its marriage standards are</w:t>
      </w:r>
      <w:r w:rsidRPr="00AE1663">
        <w:rPr>
          <w:rFonts w:ascii="Times New Roman" w:hAnsi="Times New Roman" w:cs="Times New Roman"/>
          <w:sz w:val="24"/>
          <w:szCs w:val="24"/>
        </w:rPr>
        <w:t xml:space="preserve"> justified by strong societal beliefs and </w:t>
      </w:r>
      <w:r w:rsidR="00BE03F5" w:rsidRPr="00AE1663">
        <w:rPr>
          <w:rFonts w:ascii="Times New Roman" w:hAnsi="Times New Roman" w:cs="Times New Roman"/>
          <w:sz w:val="24"/>
          <w:szCs w:val="24"/>
        </w:rPr>
        <w:t>Elizabetia’s</w:t>
      </w:r>
      <w:r w:rsidR="00C95F47" w:rsidRPr="00AE1663">
        <w:rPr>
          <w:rFonts w:ascii="Times New Roman" w:hAnsi="Times New Roman" w:cs="Times New Roman"/>
          <w:sz w:val="24"/>
          <w:szCs w:val="24"/>
        </w:rPr>
        <w:t xml:space="preserve"> </w:t>
      </w:r>
      <w:r w:rsidRPr="00AE1663">
        <w:rPr>
          <w:rFonts w:ascii="Times New Roman" w:hAnsi="Times New Roman" w:cs="Times New Roman"/>
          <w:sz w:val="24"/>
          <w:szCs w:val="24"/>
        </w:rPr>
        <w:t>democratic process. Lastly, Elizabetia did not violate the alleged victim’s right to family because the ACHR itself confines marriage to heterosexual relations upon which the State relied when forming its Constitution. In addition, Elizabetia does not confine family to strictly those that result from a heterosexual relationship. Elizabetia recognizes there are several types of families and does not preclude those famil</w:t>
      </w:r>
      <w:r w:rsidR="00286F8E" w:rsidRPr="00AE1663">
        <w:rPr>
          <w:rFonts w:ascii="Times New Roman" w:hAnsi="Times New Roman" w:cs="Times New Roman"/>
          <w:sz w:val="24"/>
          <w:szCs w:val="24"/>
        </w:rPr>
        <w:t>ies from existing. E</w:t>
      </w:r>
      <w:r w:rsidRPr="00AE1663">
        <w:rPr>
          <w:rFonts w:ascii="Times New Roman" w:hAnsi="Times New Roman" w:cs="Times New Roman"/>
          <w:sz w:val="24"/>
          <w:szCs w:val="24"/>
        </w:rPr>
        <w:t>ven if the IACtHR does find that Elizabetia is limiting families to those resulting from heterosexual relationships, the discrimination is justified by societal values projec</w:t>
      </w:r>
      <w:r w:rsidR="00286F8E" w:rsidRPr="00AE1663">
        <w:rPr>
          <w:rFonts w:ascii="Times New Roman" w:hAnsi="Times New Roman" w:cs="Times New Roman"/>
          <w:sz w:val="24"/>
          <w:szCs w:val="24"/>
        </w:rPr>
        <w:t>ted through a democratic voice</w:t>
      </w:r>
      <w:r w:rsidRPr="00AE1663">
        <w:rPr>
          <w:rFonts w:ascii="Times New Roman" w:hAnsi="Times New Roman" w:cs="Times New Roman"/>
          <w:sz w:val="24"/>
          <w:szCs w:val="24"/>
        </w:rPr>
        <w:t>.</w:t>
      </w:r>
    </w:p>
    <w:p w:rsidR="00A13BCA" w:rsidRPr="00AE1663" w:rsidRDefault="00A13BCA" w:rsidP="006558BD">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 xml:space="preserve">Elizabetia also did not violate the alleged victim’s right to privacy because the strong public interest in preserving the traditional concept of marriage allows the State to tip the balance between individual interests and communal norms in favor of the </w:t>
      </w:r>
      <w:r w:rsidR="00286F8E" w:rsidRPr="00AE1663">
        <w:rPr>
          <w:rFonts w:ascii="Times New Roman" w:hAnsi="Times New Roman" w:cs="Times New Roman"/>
          <w:sz w:val="24"/>
          <w:szCs w:val="24"/>
        </w:rPr>
        <w:t xml:space="preserve">larger </w:t>
      </w:r>
      <w:r w:rsidRPr="00AE1663">
        <w:rPr>
          <w:rFonts w:ascii="Times New Roman" w:hAnsi="Times New Roman" w:cs="Times New Roman"/>
          <w:sz w:val="24"/>
          <w:szCs w:val="24"/>
        </w:rPr>
        <w:t xml:space="preserve">community. The domestic courts of Elizabetia did not arbitrarily intrude upon the personal relations of the alleged </w:t>
      </w:r>
      <w:r w:rsidRPr="00AE1663">
        <w:rPr>
          <w:rFonts w:ascii="Times New Roman" w:hAnsi="Times New Roman" w:cs="Times New Roman"/>
          <w:sz w:val="24"/>
          <w:szCs w:val="24"/>
        </w:rPr>
        <w:lastRenderedPageBreak/>
        <w:t>victim. In dealing with her initiated action, Elizabetia’s courts prudently considered her sexual orientation only for purposes of applying the plain text of its Constitution.</w:t>
      </w:r>
    </w:p>
    <w:p w:rsidR="00AF7472" w:rsidRPr="00AE1663" w:rsidRDefault="00AF7472" w:rsidP="006558BD">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 xml:space="preserve">Furthermore, Elizabetia kept its commitments as a signatory to the ACHR by </w:t>
      </w:r>
      <w:r w:rsidR="00990BA6" w:rsidRPr="00AE1663">
        <w:rPr>
          <w:rFonts w:ascii="Times New Roman" w:hAnsi="Times New Roman" w:cs="Times New Roman"/>
          <w:sz w:val="24"/>
          <w:szCs w:val="24"/>
        </w:rPr>
        <w:t xml:space="preserve">respecting </w:t>
      </w:r>
      <w:r w:rsidRPr="00AE1663">
        <w:rPr>
          <w:rFonts w:ascii="Times New Roman" w:hAnsi="Times New Roman" w:cs="Times New Roman"/>
          <w:sz w:val="24"/>
          <w:szCs w:val="24"/>
        </w:rPr>
        <w:t xml:space="preserve">the right to fair trials and judicial protection. </w:t>
      </w:r>
      <w:r w:rsidR="008D1CC1" w:rsidRPr="00AE1663">
        <w:rPr>
          <w:rFonts w:ascii="Times New Roman" w:hAnsi="Times New Roman" w:cs="Times New Roman"/>
          <w:sz w:val="24"/>
          <w:szCs w:val="24"/>
        </w:rPr>
        <w:t>The State has not violated Petitioners’ rights by administering</w:t>
      </w:r>
      <w:r w:rsidRPr="00AE1663">
        <w:rPr>
          <w:rFonts w:ascii="Times New Roman" w:hAnsi="Times New Roman" w:cs="Times New Roman"/>
          <w:sz w:val="24"/>
          <w:szCs w:val="24"/>
        </w:rPr>
        <w:t xml:space="preserve"> a negative result in its judicial proceedings. Arguments that the complexity of the case impacted the proceedings timeliness or that the court </w:t>
      </w:r>
      <w:r w:rsidR="008D1CC1" w:rsidRPr="00AE1663">
        <w:rPr>
          <w:rFonts w:ascii="Times New Roman" w:hAnsi="Times New Roman" w:cs="Times New Roman"/>
          <w:sz w:val="24"/>
          <w:szCs w:val="24"/>
        </w:rPr>
        <w:t xml:space="preserve">unfairly </w:t>
      </w:r>
      <w:r w:rsidRPr="00AE1663">
        <w:rPr>
          <w:rFonts w:ascii="Times New Roman" w:hAnsi="Times New Roman" w:cs="Times New Roman"/>
          <w:sz w:val="24"/>
          <w:szCs w:val="24"/>
        </w:rPr>
        <w:t>sped through review of the issues are unfounded due to the sole responsibility of the court to find illegal</w:t>
      </w:r>
      <w:r w:rsidR="008D1CC1" w:rsidRPr="00AE1663">
        <w:rPr>
          <w:rFonts w:ascii="Times New Roman" w:hAnsi="Times New Roman" w:cs="Times New Roman"/>
          <w:sz w:val="24"/>
          <w:szCs w:val="24"/>
        </w:rPr>
        <w:t>ity or manifest arbitrariness</w:t>
      </w:r>
      <w:r w:rsidR="004B76FF" w:rsidRPr="00AE1663">
        <w:rPr>
          <w:rFonts w:ascii="Times New Roman" w:hAnsi="Times New Roman" w:cs="Times New Roman"/>
          <w:sz w:val="24"/>
          <w:szCs w:val="24"/>
        </w:rPr>
        <w:t xml:space="preserve"> of which there was none</w:t>
      </w:r>
      <w:r w:rsidR="008D1CC1" w:rsidRPr="00AE1663">
        <w:rPr>
          <w:rFonts w:ascii="Times New Roman" w:hAnsi="Times New Roman" w:cs="Times New Roman"/>
          <w:sz w:val="24"/>
          <w:szCs w:val="24"/>
        </w:rPr>
        <w:t>. Petitioners’ failure</w:t>
      </w:r>
      <w:r w:rsidRPr="00AE1663">
        <w:rPr>
          <w:rFonts w:ascii="Times New Roman" w:hAnsi="Times New Roman" w:cs="Times New Roman"/>
          <w:sz w:val="24"/>
          <w:szCs w:val="24"/>
        </w:rPr>
        <w:t xml:space="preserve"> to</w:t>
      </w:r>
      <w:r w:rsidR="008D1CC1" w:rsidRPr="00AE1663">
        <w:rPr>
          <w:rFonts w:ascii="Times New Roman" w:hAnsi="Times New Roman" w:cs="Times New Roman"/>
          <w:sz w:val="24"/>
          <w:szCs w:val="24"/>
        </w:rPr>
        <w:t xml:space="preserve"> file</w:t>
      </w:r>
      <w:r w:rsidR="009A3404" w:rsidRPr="00AE1663">
        <w:rPr>
          <w:rFonts w:ascii="Times New Roman" w:hAnsi="Times New Roman" w:cs="Times New Roman"/>
          <w:sz w:val="24"/>
          <w:szCs w:val="24"/>
        </w:rPr>
        <w:t xml:space="preserve"> a</w:t>
      </w:r>
      <w:r w:rsidR="008D1CC1" w:rsidRPr="00AE1663">
        <w:rPr>
          <w:rFonts w:ascii="Times New Roman" w:hAnsi="Times New Roman" w:cs="Times New Roman"/>
          <w:sz w:val="24"/>
          <w:szCs w:val="24"/>
        </w:rPr>
        <w:t>n</w:t>
      </w:r>
      <w:r w:rsidR="009A3404" w:rsidRPr="00AE1663">
        <w:rPr>
          <w:rFonts w:ascii="Times New Roman" w:hAnsi="Times New Roman" w:cs="Times New Roman"/>
          <w:sz w:val="24"/>
          <w:szCs w:val="24"/>
        </w:rPr>
        <w:t xml:space="preserve"> </w:t>
      </w:r>
      <w:r w:rsidR="008D1CC1" w:rsidRPr="00AE1663">
        <w:rPr>
          <w:rFonts w:ascii="Times New Roman" w:hAnsi="Times New Roman" w:cs="Times New Roman"/>
          <w:sz w:val="24"/>
          <w:szCs w:val="24"/>
        </w:rPr>
        <w:t xml:space="preserve">unconstitutionality action regarding </w:t>
      </w:r>
      <w:r w:rsidR="009A3404" w:rsidRPr="00AE1663">
        <w:rPr>
          <w:rFonts w:ascii="Times New Roman" w:hAnsi="Times New Roman" w:cs="Times New Roman"/>
          <w:sz w:val="24"/>
          <w:szCs w:val="24"/>
        </w:rPr>
        <w:t>Article 396</w:t>
      </w:r>
      <w:r w:rsidR="008D1CC1" w:rsidRPr="00AE1663">
        <w:rPr>
          <w:rFonts w:ascii="Times New Roman" w:hAnsi="Times New Roman" w:cs="Times New Roman"/>
          <w:sz w:val="24"/>
          <w:szCs w:val="24"/>
        </w:rPr>
        <w:t>,</w:t>
      </w:r>
      <w:r w:rsidR="009A3404" w:rsidRPr="00AE1663">
        <w:rPr>
          <w:rFonts w:ascii="Times New Roman" w:hAnsi="Times New Roman" w:cs="Times New Roman"/>
          <w:sz w:val="24"/>
          <w:szCs w:val="24"/>
        </w:rPr>
        <w:t xml:space="preserve"> under which the larger constitutional issue would have come under review</w:t>
      </w:r>
      <w:r w:rsidR="008D1CC1" w:rsidRPr="00AE1663">
        <w:rPr>
          <w:rFonts w:ascii="Times New Roman" w:hAnsi="Times New Roman" w:cs="Times New Roman"/>
          <w:sz w:val="24"/>
          <w:szCs w:val="24"/>
        </w:rPr>
        <w:t>,</w:t>
      </w:r>
      <w:r w:rsidR="009A3404" w:rsidRPr="00AE1663">
        <w:rPr>
          <w:rFonts w:ascii="Times New Roman" w:hAnsi="Times New Roman" w:cs="Times New Roman"/>
          <w:sz w:val="24"/>
          <w:szCs w:val="24"/>
        </w:rPr>
        <w:t xml:space="preserve"> is not the fault of the State. </w:t>
      </w:r>
      <w:r w:rsidR="007F1083" w:rsidRPr="00AE1663">
        <w:rPr>
          <w:rFonts w:ascii="Times New Roman" w:hAnsi="Times New Roman" w:cs="Times New Roman"/>
          <w:sz w:val="24"/>
          <w:szCs w:val="24"/>
        </w:rPr>
        <w:t xml:space="preserve">Elizabetia ensured the integrity of its judicial system by allowing individuals to initiate unconstitutionality actions. </w:t>
      </w:r>
      <w:r w:rsidR="009A3404" w:rsidRPr="00AE1663">
        <w:rPr>
          <w:rFonts w:ascii="Times New Roman" w:hAnsi="Times New Roman" w:cs="Times New Roman"/>
          <w:sz w:val="24"/>
          <w:szCs w:val="24"/>
        </w:rPr>
        <w:t>Moreover, there is no evidence th</w:t>
      </w:r>
      <w:r w:rsidR="008D1CC1" w:rsidRPr="00AE1663">
        <w:rPr>
          <w:rFonts w:ascii="Times New Roman" w:hAnsi="Times New Roman" w:cs="Times New Roman"/>
          <w:sz w:val="24"/>
          <w:szCs w:val="24"/>
        </w:rPr>
        <w:t xml:space="preserve">at the judges who reviewed Petitioners’ claims </w:t>
      </w:r>
      <w:r w:rsidR="009A3404" w:rsidRPr="00AE1663">
        <w:rPr>
          <w:rFonts w:ascii="Times New Roman" w:hAnsi="Times New Roman" w:cs="Times New Roman"/>
          <w:sz w:val="24"/>
          <w:szCs w:val="24"/>
        </w:rPr>
        <w:t xml:space="preserve">based </w:t>
      </w:r>
      <w:r w:rsidR="008D1CC1" w:rsidRPr="00AE1663">
        <w:rPr>
          <w:rFonts w:ascii="Times New Roman" w:hAnsi="Times New Roman" w:cs="Times New Roman"/>
          <w:sz w:val="24"/>
          <w:szCs w:val="24"/>
        </w:rPr>
        <w:t xml:space="preserve">its decision </w:t>
      </w:r>
      <w:r w:rsidR="009A3404" w:rsidRPr="00AE1663">
        <w:rPr>
          <w:rFonts w:ascii="Times New Roman" w:hAnsi="Times New Roman" w:cs="Times New Roman"/>
          <w:sz w:val="24"/>
          <w:szCs w:val="24"/>
        </w:rPr>
        <w:t xml:space="preserve">on biases </w:t>
      </w:r>
      <w:r w:rsidR="008D1CC1" w:rsidRPr="00AE1663">
        <w:rPr>
          <w:rFonts w:ascii="Times New Roman" w:hAnsi="Times New Roman" w:cs="Times New Roman"/>
          <w:sz w:val="24"/>
          <w:szCs w:val="24"/>
        </w:rPr>
        <w:t>or</w:t>
      </w:r>
      <w:r w:rsidR="009A3404" w:rsidRPr="00AE1663">
        <w:rPr>
          <w:rFonts w:ascii="Times New Roman" w:hAnsi="Times New Roman" w:cs="Times New Roman"/>
          <w:sz w:val="24"/>
          <w:szCs w:val="24"/>
        </w:rPr>
        <w:t xml:space="preserve"> non-legal provisions. In fact, </w:t>
      </w:r>
      <w:r w:rsidR="00990BA6" w:rsidRPr="00AE1663">
        <w:rPr>
          <w:rFonts w:ascii="Times New Roman" w:hAnsi="Times New Roman" w:cs="Times New Roman"/>
          <w:sz w:val="24"/>
          <w:szCs w:val="24"/>
        </w:rPr>
        <w:t xml:space="preserve">Elizabetia separated </w:t>
      </w:r>
      <w:r w:rsidR="009A3404" w:rsidRPr="00AE1663">
        <w:rPr>
          <w:rFonts w:ascii="Times New Roman" w:hAnsi="Times New Roman" w:cs="Times New Roman"/>
          <w:sz w:val="24"/>
          <w:szCs w:val="24"/>
        </w:rPr>
        <w:t>power</w:t>
      </w:r>
      <w:r w:rsidR="00990BA6" w:rsidRPr="00AE1663">
        <w:rPr>
          <w:rFonts w:ascii="Times New Roman" w:hAnsi="Times New Roman" w:cs="Times New Roman"/>
          <w:sz w:val="24"/>
          <w:szCs w:val="24"/>
        </w:rPr>
        <w:t xml:space="preserve">s among each of the tribunals </w:t>
      </w:r>
      <w:r w:rsidR="008D1CC1" w:rsidRPr="00AE1663">
        <w:rPr>
          <w:rFonts w:ascii="Times New Roman" w:hAnsi="Times New Roman" w:cs="Times New Roman"/>
          <w:sz w:val="24"/>
          <w:szCs w:val="24"/>
        </w:rPr>
        <w:t xml:space="preserve">to review </w:t>
      </w:r>
      <w:r w:rsidR="009A3404" w:rsidRPr="00AE1663">
        <w:rPr>
          <w:rFonts w:ascii="Times New Roman" w:hAnsi="Times New Roman" w:cs="Times New Roman"/>
          <w:sz w:val="24"/>
          <w:szCs w:val="24"/>
        </w:rPr>
        <w:t>legalit</w:t>
      </w:r>
      <w:r w:rsidR="008D1CC1" w:rsidRPr="00AE1663">
        <w:rPr>
          <w:rFonts w:ascii="Times New Roman" w:hAnsi="Times New Roman" w:cs="Times New Roman"/>
          <w:sz w:val="24"/>
          <w:szCs w:val="24"/>
        </w:rPr>
        <w:t xml:space="preserve">y of previously issued </w:t>
      </w:r>
      <w:r w:rsidR="009A3404" w:rsidRPr="00AE1663">
        <w:rPr>
          <w:rFonts w:ascii="Times New Roman" w:hAnsi="Times New Roman" w:cs="Times New Roman"/>
          <w:sz w:val="24"/>
          <w:szCs w:val="24"/>
        </w:rPr>
        <w:t xml:space="preserve">decisions. </w:t>
      </w:r>
      <w:r w:rsidR="00990BA6" w:rsidRPr="00AE1663">
        <w:rPr>
          <w:rFonts w:ascii="Times New Roman" w:hAnsi="Times New Roman" w:cs="Times New Roman"/>
          <w:sz w:val="24"/>
          <w:szCs w:val="24"/>
        </w:rPr>
        <w:t>Establishment of t</w:t>
      </w:r>
      <w:r w:rsidR="009A3404" w:rsidRPr="00AE1663">
        <w:rPr>
          <w:rFonts w:ascii="Times New Roman" w:hAnsi="Times New Roman" w:cs="Times New Roman"/>
          <w:sz w:val="24"/>
          <w:szCs w:val="24"/>
        </w:rPr>
        <w:t>he Gender Identity Act</w:t>
      </w:r>
      <w:r w:rsidR="009A3404" w:rsidRPr="00A7760B">
        <w:rPr>
          <w:rStyle w:val="FootnoteReference"/>
          <w:rFonts w:ascii="Times New Roman" w:hAnsi="Times New Roman" w:cs="Times New Roman"/>
          <w:sz w:val="20"/>
          <w:szCs w:val="24"/>
        </w:rPr>
        <w:footnoteReference w:id="191"/>
      </w:r>
      <w:r w:rsidR="009A3404" w:rsidRPr="00AE1663">
        <w:rPr>
          <w:rFonts w:ascii="Times New Roman" w:hAnsi="Times New Roman" w:cs="Times New Roman"/>
          <w:sz w:val="24"/>
          <w:szCs w:val="24"/>
        </w:rPr>
        <w:t xml:space="preserve"> and the amendment of the Constitution to allow domestic partnerships</w:t>
      </w:r>
      <w:r w:rsidR="00990BA6" w:rsidRPr="00AE1663">
        <w:rPr>
          <w:rFonts w:ascii="Times New Roman" w:hAnsi="Times New Roman" w:cs="Times New Roman"/>
          <w:sz w:val="24"/>
          <w:szCs w:val="24"/>
        </w:rPr>
        <w:t xml:space="preserve"> reflect Elizabetia’s efforts to conform to the spirit of the ACHR</w:t>
      </w:r>
      <w:r w:rsidR="009A3404" w:rsidRPr="00AE1663">
        <w:rPr>
          <w:rFonts w:ascii="Times New Roman" w:hAnsi="Times New Roman" w:cs="Times New Roman"/>
          <w:sz w:val="24"/>
          <w:szCs w:val="24"/>
        </w:rPr>
        <w:t>.</w:t>
      </w:r>
      <w:r w:rsidR="009A3404" w:rsidRPr="00A7760B">
        <w:rPr>
          <w:rStyle w:val="FootnoteReference"/>
          <w:rFonts w:ascii="Times New Roman" w:hAnsi="Times New Roman" w:cs="Times New Roman"/>
          <w:sz w:val="20"/>
          <w:szCs w:val="24"/>
        </w:rPr>
        <w:footnoteReference w:id="192"/>
      </w:r>
      <w:r w:rsidR="009A3404" w:rsidRPr="00AE1663">
        <w:rPr>
          <w:rFonts w:ascii="Times New Roman" w:hAnsi="Times New Roman" w:cs="Times New Roman"/>
          <w:sz w:val="24"/>
          <w:szCs w:val="24"/>
        </w:rPr>
        <w:t xml:space="preserve"> Lastly, Elizabetia has the right to legislate according to its own national interests. Not recognizing the right to marriage for homosexuals is a justified limitation in light of the </w:t>
      </w:r>
      <w:r w:rsidR="00A13BCA" w:rsidRPr="00AE1663">
        <w:rPr>
          <w:rFonts w:ascii="Times New Roman" w:hAnsi="Times New Roman" w:cs="Times New Roman"/>
          <w:sz w:val="24"/>
          <w:szCs w:val="24"/>
        </w:rPr>
        <w:t>present order of the community.</w:t>
      </w:r>
    </w:p>
    <w:p w:rsidR="00A13BCA" w:rsidRPr="00AE1663" w:rsidRDefault="00A13BCA" w:rsidP="006558BD">
      <w:pPr>
        <w:spacing w:after="0" w:line="480" w:lineRule="auto"/>
        <w:ind w:firstLine="720"/>
        <w:rPr>
          <w:rFonts w:ascii="Times New Roman" w:hAnsi="Times New Roman" w:cs="Times New Roman"/>
          <w:caps/>
          <w:sz w:val="24"/>
          <w:szCs w:val="24"/>
        </w:rPr>
      </w:pPr>
      <w:r w:rsidRPr="00AE1663">
        <w:rPr>
          <w:rFonts w:ascii="Times New Roman" w:hAnsi="Times New Roman" w:cs="Times New Roman"/>
          <w:sz w:val="24"/>
          <w:szCs w:val="24"/>
        </w:rPr>
        <w:t xml:space="preserve">Elizabetia did not violate the </w:t>
      </w:r>
      <w:r w:rsidR="00990BA6" w:rsidRPr="00AE1663">
        <w:rPr>
          <w:rFonts w:ascii="Times New Roman" w:hAnsi="Times New Roman" w:cs="Times New Roman"/>
          <w:sz w:val="24"/>
          <w:szCs w:val="24"/>
        </w:rPr>
        <w:t>Petitioners’</w:t>
      </w:r>
      <w:r w:rsidRPr="00AE1663">
        <w:rPr>
          <w:rFonts w:ascii="Times New Roman" w:hAnsi="Times New Roman" w:cs="Times New Roman"/>
          <w:sz w:val="24"/>
          <w:szCs w:val="24"/>
        </w:rPr>
        <w:t xml:space="preserve"> right to equal protection under Article 24 because </w:t>
      </w:r>
      <w:r w:rsidR="00990BA6" w:rsidRPr="00AE1663">
        <w:rPr>
          <w:rFonts w:ascii="Times New Roman" w:hAnsi="Times New Roman" w:cs="Times New Roman"/>
          <w:sz w:val="24"/>
          <w:szCs w:val="24"/>
        </w:rPr>
        <w:t xml:space="preserve">the ACHR does not mention </w:t>
      </w:r>
      <w:r w:rsidRPr="00AE1663">
        <w:rPr>
          <w:rFonts w:ascii="Times New Roman" w:hAnsi="Times New Roman" w:cs="Times New Roman"/>
          <w:sz w:val="24"/>
          <w:szCs w:val="24"/>
        </w:rPr>
        <w:t xml:space="preserve">same-sex marriage </w:t>
      </w:r>
      <w:r w:rsidR="00990BA6" w:rsidRPr="00AE1663">
        <w:rPr>
          <w:rFonts w:ascii="Times New Roman" w:hAnsi="Times New Roman" w:cs="Times New Roman"/>
          <w:sz w:val="24"/>
          <w:szCs w:val="24"/>
        </w:rPr>
        <w:t>nor is it</w:t>
      </w:r>
      <w:r w:rsidR="007F1083" w:rsidRPr="00AE1663">
        <w:rPr>
          <w:rFonts w:ascii="Times New Roman" w:hAnsi="Times New Roman" w:cs="Times New Roman"/>
          <w:sz w:val="24"/>
          <w:szCs w:val="24"/>
        </w:rPr>
        <w:t xml:space="preserve"> supported by</w:t>
      </w:r>
      <w:r w:rsidRPr="00AE1663">
        <w:rPr>
          <w:rFonts w:ascii="Times New Roman" w:hAnsi="Times New Roman" w:cs="Times New Roman"/>
          <w:sz w:val="24"/>
          <w:szCs w:val="24"/>
        </w:rPr>
        <w:t xml:space="preserve"> </w:t>
      </w:r>
      <w:r w:rsidR="00990BA6" w:rsidRPr="00AE1663">
        <w:rPr>
          <w:rFonts w:ascii="Times New Roman" w:hAnsi="Times New Roman" w:cs="Times New Roman"/>
          <w:sz w:val="24"/>
          <w:szCs w:val="24"/>
        </w:rPr>
        <w:t>consensus</w:t>
      </w:r>
      <w:r w:rsidRPr="00AE1663">
        <w:rPr>
          <w:rFonts w:ascii="Times New Roman" w:hAnsi="Times New Roman" w:cs="Times New Roman"/>
          <w:sz w:val="24"/>
          <w:szCs w:val="24"/>
        </w:rPr>
        <w:t xml:space="preserve"> in international law.</w:t>
      </w:r>
      <w:r w:rsidR="00B42453" w:rsidRPr="00A7760B">
        <w:rPr>
          <w:rStyle w:val="FootnoteReference"/>
          <w:rFonts w:ascii="Times New Roman" w:hAnsi="Times New Roman" w:cs="Times New Roman"/>
          <w:sz w:val="20"/>
          <w:szCs w:val="24"/>
        </w:rPr>
        <w:footnoteReference w:id="193"/>
      </w:r>
      <w:r w:rsidRPr="00AE1663">
        <w:rPr>
          <w:rFonts w:ascii="Times New Roman" w:hAnsi="Times New Roman" w:cs="Times New Roman"/>
          <w:sz w:val="24"/>
          <w:szCs w:val="24"/>
        </w:rPr>
        <w:t xml:space="preserve"> The ACHR does not obligate identical treatment of same-sex couples and </w:t>
      </w:r>
      <w:r w:rsidR="007F1083" w:rsidRPr="00AE1663">
        <w:rPr>
          <w:rFonts w:ascii="Times New Roman" w:hAnsi="Times New Roman" w:cs="Times New Roman"/>
          <w:sz w:val="24"/>
          <w:szCs w:val="24"/>
        </w:rPr>
        <w:lastRenderedPageBreak/>
        <w:t>different-sex couples regarding marriage</w:t>
      </w:r>
      <w:r w:rsidRPr="00AE1663">
        <w:rPr>
          <w:rFonts w:ascii="Times New Roman" w:hAnsi="Times New Roman" w:cs="Times New Roman"/>
          <w:sz w:val="24"/>
          <w:szCs w:val="24"/>
        </w:rPr>
        <w:t xml:space="preserve">. Elizabetia’s good faith following of the plain text meaning of the Convention indicates that the right to marry vests </w:t>
      </w:r>
      <w:r w:rsidR="007F1083" w:rsidRPr="00AE1663">
        <w:rPr>
          <w:rFonts w:ascii="Times New Roman" w:hAnsi="Times New Roman" w:cs="Times New Roman"/>
          <w:sz w:val="24"/>
          <w:szCs w:val="24"/>
        </w:rPr>
        <w:t>only in same-sex</w:t>
      </w:r>
      <w:r w:rsidR="00990BA6" w:rsidRPr="00AE1663">
        <w:rPr>
          <w:rFonts w:ascii="Times New Roman" w:hAnsi="Times New Roman" w:cs="Times New Roman"/>
          <w:sz w:val="24"/>
          <w:szCs w:val="24"/>
        </w:rPr>
        <w:t xml:space="preserve"> couples</w:t>
      </w:r>
      <w:r w:rsidRPr="00AE1663">
        <w:rPr>
          <w:rFonts w:ascii="Times New Roman" w:hAnsi="Times New Roman" w:cs="Times New Roman"/>
          <w:sz w:val="24"/>
          <w:szCs w:val="24"/>
        </w:rPr>
        <w:t>.</w:t>
      </w:r>
    </w:p>
    <w:p w:rsidR="001D778C" w:rsidRPr="00AE1663" w:rsidRDefault="001D778C" w:rsidP="001D778C">
      <w:pPr>
        <w:pStyle w:val="Heading2"/>
        <w:numPr>
          <w:ilvl w:val="0"/>
          <w:numId w:val="7"/>
        </w:numPr>
        <w:spacing w:before="0"/>
        <w:ind w:left="720"/>
        <w:rPr>
          <w:rFonts w:ascii="Times New Roman" w:hAnsi="Times New Roman" w:cs="Times New Roman"/>
          <w:caps/>
          <w:color w:val="auto"/>
          <w:sz w:val="24"/>
          <w:szCs w:val="24"/>
        </w:rPr>
      </w:pPr>
      <w:bookmarkStart w:id="19" w:name="_Toc352003552"/>
      <w:r w:rsidRPr="00AE1663">
        <w:rPr>
          <w:rFonts w:ascii="Times New Roman" w:hAnsi="Times New Roman" w:cs="Times New Roman"/>
          <w:caps/>
          <w:color w:val="auto"/>
          <w:sz w:val="24"/>
          <w:szCs w:val="24"/>
        </w:rPr>
        <w:t>Provisional Measures</w:t>
      </w:r>
      <w:bookmarkEnd w:id="19"/>
    </w:p>
    <w:p w:rsidR="008E2C1D" w:rsidRPr="00AE1663" w:rsidRDefault="008E2C1D" w:rsidP="008E2C1D">
      <w:pPr>
        <w:rPr>
          <w:rFonts w:ascii="Times New Roman" w:hAnsi="Times New Roman" w:cs="Times New Roman"/>
          <w:sz w:val="24"/>
          <w:szCs w:val="24"/>
        </w:rPr>
      </w:pPr>
    </w:p>
    <w:p w:rsidR="001D778C" w:rsidRPr="00AE1663" w:rsidRDefault="001D778C" w:rsidP="006558BD">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 xml:space="preserve">The power of </w:t>
      </w:r>
      <w:r w:rsidR="00BE03F5" w:rsidRPr="00AE1663">
        <w:rPr>
          <w:rFonts w:ascii="Times New Roman" w:hAnsi="Times New Roman" w:cs="Times New Roman"/>
          <w:sz w:val="24"/>
          <w:szCs w:val="24"/>
        </w:rPr>
        <w:t>th</w:t>
      </w:r>
      <w:r w:rsidR="007F1083" w:rsidRPr="00AE1663">
        <w:rPr>
          <w:rFonts w:ascii="Times New Roman" w:hAnsi="Times New Roman" w:cs="Times New Roman"/>
          <w:sz w:val="24"/>
          <w:szCs w:val="24"/>
        </w:rPr>
        <w:t>e IACtHR</w:t>
      </w:r>
      <w:r w:rsidRPr="00AE1663">
        <w:rPr>
          <w:rFonts w:ascii="Times New Roman" w:hAnsi="Times New Roman" w:cs="Times New Roman"/>
          <w:sz w:val="24"/>
          <w:szCs w:val="24"/>
        </w:rPr>
        <w:t xml:space="preserve"> to grant provisiona</w:t>
      </w:r>
      <w:r w:rsidR="007F1083" w:rsidRPr="00AE1663">
        <w:rPr>
          <w:rFonts w:ascii="Times New Roman" w:hAnsi="Times New Roman" w:cs="Times New Roman"/>
          <w:sz w:val="24"/>
          <w:szCs w:val="24"/>
        </w:rPr>
        <w:t>l measures provided</w:t>
      </w:r>
      <w:r w:rsidRPr="00AE1663">
        <w:rPr>
          <w:rFonts w:ascii="Times New Roman" w:hAnsi="Times New Roman" w:cs="Times New Roman"/>
          <w:sz w:val="24"/>
          <w:szCs w:val="24"/>
        </w:rPr>
        <w:t xml:space="preserve"> in Articl</w:t>
      </w:r>
      <w:r w:rsidR="00617270" w:rsidRPr="00AE1663">
        <w:rPr>
          <w:rFonts w:ascii="Times New Roman" w:hAnsi="Times New Roman" w:cs="Times New Roman"/>
          <w:sz w:val="24"/>
          <w:szCs w:val="24"/>
        </w:rPr>
        <w:t>e 63(2) for</w:t>
      </w:r>
      <w:r w:rsidR="007F1083" w:rsidRPr="00AE1663">
        <w:rPr>
          <w:rFonts w:ascii="Times New Roman" w:hAnsi="Times New Roman" w:cs="Times New Roman"/>
          <w:sz w:val="24"/>
          <w:szCs w:val="24"/>
        </w:rPr>
        <w:t xml:space="preserve"> situations of </w:t>
      </w:r>
      <w:r w:rsidRPr="00AE1663">
        <w:rPr>
          <w:rFonts w:ascii="Times New Roman" w:hAnsi="Times New Roman" w:cs="Times New Roman"/>
          <w:sz w:val="24"/>
          <w:szCs w:val="24"/>
        </w:rPr>
        <w:t>extreme gravity and urgency in addition to irreparable damage.</w:t>
      </w:r>
      <w:r w:rsidRPr="00A7760B">
        <w:rPr>
          <w:rStyle w:val="FootnoteReference"/>
          <w:rFonts w:ascii="Times New Roman" w:hAnsi="Times New Roman" w:cs="Times New Roman"/>
          <w:sz w:val="20"/>
          <w:szCs w:val="24"/>
        </w:rPr>
        <w:footnoteReference w:id="194"/>
      </w:r>
      <w:r w:rsidR="00617270" w:rsidRPr="00AE1663">
        <w:rPr>
          <w:rFonts w:ascii="Times New Roman" w:hAnsi="Times New Roman" w:cs="Times New Roman"/>
          <w:sz w:val="24"/>
          <w:szCs w:val="24"/>
        </w:rPr>
        <w:t xml:space="preserve"> R</w:t>
      </w:r>
      <w:r w:rsidRPr="00AE1663">
        <w:rPr>
          <w:rFonts w:ascii="Times New Roman" w:hAnsi="Times New Roman" w:cs="Times New Roman"/>
          <w:sz w:val="24"/>
          <w:szCs w:val="24"/>
        </w:rPr>
        <w:t>equirements of extr</w:t>
      </w:r>
      <w:r w:rsidR="00617270" w:rsidRPr="00AE1663">
        <w:rPr>
          <w:rFonts w:ascii="Times New Roman" w:hAnsi="Times New Roman" w:cs="Times New Roman"/>
          <w:sz w:val="24"/>
          <w:szCs w:val="24"/>
        </w:rPr>
        <w:t xml:space="preserve">eme gravity and urgency mandate </w:t>
      </w:r>
      <w:r w:rsidRPr="00AE1663">
        <w:rPr>
          <w:rFonts w:ascii="Times New Roman" w:hAnsi="Times New Roman" w:cs="Times New Roman"/>
          <w:sz w:val="24"/>
          <w:szCs w:val="24"/>
        </w:rPr>
        <w:t>t</w:t>
      </w:r>
      <w:r w:rsidR="00617270" w:rsidRPr="00AE1663">
        <w:rPr>
          <w:rFonts w:ascii="Times New Roman" w:hAnsi="Times New Roman" w:cs="Times New Roman"/>
          <w:sz w:val="24"/>
          <w:szCs w:val="24"/>
        </w:rPr>
        <w:t>hat the situation is factual,</w:t>
      </w:r>
      <w:r w:rsidRPr="00AE1663">
        <w:rPr>
          <w:rFonts w:ascii="Times New Roman" w:hAnsi="Times New Roman" w:cs="Times New Roman"/>
          <w:sz w:val="24"/>
          <w:szCs w:val="24"/>
        </w:rPr>
        <w:t xml:space="preserve"> not just theoretical.</w:t>
      </w:r>
      <w:r w:rsidRPr="00A7760B">
        <w:rPr>
          <w:rStyle w:val="FootnoteReference"/>
          <w:rFonts w:ascii="Times New Roman" w:hAnsi="Times New Roman" w:cs="Times New Roman"/>
          <w:sz w:val="20"/>
          <w:szCs w:val="24"/>
        </w:rPr>
        <w:footnoteReference w:id="195"/>
      </w:r>
      <w:r w:rsidRPr="00AE1663">
        <w:rPr>
          <w:rFonts w:ascii="Times New Roman" w:hAnsi="Times New Roman" w:cs="Times New Roman"/>
          <w:sz w:val="24"/>
          <w:szCs w:val="24"/>
        </w:rPr>
        <w:t xml:space="preserve"> </w:t>
      </w:r>
      <w:r w:rsidR="00617270" w:rsidRPr="00AE1663">
        <w:rPr>
          <w:rFonts w:ascii="Times New Roman" w:hAnsi="Times New Roman" w:cs="Times New Roman"/>
          <w:sz w:val="24"/>
          <w:szCs w:val="24"/>
        </w:rPr>
        <w:t xml:space="preserve">Any </w:t>
      </w:r>
      <w:r w:rsidRPr="00AE1663">
        <w:rPr>
          <w:rFonts w:ascii="Times New Roman" w:hAnsi="Times New Roman" w:cs="Times New Roman"/>
          <w:sz w:val="24"/>
          <w:szCs w:val="24"/>
        </w:rPr>
        <w:t>viol</w:t>
      </w:r>
      <w:r w:rsidR="00617270" w:rsidRPr="00AE1663">
        <w:rPr>
          <w:rFonts w:ascii="Times New Roman" w:hAnsi="Times New Roman" w:cs="Times New Roman"/>
          <w:sz w:val="24"/>
          <w:szCs w:val="24"/>
        </w:rPr>
        <w:t>ations alleged must show</w:t>
      </w:r>
      <w:r w:rsidRPr="00AE1663">
        <w:rPr>
          <w:rFonts w:ascii="Times New Roman" w:hAnsi="Times New Roman" w:cs="Times New Roman"/>
          <w:sz w:val="24"/>
          <w:szCs w:val="24"/>
        </w:rPr>
        <w:t xml:space="preserve"> </w:t>
      </w:r>
      <w:r w:rsidRPr="00AE1663">
        <w:rPr>
          <w:rFonts w:ascii="Times New Roman" w:hAnsi="Times New Roman" w:cs="Times New Roman"/>
          <w:i/>
          <w:sz w:val="24"/>
          <w:szCs w:val="24"/>
        </w:rPr>
        <w:t>prima facie</w:t>
      </w:r>
      <w:r w:rsidRPr="00AE1663">
        <w:rPr>
          <w:rFonts w:ascii="Times New Roman" w:hAnsi="Times New Roman" w:cs="Times New Roman"/>
          <w:sz w:val="24"/>
          <w:szCs w:val="24"/>
        </w:rPr>
        <w:t xml:space="preserve"> symptoms of extreme gravity and urgency.</w:t>
      </w:r>
      <w:r w:rsidRPr="00A7760B">
        <w:rPr>
          <w:rStyle w:val="FootnoteReference"/>
          <w:rFonts w:ascii="Times New Roman" w:hAnsi="Times New Roman" w:cs="Times New Roman"/>
          <w:sz w:val="20"/>
          <w:szCs w:val="24"/>
        </w:rPr>
        <w:footnoteReference w:id="196"/>
      </w:r>
      <w:r w:rsidR="00617270" w:rsidRPr="00AE1663">
        <w:rPr>
          <w:rFonts w:ascii="Times New Roman" w:hAnsi="Times New Roman" w:cs="Times New Roman"/>
          <w:sz w:val="24"/>
          <w:szCs w:val="24"/>
        </w:rPr>
        <w:t xml:space="preserve"> </w:t>
      </w:r>
      <w:r w:rsidRPr="00AE1663">
        <w:rPr>
          <w:rFonts w:ascii="Times New Roman" w:hAnsi="Times New Roman" w:cs="Times New Roman"/>
          <w:sz w:val="24"/>
          <w:szCs w:val="24"/>
        </w:rPr>
        <w:t xml:space="preserve">In the petition of </w:t>
      </w:r>
      <w:r w:rsidRPr="00AE1663">
        <w:rPr>
          <w:rFonts w:ascii="Times New Roman" w:hAnsi="Times New Roman" w:cs="Times New Roman"/>
          <w:i/>
          <w:sz w:val="24"/>
          <w:szCs w:val="24"/>
        </w:rPr>
        <w:t>Acevedo Jaramillo</w:t>
      </w:r>
      <w:r w:rsidRPr="00AE1663">
        <w:rPr>
          <w:rFonts w:ascii="Times New Roman" w:hAnsi="Times New Roman" w:cs="Times New Roman"/>
          <w:sz w:val="24"/>
          <w:szCs w:val="24"/>
        </w:rPr>
        <w:t xml:space="preserve">, the </w:t>
      </w:r>
      <w:r w:rsidR="00990BA6" w:rsidRPr="00AE1663">
        <w:rPr>
          <w:rFonts w:ascii="Times New Roman" w:hAnsi="Times New Roman" w:cs="Times New Roman"/>
          <w:sz w:val="24"/>
          <w:szCs w:val="24"/>
        </w:rPr>
        <w:t xml:space="preserve">Court rejected the </w:t>
      </w:r>
      <w:r w:rsidRPr="00AE1663">
        <w:rPr>
          <w:rFonts w:ascii="Times New Roman" w:hAnsi="Times New Roman" w:cs="Times New Roman"/>
          <w:sz w:val="24"/>
          <w:szCs w:val="24"/>
        </w:rPr>
        <w:t xml:space="preserve">petition for protection because </w:t>
      </w:r>
      <w:r w:rsidR="00990BA6" w:rsidRPr="00AE1663">
        <w:rPr>
          <w:rFonts w:ascii="Times New Roman" w:hAnsi="Times New Roman" w:cs="Times New Roman"/>
          <w:sz w:val="24"/>
          <w:szCs w:val="24"/>
        </w:rPr>
        <w:t xml:space="preserve">petitioners based it on a </w:t>
      </w:r>
      <w:r w:rsidR="004B76FF" w:rsidRPr="00AE1663">
        <w:rPr>
          <w:rFonts w:ascii="Times New Roman" w:hAnsi="Times New Roman" w:cs="Times New Roman"/>
          <w:sz w:val="24"/>
          <w:szCs w:val="24"/>
        </w:rPr>
        <w:t>speculative</w:t>
      </w:r>
      <w:r w:rsidRPr="00AE1663">
        <w:rPr>
          <w:rFonts w:ascii="Times New Roman" w:hAnsi="Times New Roman" w:cs="Times New Roman"/>
          <w:sz w:val="24"/>
          <w:szCs w:val="24"/>
        </w:rPr>
        <w:t xml:space="preserve"> violation based on imminent proceedings.</w:t>
      </w:r>
      <w:r w:rsidRPr="00A7760B">
        <w:rPr>
          <w:rStyle w:val="FootnoteReference"/>
          <w:rFonts w:ascii="Times New Roman" w:hAnsi="Times New Roman" w:cs="Times New Roman"/>
          <w:sz w:val="20"/>
          <w:szCs w:val="24"/>
        </w:rPr>
        <w:footnoteReference w:id="197"/>
      </w:r>
      <w:r w:rsidRPr="00AE1663">
        <w:rPr>
          <w:rFonts w:ascii="Times New Roman" w:hAnsi="Times New Roman" w:cs="Times New Roman"/>
          <w:sz w:val="24"/>
          <w:szCs w:val="24"/>
        </w:rPr>
        <w:t xml:space="preserve"> </w:t>
      </w:r>
      <w:r w:rsidR="00AB2980" w:rsidRPr="00AE1663">
        <w:rPr>
          <w:rFonts w:ascii="Times New Roman" w:hAnsi="Times New Roman" w:cs="Times New Roman"/>
          <w:sz w:val="24"/>
          <w:szCs w:val="24"/>
        </w:rPr>
        <w:t>On the other hand, the Court may refuse to hear the petition altogether if it would lead to a judgment on the merits of the case or are unrelated to the subject matter of the case.</w:t>
      </w:r>
      <w:r w:rsidR="00AB2980" w:rsidRPr="00A7760B">
        <w:rPr>
          <w:rStyle w:val="FootnoteReference"/>
          <w:rFonts w:ascii="Times New Roman" w:hAnsi="Times New Roman" w:cs="Times New Roman"/>
          <w:sz w:val="20"/>
          <w:szCs w:val="24"/>
        </w:rPr>
        <w:footnoteReference w:id="198"/>
      </w:r>
    </w:p>
    <w:p w:rsidR="001D778C" w:rsidRPr="00AE1663" w:rsidRDefault="00617270" w:rsidP="006558BD">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In the instant</w:t>
      </w:r>
      <w:r w:rsidR="001D778C" w:rsidRPr="00AE1663">
        <w:rPr>
          <w:rFonts w:ascii="Times New Roman" w:hAnsi="Times New Roman" w:cs="Times New Roman"/>
          <w:sz w:val="24"/>
          <w:szCs w:val="24"/>
        </w:rPr>
        <w:t xml:space="preserve"> case, </w:t>
      </w:r>
      <w:r w:rsidR="00AB2980" w:rsidRPr="00AE1663">
        <w:rPr>
          <w:rFonts w:ascii="Times New Roman" w:hAnsi="Times New Roman" w:cs="Times New Roman"/>
          <w:sz w:val="24"/>
          <w:szCs w:val="24"/>
        </w:rPr>
        <w:t>the request to</w:t>
      </w:r>
      <w:r w:rsidRPr="00AE1663">
        <w:rPr>
          <w:rFonts w:ascii="Times New Roman" w:hAnsi="Times New Roman" w:cs="Times New Roman"/>
          <w:sz w:val="24"/>
          <w:szCs w:val="24"/>
        </w:rPr>
        <w:t xml:space="preserve"> be empowered to provide informed consent for </w:t>
      </w:r>
      <w:r w:rsidR="001D778C" w:rsidRPr="00AE1663">
        <w:rPr>
          <w:rFonts w:ascii="Times New Roman" w:hAnsi="Times New Roman" w:cs="Times New Roman"/>
          <w:sz w:val="24"/>
          <w:szCs w:val="24"/>
        </w:rPr>
        <w:t>medical procedure</w:t>
      </w:r>
      <w:r w:rsidR="00AB2980" w:rsidRPr="00AE1663">
        <w:rPr>
          <w:rFonts w:ascii="Times New Roman" w:hAnsi="Times New Roman" w:cs="Times New Roman"/>
          <w:sz w:val="24"/>
          <w:szCs w:val="24"/>
        </w:rPr>
        <w:t>s is improper</w:t>
      </w:r>
      <w:r w:rsidR="001D778C" w:rsidRPr="00AE1663">
        <w:rPr>
          <w:rFonts w:ascii="Times New Roman" w:hAnsi="Times New Roman" w:cs="Times New Roman"/>
          <w:sz w:val="24"/>
          <w:szCs w:val="24"/>
        </w:rPr>
        <w:t>. The situation, while urgent and grave, is purely theoretical and thus improper as a basis for provisional measures. The harm that Ms. Timor might face is</w:t>
      </w:r>
      <w:r w:rsidR="004B76FF" w:rsidRPr="00AE1663">
        <w:rPr>
          <w:rFonts w:ascii="Times New Roman" w:hAnsi="Times New Roman" w:cs="Times New Roman"/>
          <w:sz w:val="24"/>
          <w:szCs w:val="24"/>
        </w:rPr>
        <w:t xml:space="preserve"> insufficiently</w:t>
      </w:r>
      <w:r w:rsidR="001D778C" w:rsidRPr="00AE1663">
        <w:rPr>
          <w:rFonts w:ascii="Times New Roman" w:hAnsi="Times New Roman" w:cs="Times New Roman"/>
          <w:sz w:val="24"/>
          <w:szCs w:val="24"/>
        </w:rPr>
        <w:t xml:space="preserve"> imminent, similar to the </w:t>
      </w:r>
      <w:r w:rsidR="001D778C" w:rsidRPr="00AE1663">
        <w:rPr>
          <w:rFonts w:ascii="Times New Roman" w:hAnsi="Times New Roman" w:cs="Times New Roman"/>
          <w:i/>
          <w:sz w:val="24"/>
          <w:szCs w:val="24"/>
        </w:rPr>
        <w:t>Acevedo Jaramillo</w:t>
      </w:r>
      <w:r w:rsidR="001D778C" w:rsidRPr="00AE1663">
        <w:rPr>
          <w:rFonts w:ascii="Times New Roman" w:hAnsi="Times New Roman" w:cs="Times New Roman"/>
          <w:sz w:val="24"/>
          <w:szCs w:val="24"/>
        </w:rPr>
        <w:t xml:space="preserve"> petition,</w:t>
      </w:r>
      <w:r w:rsidR="001D778C" w:rsidRPr="00A7760B">
        <w:rPr>
          <w:rStyle w:val="FootnoteReference"/>
          <w:rFonts w:ascii="Times New Roman" w:hAnsi="Times New Roman" w:cs="Times New Roman"/>
          <w:sz w:val="20"/>
          <w:szCs w:val="24"/>
        </w:rPr>
        <w:footnoteReference w:id="199"/>
      </w:r>
      <w:r w:rsidR="001D778C" w:rsidRPr="00AE1663">
        <w:rPr>
          <w:rFonts w:ascii="Times New Roman" w:hAnsi="Times New Roman" w:cs="Times New Roman"/>
          <w:sz w:val="24"/>
          <w:szCs w:val="24"/>
        </w:rPr>
        <w:t xml:space="preserve"> </w:t>
      </w:r>
      <w:r w:rsidR="004B76FF" w:rsidRPr="00AE1663">
        <w:rPr>
          <w:rFonts w:ascii="Times New Roman" w:hAnsi="Times New Roman" w:cs="Times New Roman"/>
          <w:sz w:val="24"/>
          <w:szCs w:val="24"/>
        </w:rPr>
        <w:t>and</w:t>
      </w:r>
      <w:r w:rsidR="001D778C" w:rsidRPr="00AE1663">
        <w:rPr>
          <w:rFonts w:ascii="Times New Roman" w:hAnsi="Times New Roman" w:cs="Times New Roman"/>
          <w:sz w:val="24"/>
          <w:szCs w:val="24"/>
        </w:rPr>
        <w:t xml:space="preserve"> not a result of any state action. There is no State obligation to protect Ms. Timor from having someone other than her lover choose her medical care and thus this alleged violation that the petition is based upon is improper. Second, the petitioner is not alleging that if the Court does nothing that irreparable harm will befall Ms. Timor. In fact, </w:t>
      </w:r>
      <w:r w:rsidR="00990BA6" w:rsidRPr="00AE1663">
        <w:rPr>
          <w:rFonts w:ascii="Times New Roman" w:hAnsi="Times New Roman" w:cs="Times New Roman"/>
          <w:sz w:val="24"/>
          <w:szCs w:val="24"/>
        </w:rPr>
        <w:t>a thoroughly qualified Regional Medical Committee</w:t>
      </w:r>
      <w:r w:rsidR="001D778C" w:rsidRPr="00AE1663">
        <w:rPr>
          <w:rFonts w:ascii="Times New Roman" w:hAnsi="Times New Roman" w:cs="Times New Roman"/>
          <w:sz w:val="24"/>
          <w:szCs w:val="24"/>
        </w:rPr>
        <w:t xml:space="preserve"> will </w:t>
      </w:r>
      <w:r w:rsidR="00990BA6" w:rsidRPr="00AE1663">
        <w:rPr>
          <w:rFonts w:ascii="Times New Roman" w:hAnsi="Times New Roman" w:cs="Times New Roman"/>
          <w:sz w:val="24"/>
          <w:szCs w:val="24"/>
        </w:rPr>
        <w:t>consider the medical risks</w:t>
      </w:r>
      <w:r w:rsidR="001D778C" w:rsidRPr="00AE1663">
        <w:rPr>
          <w:rFonts w:ascii="Times New Roman" w:hAnsi="Times New Roman" w:cs="Times New Roman"/>
          <w:sz w:val="24"/>
          <w:szCs w:val="24"/>
        </w:rPr>
        <w:t xml:space="preserve"> and make a decision on behalf of the patient. Lastly, by granting this </w:t>
      </w:r>
      <w:r w:rsidR="001D778C" w:rsidRPr="00AE1663">
        <w:rPr>
          <w:rFonts w:ascii="Times New Roman" w:hAnsi="Times New Roman" w:cs="Times New Roman"/>
          <w:sz w:val="24"/>
          <w:szCs w:val="24"/>
        </w:rPr>
        <w:lastRenderedPageBreak/>
        <w:t xml:space="preserve">request the Court opens itself up as a venue that allows other individuals in these situations to seek aid from the Court despite not having any basis on </w:t>
      </w:r>
      <w:r w:rsidR="00990BA6" w:rsidRPr="00AE1663">
        <w:rPr>
          <w:rFonts w:ascii="Times New Roman" w:hAnsi="Times New Roman" w:cs="Times New Roman"/>
          <w:sz w:val="24"/>
          <w:szCs w:val="24"/>
        </w:rPr>
        <w:t>an</w:t>
      </w:r>
      <w:r w:rsidR="001D778C" w:rsidRPr="00AE1663">
        <w:rPr>
          <w:rFonts w:ascii="Times New Roman" w:hAnsi="Times New Roman" w:cs="Times New Roman"/>
          <w:sz w:val="24"/>
          <w:szCs w:val="24"/>
        </w:rPr>
        <w:t xml:space="preserve"> ACHR v</w:t>
      </w:r>
      <w:r w:rsidR="00990BA6" w:rsidRPr="00AE1663">
        <w:rPr>
          <w:rFonts w:ascii="Times New Roman" w:hAnsi="Times New Roman" w:cs="Times New Roman"/>
          <w:sz w:val="24"/>
          <w:szCs w:val="24"/>
        </w:rPr>
        <w:t>iolation. To decide whether Serafina</w:t>
      </w:r>
      <w:r w:rsidR="001D778C" w:rsidRPr="00AE1663">
        <w:rPr>
          <w:rFonts w:ascii="Times New Roman" w:hAnsi="Times New Roman" w:cs="Times New Roman"/>
          <w:sz w:val="24"/>
          <w:szCs w:val="24"/>
        </w:rPr>
        <w:t xml:space="preserve"> should have the power to give consent the Court must decide whether </w:t>
      </w:r>
      <w:r w:rsidR="00990BA6" w:rsidRPr="00AE1663">
        <w:rPr>
          <w:rFonts w:ascii="Times New Roman" w:hAnsi="Times New Roman" w:cs="Times New Roman"/>
          <w:sz w:val="24"/>
          <w:szCs w:val="24"/>
        </w:rPr>
        <w:t xml:space="preserve">to grant </w:t>
      </w:r>
      <w:r w:rsidR="001D778C" w:rsidRPr="00AE1663">
        <w:rPr>
          <w:rFonts w:ascii="Times New Roman" w:hAnsi="Times New Roman" w:cs="Times New Roman"/>
          <w:sz w:val="24"/>
          <w:szCs w:val="24"/>
        </w:rPr>
        <w:t xml:space="preserve">marriage </w:t>
      </w:r>
      <w:r w:rsidR="00990BA6" w:rsidRPr="00AE1663">
        <w:rPr>
          <w:rFonts w:ascii="Times New Roman" w:hAnsi="Times New Roman" w:cs="Times New Roman"/>
          <w:sz w:val="24"/>
          <w:szCs w:val="24"/>
        </w:rPr>
        <w:t xml:space="preserve">to a homosexual couple </w:t>
      </w:r>
      <w:r w:rsidR="001D778C" w:rsidRPr="00AE1663">
        <w:rPr>
          <w:rFonts w:ascii="Times New Roman" w:hAnsi="Times New Roman" w:cs="Times New Roman"/>
          <w:sz w:val="24"/>
          <w:szCs w:val="24"/>
        </w:rPr>
        <w:t xml:space="preserve">decide the merits of the case </w:t>
      </w:r>
      <w:r w:rsidR="001D778C" w:rsidRPr="00AE1663">
        <w:rPr>
          <w:rFonts w:ascii="Times New Roman" w:hAnsi="Times New Roman" w:cs="Times New Roman"/>
          <w:i/>
          <w:sz w:val="24"/>
          <w:szCs w:val="24"/>
        </w:rPr>
        <w:t>in limine litis</w:t>
      </w:r>
      <w:r w:rsidR="001D778C" w:rsidRPr="00AE1663">
        <w:rPr>
          <w:rFonts w:ascii="Times New Roman" w:hAnsi="Times New Roman" w:cs="Times New Roman"/>
          <w:sz w:val="24"/>
          <w:szCs w:val="24"/>
        </w:rPr>
        <w:t xml:space="preserve">. </w:t>
      </w:r>
    </w:p>
    <w:p w:rsidR="001D778C" w:rsidRPr="00AE1663" w:rsidRDefault="001D778C" w:rsidP="001D778C">
      <w:pPr>
        <w:pStyle w:val="Heading2"/>
        <w:numPr>
          <w:ilvl w:val="0"/>
          <w:numId w:val="7"/>
        </w:numPr>
        <w:spacing w:before="0"/>
        <w:rPr>
          <w:rFonts w:ascii="Times New Roman" w:hAnsi="Times New Roman" w:cs="Times New Roman"/>
          <w:caps/>
          <w:color w:val="auto"/>
          <w:sz w:val="24"/>
          <w:szCs w:val="24"/>
        </w:rPr>
      </w:pPr>
      <w:bookmarkStart w:id="20" w:name="_Toc352003553"/>
      <w:r w:rsidRPr="00AE1663">
        <w:rPr>
          <w:rFonts w:ascii="Times New Roman" w:hAnsi="Times New Roman" w:cs="Times New Roman"/>
          <w:caps/>
          <w:color w:val="auto"/>
          <w:sz w:val="24"/>
          <w:szCs w:val="24"/>
        </w:rPr>
        <w:t>Request for R</w:t>
      </w:r>
      <w:r w:rsidR="000F0BD5" w:rsidRPr="00AE1663">
        <w:rPr>
          <w:rFonts w:ascii="Times New Roman" w:hAnsi="Times New Roman" w:cs="Times New Roman"/>
          <w:caps/>
          <w:color w:val="auto"/>
          <w:sz w:val="24"/>
          <w:szCs w:val="24"/>
        </w:rPr>
        <w:t>elief</w:t>
      </w:r>
      <w:bookmarkEnd w:id="20"/>
    </w:p>
    <w:p w:rsidR="00990BA6" w:rsidRPr="00AE1663" w:rsidRDefault="00990BA6" w:rsidP="00990BA6">
      <w:pPr>
        <w:rPr>
          <w:rFonts w:ascii="Times New Roman" w:hAnsi="Times New Roman" w:cs="Times New Roman"/>
          <w:sz w:val="24"/>
          <w:szCs w:val="24"/>
        </w:rPr>
      </w:pPr>
    </w:p>
    <w:p w:rsidR="00107181" w:rsidRPr="00AE1663" w:rsidRDefault="00FA44E7" w:rsidP="006558BD">
      <w:pPr>
        <w:spacing w:after="0" w:line="480" w:lineRule="auto"/>
        <w:ind w:firstLine="720"/>
        <w:rPr>
          <w:rFonts w:ascii="Times New Roman" w:hAnsi="Times New Roman" w:cs="Times New Roman"/>
          <w:sz w:val="24"/>
          <w:szCs w:val="24"/>
        </w:rPr>
      </w:pPr>
      <w:r w:rsidRPr="00AE1663">
        <w:rPr>
          <w:rFonts w:ascii="Times New Roman" w:hAnsi="Times New Roman" w:cs="Times New Roman"/>
          <w:sz w:val="24"/>
          <w:szCs w:val="24"/>
        </w:rPr>
        <w:t xml:space="preserve">Elizabetia respectfully requests that the Court find that Petitioner has not exhausted all available remedies as required by Article 46 and the Court’s jurisdiction cannot be invoked. However, Elizabetia requests that if the Court does invoke jurisdiction it find that Elizabetia did not violate the alleged victim’s rights based on Articles 1, 2, and of the </w:t>
      </w:r>
      <w:r w:rsidR="00567126" w:rsidRPr="00AE1663">
        <w:rPr>
          <w:rFonts w:ascii="Times New Roman" w:hAnsi="Times New Roman" w:cs="Times New Roman"/>
          <w:sz w:val="24"/>
          <w:szCs w:val="24"/>
        </w:rPr>
        <w:t>ACHR</w:t>
      </w:r>
      <w:r w:rsidRPr="00AE1663">
        <w:rPr>
          <w:rFonts w:ascii="Times New Roman" w:hAnsi="Times New Roman" w:cs="Times New Roman"/>
          <w:sz w:val="24"/>
          <w:szCs w:val="24"/>
        </w:rPr>
        <w:t>.</w:t>
      </w:r>
    </w:p>
    <w:sectPr w:rsidR="00107181" w:rsidRPr="00AE1663" w:rsidSect="00EA4F7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AB3" w:rsidRDefault="00EF4AB3" w:rsidP="00FA44E7">
      <w:pPr>
        <w:spacing w:after="0" w:line="240" w:lineRule="auto"/>
      </w:pPr>
      <w:r>
        <w:separator/>
      </w:r>
    </w:p>
  </w:endnote>
  <w:endnote w:type="continuationSeparator" w:id="0">
    <w:p w:rsidR="00EF4AB3" w:rsidRDefault="00EF4AB3" w:rsidP="00FA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DB" w:rsidRDefault="00231A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912966"/>
      <w:docPartObj>
        <w:docPartGallery w:val="Page Numbers (Bottom of Page)"/>
        <w:docPartUnique/>
      </w:docPartObj>
    </w:sdtPr>
    <w:sdtEndPr>
      <w:rPr>
        <w:rFonts w:ascii="Times New Roman" w:hAnsi="Times New Roman" w:cs="Times New Roman"/>
        <w:noProof/>
        <w:sz w:val="24"/>
        <w:szCs w:val="24"/>
      </w:rPr>
    </w:sdtEndPr>
    <w:sdtContent>
      <w:p w:rsidR="00B27D37" w:rsidRPr="00706568" w:rsidRDefault="00B27D37">
        <w:pPr>
          <w:pStyle w:val="Footer"/>
          <w:jc w:val="center"/>
          <w:rPr>
            <w:rFonts w:ascii="Times New Roman" w:hAnsi="Times New Roman" w:cs="Times New Roman"/>
            <w:sz w:val="24"/>
            <w:szCs w:val="24"/>
          </w:rPr>
        </w:pPr>
        <w:r w:rsidRPr="00706568">
          <w:rPr>
            <w:rFonts w:ascii="Times New Roman" w:hAnsi="Times New Roman" w:cs="Times New Roman"/>
            <w:sz w:val="24"/>
            <w:szCs w:val="24"/>
          </w:rPr>
          <w:fldChar w:fldCharType="begin"/>
        </w:r>
        <w:r w:rsidRPr="00706568">
          <w:rPr>
            <w:rFonts w:ascii="Times New Roman" w:hAnsi="Times New Roman" w:cs="Times New Roman"/>
            <w:sz w:val="24"/>
            <w:szCs w:val="24"/>
          </w:rPr>
          <w:instrText xml:space="preserve"> PAGE   \* MERGEFORMAT </w:instrText>
        </w:r>
        <w:r w:rsidRPr="00706568">
          <w:rPr>
            <w:rFonts w:ascii="Times New Roman" w:hAnsi="Times New Roman" w:cs="Times New Roman"/>
            <w:sz w:val="24"/>
            <w:szCs w:val="24"/>
          </w:rPr>
          <w:fldChar w:fldCharType="separate"/>
        </w:r>
        <w:r w:rsidR="00FC1B47">
          <w:rPr>
            <w:rFonts w:ascii="Times New Roman" w:hAnsi="Times New Roman" w:cs="Times New Roman"/>
            <w:noProof/>
            <w:sz w:val="24"/>
            <w:szCs w:val="24"/>
          </w:rPr>
          <w:t>19</w:t>
        </w:r>
        <w:r w:rsidRPr="00706568">
          <w:rPr>
            <w:rFonts w:ascii="Times New Roman" w:hAnsi="Times New Roman" w:cs="Times New Roman"/>
            <w:noProof/>
            <w:sz w:val="24"/>
            <w:szCs w:val="24"/>
          </w:rPr>
          <w:fldChar w:fldCharType="end"/>
        </w:r>
      </w:p>
    </w:sdtContent>
  </w:sdt>
  <w:p w:rsidR="00B27D37" w:rsidRDefault="00B27D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DB" w:rsidRDefault="00231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AB3" w:rsidRDefault="00EF4AB3" w:rsidP="00FA44E7">
      <w:pPr>
        <w:spacing w:after="0" w:line="240" w:lineRule="auto"/>
      </w:pPr>
      <w:r>
        <w:separator/>
      </w:r>
    </w:p>
  </w:footnote>
  <w:footnote w:type="continuationSeparator" w:id="0">
    <w:p w:rsidR="00EF4AB3" w:rsidRDefault="00EF4AB3" w:rsidP="00FA44E7">
      <w:pPr>
        <w:spacing w:after="0" w:line="240" w:lineRule="auto"/>
      </w:pPr>
      <w:r>
        <w:continuationSeparator/>
      </w:r>
    </w:p>
  </w:footnote>
  <w:footnote w:id="1">
    <w:p w:rsidR="00B27D37" w:rsidRPr="00D501B4" w:rsidRDefault="00B27D37" w:rsidP="00681316">
      <w:pPr>
        <w:pStyle w:val="FootnoteText"/>
      </w:pPr>
      <w:r w:rsidRPr="00D501B4">
        <w:rPr>
          <w:rStyle w:val="FootnoteReference"/>
        </w:rPr>
        <w:footnoteRef/>
      </w:r>
      <w:r w:rsidRPr="00D501B4">
        <w:t xml:space="preserve"> Hypo ¶ 19</w:t>
      </w:r>
      <w:r>
        <w:t>.</w:t>
      </w:r>
    </w:p>
  </w:footnote>
  <w:footnote w:id="2">
    <w:p w:rsidR="00B27D37" w:rsidRPr="00D501B4" w:rsidRDefault="00B27D37" w:rsidP="00681316">
      <w:pPr>
        <w:pStyle w:val="FootnoteText"/>
      </w:pPr>
      <w:r w:rsidRPr="00D501B4">
        <w:rPr>
          <w:rStyle w:val="FootnoteReference"/>
        </w:rPr>
        <w:footnoteRef/>
      </w:r>
      <w:r w:rsidRPr="00D501B4">
        <w:t xml:space="preserve"> Hypo ¶ 4</w:t>
      </w:r>
      <w:r>
        <w:t>.</w:t>
      </w:r>
    </w:p>
  </w:footnote>
  <w:footnote w:id="3">
    <w:p w:rsidR="00B27D37" w:rsidRPr="00D501B4" w:rsidRDefault="00B27D37" w:rsidP="00681316">
      <w:pPr>
        <w:pStyle w:val="FootnoteText"/>
      </w:pPr>
      <w:r w:rsidRPr="00D501B4">
        <w:rPr>
          <w:rStyle w:val="FootnoteReference"/>
        </w:rPr>
        <w:footnoteRef/>
      </w:r>
      <w:r w:rsidRPr="00D501B4">
        <w:t xml:space="preserve"> Hypo ¶ 3</w:t>
      </w:r>
      <w:r>
        <w:t>.</w:t>
      </w:r>
    </w:p>
  </w:footnote>
  <w:footnote w:id="4">
    <w:p w:rsidR="00B27D37" w:rsidRPr="00D501B4" w:rsidRDefault="00B27D37" w:rsidP="00681316">
      <w:pPr>
        <w:pStyle w:val="FootnoteText"/>
      </w:pPr>
      <w:r w:rsidRPr="00D501B4">
        <w:rPr>
          <w:rStyle w:val="FootnoteReference"/>
        </w:rPr>
        <w:footnoteRef/>
      </w:r>
      <w:r w:rsidRPr="00D501B4">
        <w:t xml:space="preserve"> Hypo ¶ 1</w:t>
      </w:r>
      <w:r>
        <w:t>.</w:t>
      </w:r>
    </w:p>
  </w:footnote>
  <w:footnote w:id="5">
    <w:p w:rsidR="00B27D37" w:rsidRPr="00D501B4" w:rsidRDefault="00B27D37" w:rsidP="00681316">
      <w:pPr>
        <w:pStyle w:val="FootnoteText"/>
      </w:pPr>
      <w:r w:rsidRPr="00D501B4">
        <w:rPr>
          <w:rStyle w:val="FootnoteReference"/>
        </w:rPr>
        <w:footnoteRef/>
      </w:r>
      <w:r w:rsidRPr="00D501B4">
        <w:t xml:space="preserve"> Hypo ¶ 6(c)</w:t>
      </w:r>
      <w:r>
        <w:t>.</w:t>
      </w:r>
    </w:p>
  </w:footnote>
  <w:footnote w:id="6">
    <w:p w:rsidR="00E206E7" w:rsidRPr="00D501B4" w:rsidRDefault="00E206E7" w:rsidP="00681316">
      <w:pPr>
        <w:pStyle w:val="FootnoteText"/>
      </w:pPr>
      <w:r w:rsidRPr="00D501B4">
        <w:rPr>
          <w:rStyle w:val="FootnoteReference"/>
        </w:rPr>
        <w:footnoteRef/>
      </w:r>
      <w:r w:rsidRPr="00D501B4">
        <w:t xml:space="preserve"> Hypo ¶ 8</w:t>
      </w:r>
      <w:r>
        <w:t>.</w:t>
      </w:r>
    </w:p>
  </w:footnote>
  <w:footnote w:id="7">
    <w:p w:rsidR="00B27D37" w:rsidRPr="00D501B4" w:rsidRDefault="00B27D37" w:rsidP="00681316">
      <w:pPr>
        <w:pStyle w:val="FootnoteText"/>
      </w:pPr>
      <w:r w:rsidRPr="00D501B4">
        <w:rPr>
          <w:rStyle w:val="FootnoteReference"/>
        </w:rPr>
        <w:footnoteRef/>
      </w:r>
      <w:r w:rsidRPr="00D501B4">
        <w:t xml:space="preserve"> Hypo ¶ 9</w:t>
      </w:r>
      <w:r>
        <w:t>.</w:t>
      </w:r>
    </w:p>
  </w:footnote>
  <w:footnote w:id="8">
    <w:p w:rsidR="00B27D37" w:rsidRPr="00D501B4" w:rsidRDefault="00B27D37" w:rsidP="00681316">
      <w:pPr>
        <w:pStyle w:val="FootnoteText"/>
      </w:pPr>
      <w:r w:rsidRPr="00D501B4">
        <w:rPr>
          <w:rStyle w:val="FootnoteReference"/>
        </w:rPr>
        <w:footnoteRef/>
      </w:r>
      <w:r w:rsidRPr="00D501B4">
        <w:t xml:space="preserve"> </w:t>
      </w:r>
      <w:r w:rsidRPr="00276FD2">
        <w:rPr>
          <w:i/>
        </w:rPr>
        <w:t>Id</w:t>
      </w:r>
      <w:r w:rsidRPr="00D501B4">
        <w:t>.; Clarification Question 5</w:t>
      </w:r>
      <w:r>
        <w:t>.</w:t>
      </w:r>
    </w:p>
  </w:footnote>
  <w:footnote w:id="9">
    <w:p w:rsidR="00B27D37" w:rsidRPr="00D501B4" w:rsidRDefault="00B27D37" w:rsidP="00681316">
      <w:pPr>
        <w:pStyle w:val="FootnoteText"/>
      </w:pPr>
      <w:r w:rsidRPr="00D501B4">
        <w:rPr>
          <w:rStyle w:val="FootnoteReference"/>
        </w:rPr>
        <w:footnoteRef/>
      </w:r>
      <w:r w:rsidRPr="00D501B4">
        <w:t xml:space="preserve"> Hypo ¶ 10</w:t>
      </w:r>
      <w:r>
        <w:t>.</w:t>
      </w:r>
    </w:p>
  </w:footnote>
  <w:footnote w:id="10">
    <w:p w:rsidR="00B27D37" w:rsidRPr="00C94B25" w:rsidRDefault="00B27D37" w:rsidP="00681316">
      <w:pPr>
        <w:pStyle w:val="FootnoteText"/>
      </w:pPr>
      <w:r w:rsidRPr="00D501B4">
        <w:rPr>
          <w:rStyle w:val="FootnoteReference"/>
        </w:rPr>
        <w:footnoteRef/>
      </w:r>
      <w:r w:rsidRPr="00D501B4">
        <w:t xml:space="preserve"> </w:t>
      </w:r>
      <w:r w:rsidRPr="00276FD2">
        <w:rPr>
          <w:i/>
        </w:rPr>
        <w:t>Id</w:t>
      </w:r>
      <w:r w:rsidRPr="00D501B4">
        <w:t>.</w:t>
      </w:r>
    </w:p>
  </w:footnote>
  <w:footnote w:id="11">
    <w:p w:rsidR="00B27D37" w:rsidRPr="00D501B4" w:rsidRDefault="00B27D37" w:rsidP="00681316">
      <w:pPr>
        <w:pStyle w:val="FootnoteText"/>
      </w:pPr>
      <w:r w:rsidRPr="00D501B4">
        <w:rPr>
          <w:rStyle w:val="FootnoteReference"/>
        </w:rPr>
        <w:footnoteRef/>
      </w:r>
      <w:r w:rsidRPr="00D501B4">
        <w:t xml:space="preserve"> Hypo ¶ 6(c)</w:t>
      </w:r>
      <w:r>
        <w:t>.</w:t>
      </w:r>
    </w:p>
  </w:footnote>
  <w:footnote w:id="12">
    <w:p w:rsidR="00B27D37" w:rsidRPr="00D501B4" w:rsidRDefault="00B27D37" w:rsidP="00681316">
      <w:pPr>
        <w:pStyle w:val="FootnoteText"/>
      </w:pPr>
      <w:r w:rsidRPr="00D501B4">
        <w:rPr>
          <w:rStyle w:val="FootnoteReference"/>
        </w:rPr>
        <w:footnoteRef/>
      </w:r>
      <w:r w:rsidRPr="00D501B4">
        <w:t xml:space="preserve"> Hypo ¶ 11</w:t>
      </w:r>
      <w:r>
        <w:t>.</w:t>
      </w:r>
    </w:p>
  </w:footnote>
  <w:footnote w:id="13">
    <w:p w:rsidR="00B27D37" w:rsidRPr="00D501B4" w:rsidRDefault="00B27D37" w:rsidP="00681316">
      <w:pPr>
        <w:pStyle w:val="FootnoteText"/>
      </w:pPr>
      <w:r w:rsidRPr="00D501B4">
        <w:rPr>
          <w:rStyle w:val="FootnoteReference"/>
        </w:rPr>
        <w:footnoteRef/>
      </w:r>
      <w:r w:rsidRPr="00D501B4">
        <w:t xml:space="preserve"> Hypo ¶ 2</w:t>
      </w:r>
      <w:r>
        <w:t>.</w:t>
      </w:r>
    </w:p>
  </w:footnote>
  <w:footnote w:id="14">
    <w:p w:rsidR="00B27D37" w:rsidRPr="00D501B4" w:rsidRDefault="00B27D37" w:rsidP="00681316">
      <w:pPr>
        <w:pStyle w:val="FootnoteText"/>
      </w:pPr>
      <w:r w:rsidRPr="00D501B4">
        <w:rPr>
          <w:rStyle w:val="FootnoteReference"/>
        </w:rPr>
        <w:footnoteRef/>
      </w:r>
      <w:r w:rsidRPr="00D501B4">
        <w:t xml:space="preserve"> Hypo ¶¶ 12-15 &amp; 17; Clarification Question 11</w:t>
      </w:r>
      <w:r>
        <w:t>.</w:t>
      </w:r>
    </w:p>
  </w:footnote>
  <w:footnote w:id="15">
    <w:p w:rsidR="00B27D37" w:rsidRPr="00D501B4" w:rsidRDefault="00B27D37" w:rsidP="00681316">
      <w:pPr>
        <w:pStyle w:val="FootnoteText"/>
      </w:pPr>
      <w:r w:rsidRPr="00D501B4">
        <w:rPr>
          <w:rStyle w:val="FootnoteReference"/>
        </w:rPr>
        <w:footnoteRef/>
      </w:r>
      <w:r w:rsidRPr="00D501B4">
        <w:t xml:space="preserve"> Hypo ¶ 16 &amp; 17</w:t>
      </w:r>
      <w:r>
        <w:t>.</w:t>
      </w:r>
    </w:p>
  </w:footnote>
  <w:footnote w:id="16">
    <w:p w:rsidR="00B27D37" w:rsidRPr="00D501B4" w:rsidRDefault="00B27D37" w:rsidP="00681316">
      <w:pPr>
        <w:pStyle w:val="FootnoteText"/>
      </w:pPr>
      <w:r w:rsidRPr="00D501B4">
        <w:rPr>
          <w:rStyle w:val="FootnoteReference"/>
        </w:rPr>
        <w:footnoteRef/>
      </w:r>
      <w:r w:rsidRPr="00D501B4">
        <w:t xml:space="preserve"> Hypo ¶ 17</w:t>
      </w:r>
      <w:r>
        <w:t>.</w:t>
      </w:r>
    </w:p>
  </w:footnote>
  <w:footnote w:id="17">
    <w:p w:rsidR="00B27D37" w:rsidRPr="00C94B25" w:rsidRDefault="00B27D37" w:rsidP="00681316">
      <w:pPr>
        <w:pStyle w:val="FootnoteText"/>
      </w:pPr>
      <w:r w:rsidRPr="00D501B4">
        <w:rPr>
          <w:rStyle w:val="FootnoteReference"/>
        </w:rPr>
        <w:footnoteRef/>
      </w:r>
      <w:r w:rsidRPr="00D501B4">
        <w:t xml:space="preserve"> Hypo ¶ 17 &amp; 18.</w:t>
      </w:r>
    </w:p>
  </w:footnote>
  <w:footnote w:id="18">
    <w:p w:rsidR="00B27D37" w:rsidRPr="00D501B4" w:rsidRDefault="00B27D37" w:rsidP="00681316">
      <w:pPr>
        <w:pStyle w:val="FootnoteText"/>
      </w:pPr>
      <w:r w:rsidRPr="00D501B4">
        <w:rPr>
          <w:rStyle w:val="FootnoteReference"/>
        </w:rPr>
        <w:footnoteRef/>
      </w:r>
      <w:r w:rsidRPr="00D501B4">
        <w:t xml:space="preserve"> Hypo ¶ 20</w:t>
      </w:r>
      <w:r>
        <w:t>.</w:t>
      </w:r>
    </w:p>
  </w:footnote>
  <w:footnote w:id="19">
    <w:p w:rsidR="00B27D37" w:rsidRPr="00D501B4" w:rsidRDefault="00B27D37" w:rsidP="00681316">
      <w:pPr>
        <w:pStyle w:val="FootnoteText"/>
      </w:pPr>
      <w:r w:rsidRPr="00D501B4">
        <w:rPr>
          <w:rStyle w:val="FootnoteReference"/>
        </w:rPr>
        <w:footnoteRef/>
      </w:r>
      <w:r w:rsidRPr="00D501B4">
        <w:t xml:space="preserve"> Hypo ¶ 23</w:t>
      </w:r>
      <w:r>
        <w:t>.</w:t>
      </w:r>
    </w:p>
  </w:footnote>
  <w:footnote w:id="20">
    <w:p w:rsidR="00B27D37" w:rsidRPr="00D501B4" w:rsidRDefault="00B27D37" w:rsidP="00681316">
      <w:pPr>
        <w:pStyle w:val="FootnoteText"/>
      </w:pPr>
      <w:r w:rsidRPr="00D501B4">
        <w:rPr>
          <w:rStyle w:val="FootnoteReference"/>
        </w:rPr>
        <w:footnoteRef/>
      </w:r>
      <w:r w:rsidRPr="00D501B4">
        <w:t xml:space="preserve"> Hypo </w:t>
      </w:r>
      <w:r>
        <w:t xml:space="preserve">¶ </w:t>
      </w:r>
      <w:r w:rsidRPr="00D501B4">
        <w:t>24</w:t>
      </w:r>
      <w:r>
        <w:t>.</w:t>
      </w:r>
    </w:p>
  </w:footnote>
  <w:footnote w:id="21">
    <w:p w:rsidR="00B27D37" w:rsidRPr="00D501B4" w:rsidRDefault="00B27D37" w:rsidP="00681316">
      <w:pPr>
        <w:pStyle w:val="FootnoteText"/>
      </w:pPr>
      <w:r w:rsidRPr="00D501B4">
        <w:rPr>
          <w:rStyle w:val="FootnoteReference"/>
        </w:rPr>
        <w:footnoteRef/>
      </w:r>
      <w:r w:rsidRPr="00D501B4">
        <w:t xml:space="preserve"> Hypo ¶ 26</w:t>
      </w:r>
      <w:r>
        <w:t>.</w:t>
      </w:r>
    </w:p>
  </w:footnote>
  <w:footnote w:id="22">
    <w:p w:rsidR="00B27D37" w:rsidRPr="00D501B4" w:rsidRDefault="00B27D37" w:rsidP="00681316">
      <w:pPr>
        <w:pStyle w:val="FootnoteText"/>
      </w:pPr>
      <w:r w:rsidRPr="00D501B4">
        <w:rPr>
          <w:rStyle w:val="FootnoteReference"/>
        </w:rPr>
        <w:footnoteRef/>
      </w:r>
      <w:r w:rsidRPr="00D501B4">
        <w:t xml:space="preserve"> Hypo ¶ 27</w:t>
      </w:r>
      <w:r>
        <w:t>.</w:t>
      </w:r>
    </w:p>
  </w:footnote>
  <w:footnote w:id="23">
    <w:p w:rsidR="00B27D37" w:rsidRPr="00D501B4" w:rsidRDefault="00B27D37" w:rsidP="00681316">
      <w:pPr>
        <w:pStyle w:val="FootnoteText"/>
      </w:pPr>
      <w:r w:rsidRPr="00D501B4">
        <w:rPr>
          <w:rStyle w:val="FootnoteReference"/>
        </w:rPr>
        <w:footnoteRef/>
      </w:r>
      <w:r w:rsidRPr="00D501B4">
        <w:t xml:space="preserve"> Hypo ¶ 28</w:t>
      </w:r>
      <w:r>
        <w:t>.</w:t>
      </w:r>
    </w:p>
  </w:footnote>
  <w:footnote w:id="24">
    <w:p w:rsidR="00B27D37" w:rsidRPr="00D501B4" w:rsidRDefault="00B27D37" w:rsidP="00681316">
      <w:pPr>
        <w:pStyle w:val="FootnoteText"/>
      </w:pPr>
      <w:r w:rsidRPr="00D501B4">
        <w:rPr>
          <w:rStyle w:val="FootnoteReference"/>
        </w:rPr>
        <w:footnoteRef/>
      </w:r>
      <w:r w:rsidRPr="00D501B4">
        <w:t xml:space="preserve"> Hypo ¶¶ 30 &amp; 31</w:t>
      </w:r>
      <w:r>
        <w:t>.</w:t>
      </w:r>
    </w:p>
  </w:footnote>
  <w:footnote w:id="25">
    <w:p w:rsidR="00B27D37" w:rsidRPr="00C94B25" w:rsidRDefault="00B27D37" w:rsidP="00681316">
      <w:pPr>
        <w:pStyle w:val="FootnoteText"/>
      </w:pPr>
      <w:r w:rsidRPr="00D501B4">
        <w:rPr>
          <w:rStyle w:val="FootnoteReference"/>
        </w:rPr>
        <w:footnoteRef/>
      </w:r>
      <w:r w:rsidRPr="00D501B4">
        <w:t xml:space="preserve"> Hypo ¶ 32</w:t>
      </w:r>
      <w:r>
        <w:t>.</w:t>
      </w:r>
    </w:p>
  </w:footnote>
  <w:footnote w:id="26">
    <w:p w:rsidR="00B27D37" w:rsidRPr="00D501B4" w:rsidRDefault="00B27D37" w:rsidP="00681316">
      <w:pPr>
        <w:pStyle w:val="FootnoteText"/>
      </w:pPr>
      <w:r w:rsidRPr="00D501B4">
        <w:rPr>
          <w:rStyle w:val="FootnoteReference"/>
        </w:rPr>
        <w:footnoteRef/>
      </w:r>
      <w:r w:rsidRPr="00D501B4">
        <w:t xml:space="preserve"> Hypo ¶¶ 33 &amp; 34</w:t>
      </w:r>
      <w:r>
        <w:t>.</w:t>
      </w:r>
    </w:p>
  </w:footnote>
  <w:footnote w:id="27">
    <w:p w:rsidR="00B27D37" w:rsidRPr="00D501B4" w:rsidRDefault="00B27D37" w:rsidP="00681316">
      <w:pPr>
        <w:pStyle w:val="FootnoteText"/>
      </w:pPr>
      <w:r w:rsidRPr="00D501B4">
        <w:rPr>
          <w:rStyle w:val="FootnoteReference"/>
        </w:rPr>
        <w:footnoteRef/>
      </w:r>
      <w:r w:rsidRPr="00D501B4">
        <w:t xml:space="preserve"> Hypo ¶ 35</w:t>
      </w:r>
      <w:r>
        <w:t>.</w:t>
      </w:r>
    </w:p>
  </w:footnote>
  <w:footnote w:id="28">
    <w:p w:rsidR="00B27D37" w:rsidRPr="00D501B4" w:rsidRDefault="00B27D37" w:rsidP="00681316">
      <w:pPr>
        <w:pStyle w:val="FootnoteText"/>
      </w:pPr>
      <w:r w:rsidRPr="00D501B4">
        <w:rPr>
          <w:rStyle w:val="FootnoteReference"/>
        </w:rPr>
        <w:footnoteRef/>
      </w:r>
      <w:r w:rsidRPr="00D501B4">
        <w:t xml:space="preserve"> Hypo ¶ 38</w:t>
      </w:r>
      <w:r>
        <w:t>.</w:t>
      </w:r>
    </w:p>
  </w:footnote>
  <w:footnote w:id="29">
    <w:p w:rsidR="00B27D37" w:rsidRPr="00D501B4" w:rsidRDefault="00B27D37" w:rsidP="00681316">
      <w:pPr>
        <w:pStyle w:val="FootnoteText"/>
      </w:pPr>
      <w:r w:rsidRPr="00D501B4">
        <w:rPr>
          <w:rStyle w:val="FootnoteReference"/>
        </w:rPr>
        <w:footnoteRef/>
      </w:r>
      <w:r w:rsidRPr="00D501B4">
        <w:t xml:space="preserve"> Hypo ¶ 39</w:t>
      </w:r>
      <w:r>
        <w:t>.</w:t>
      </w:r>
    </w:p>
  </w:footnote>
  <w:footnote w:id="30">
    <w:p w:rsidR="00B27D37" w:rsidRPr="00D501B4" w:rsidRDefault="00B27D37" w:rsidP="00681316">
      <w:pPr>
        <w:pStyle w:val="FootnoteText"/>
      </w:pPr>
      <w:r w:rsidRPr="00D501B4">
        <w:rPr>
          <w:rStyle w:val="FootnoteReference"/>
        </w:rPr>
        <w:footnoteRef/>
      </w:r>
      <w:r w:rsidRPr="00D501B4">
        <w:t xml:space="preserve"> Hypo ¶ 40</w:t>
      </w:r>
      <w:r>
        <w:t>, Clarification Question 1.</w:t>
      </w:r>
    </w:p>
  </w:footnote>
  <w:footnote w:id="31">
    <w:p w:rsidR="00B27D37" w:rsidRPr="00D501B4" w:rsidRDefault="00B27D37" w:rsidP="00681316">
      <w:pPr>
        <w:pStyle w:val="FootnoteText"/>
      </w:pPr>
      <w:r w:rsidRPr="00D501B4">
        <w:rPr>
          <w:rStyle w:val="FootnoteReference"/>
        </w:rPr>
        <w:footnoteRef/>
      </w:r>
      <w:r w:rsidRPr="00D501B4">
        <w:t xml:space="preserve"> Clarification Question 1</w:t>
      </w:r>
      <w:r>
        <w:t>.</w:t>
      </w:r>
    </w:p>
  </w:footnote>
  <w:footnote w:id="32">
    <w:p w:rsidR="00B27D37" w:rsidRPr="00C94B25" w:rsidRDefault="00B27D37" w:rsidP="00681316">
      <w:pPr>
        <w:pStyle w:val="FootnoteText"/>
      </w:pPr>
      <w:r w:rsidRPr="00D501B4">
        <w:rPr>
          <w:rStyle w:val="FootnoteReference"/>
        </w:rPr>
        <w:footnoteRef/>
      </w:r>
      <w:r w:rsidRPr="00D501B4">
        <w:t xml:space="preserve"> Hypo ¶ 41</w:t>
      </w:r>
      <w:r>
        <w:t>.</w:t>
      </w:r>
    </w:p>
  </w:footnote>
  <w:footnote w:id="33">
    <w:p w:rsidR="00B27D37" w:rsidRPr="00D501B4" w:rsidRDefault="00B27D37" w:rsidP="00681316">
      <w:pPr>
        <w:pStyle w:val="FootnoteText"/>
      </w:pPr>
      <w:r w:rsidRPr="00D501B4">
        <w:rPr>
          <w:rStyle w:val="FootnoteReference"/>
        </w:rPr>
        <w:footnoteRef/>
      </w:r>
      <w:r w:rsidRPr="00D501B4">
        <w:t xml:space="preserve"> Hypo ¶ 42</w:t>
      </w:r>
      <w:r>
        <w:t>.</w:t>
      </w:r>
    </w:p>
  </w:footnote>
  <w:footnote w:id="34">
    <w:p w:rsidR="00B27D37" w:rsidRPr="00D501B4" w:rsidRDefault="00B27D37" w:rsidP="00681316">
      <w:pPr>
        <w:pStyle w:val="FootnoteText"/>
      </w:pPr>
      <w:r w:rsidRPr="00D501B4">
        <w:rPr>
          <w:rStyle w:val="FootnoteReference"/>
        </w:rPr>
        <w:footnoteRef/>
      </w:r>
      <w:r w:rsidRPr="00D501B4">
        <w:t xml:space="preserve"> Hypo ¶ 43</w:t>
      </w:r>
      <w:r>
        <w:t>.</w:t>
      </w:r>
    </w:p>
  </w:footnote>
  <w:footnote w:id="35">
    <w:p w:rsidR="00B27D37" w:rsidRPr="00D501B4" w:rsidRDefault="00B27D37" w:rsidP="00681316">
      <w:pPr>
        <w:pStyle w:val="FootnoteText"/>
      </w:pPr>
      <w:r w:rsidRPr="00D501B4">
        <w:rPr>
          <w:rStyle w:val="FootnoteReference"/>
        </w:rPr>
        <w:footnoteRef/>
      </w:r>
      <w:r w:rsidRPr="00D501B4">
        <w:t xml:space="preserve"> Hypo ¶¶ 44 &amp; 45</w:t>
      </w:r>
      <w:r>
        <w:t>.</w:t>
      </w:r>
    </w:p>
  </w:footnote>
  <w:footnote w:id="36">
    <w:p w:rsidR="00B27D37" w:rsidRPr="00D501B4" w:rsidRDefault="00B27D37" w:rsidP="00681316">
      <w:pPr>
        <w:pStyle w:val="FootnoteText"/>
      </w:pPr>
      <w:r w:rsidRPr="00D501B4">
        <w:rPr>
          <w:rStyle w:val="FootnoteReference"/>
        </w:rPr>
        <w:footnoteRef/>
      </w:r>
      <w:r w:rsidRPr="00D501B4">
        <w:t xml:space="preserve"> Hypo ¶ 45</w:t>
      </w:r>
      <w:r>
        <w:t>.</w:t>
      </w:r>
    </w:p>
  </w:footnote>
  <w:footnote w:id="37">
    <w:p w:rsidR="00B27D37" w:rsidRPr="00D501B4" w:rsidRDefault="00B27D37" w:rsidP="00681316">
      <w:pPr>
        <w:pStyle w:val="FootnoteText"/>
      </w:pPr>
      <w:r w:rsidRPr="00D501B4">
        <w:rPr>
          <w:rStyle w:val="FootnoteReference"/>
        </w:rPr>
        <w:footnoteRef/>
      </w:r>
      <w:r w:rsidRPr="00D501B4">
        <w:t xml:space="preserve"> </w:t>
      </w:r>
      <w:r w:rsidRPr="00276FD2">
        <w:rPr>
          <w:i/>
        </w:rPr>
        <w:t>Id</w:t>
      </w:r>
      <w:r w:rsidRPr="00D501B4">
        <w:t>.</w:t>
      </w:r>
    </w:p>
  </w:footnote>
  <w:footnote w:id="38">
    <w:p w:rsidR="00B27D37" w:rsidRPr="00D501B4" w:rsidRDefault="00B27D37" w:rsidP="00681316">
      <w:pPr>
        <w:pStyle w:val="FootnoteText"/>
      </w:pPr>
      <w:r w:rsidRPr="00D501B4">
        <w:rPr>
          <w:rStyle w:val="FootnoteReference"/>
        </w:rPr>
        <w:footnoteRef/>
      </w:r>
      <w:r w:rsidRPr="00D501B4">
        <w:t xml:space="preserve"> Hypo ¶ 46</w:t>
      </w:r>
      <w:r>
        <w:t>.</w:t>
      </w:r>
    </w:p>
  </w:footnote>
  <w:footnote w:id="39">
    <w:p w:rsidR="00B27D37" w:rsidRPr="00D501B4" w:rsidRDefault="00B27D37" w:rsidP="00681316">
      <w:pPr>
        <w:pStyle w:val="FootnoteText"/>
      </w:pPr>
      <w:r w:rsidRPr="00D501B4">
        <w:rPr>
          <w:rStyle w:val="FootnoteReference"/>
        </w:rPr>
        <w:footnoteRef/>
      </w:r>
      <w:r w:rsidRPr="00D501B4">
        <w:t xml:space="preserve"> Hypo ¶ 48</w:t>
      </w:r>
      <w:r>
        <w:t>.</w:t>
      </w:r>
    </w:p>
  </w:footnote>
  <w:footnote w:id="40">
    <w:p w:rsidR="00B27D37" w:rsidRPr="00D501B4" w:rsidRDefault="00B27D37" w:rsidP="00681316">
      <w:pPr>
        <w:pStyle w:val="FootnoteText"/>
      </w:pPr>
      <w:r w:rsidRPr="00D501B4">
        <w:rPr>
          <w:rStyle w:val="FootnoteReference"/>
        </w:rPr>
        <w:footnoteRef/>
      </w:r>
      <w:r w:rsidRPr="00D501B4">
        <w:t xml:space="preserve"> </w:t>
      </w:r>
      <w:r w:rsidRPr="00276FD2">
        <w:rPr>
          <w:i/>
        </w:rPr>
        <w:t>Id</w:t>
      </w:r>
      <w:r w:rsidRPr="00D501B4">
        <w:t>.</w:t>
      </w:r>
    </w:p>
  </w:footnote>
  <w:footnote w:id="41">
    <w:p w:rsidR="00B27D37" w:rsidRPr="00D501B4" w:rsidRDefault="00B27D37" w:rsidP="00681316">
      <w:pPr>
        <w:pStyle w:val="FootnoteText"/>
      </w:pPr>
      <w:r w:rsidRPr="00D501B4">
        <w:rPr>
          <w:rStyle w:val="FootnoteReference"/>
        </w:rPr>
        <w:footnoteRef/>
      </w:r>
      <w:r w:rsidRPr="00D501B4">
        <w:t xml:space="preserve"> Hypo ¶ 49</w:t>
      </w:r>
      <w:r>
        <w:t>.</w:t>
      </w:r>
    </w:p>
  </w:footnote>
  <w:footnote w:id="42">
    <w:p w:rsidR="00B27D37" w:rsidRPr="00C94B25" w:rsidRDefault="00B27D37" w:rsidP="00681316">
      <w:pPr>
        <w:pStyle w:val="FootnoteText"/>
      </w:pPr>
      <w:r w:rsidRPr="00D501B4">
        <w:rPr>
          <w:rStyle w:val="FootnoteReference"/>
        </w:rPr>
        <w:footnoteRef/>
      </w:r>
      <w:r w:rsidRPr="00D501B4">
        <w:t xml:space="preserve"> Hypo ¶ 50</w:t>
      </w:r>
      <w:r>
        <w:t>.</w:t>
      </w:r>
    </w:p>
  </w:footnote>
  <w:footnote w:id="43">
    <w:p w:rsidR="00B27D37" w:rsidRPr="00D501B4" w:rsidRDefault="00B27D37" w:rsidP="00681316">
      <w:pPr>
        <w:pStyle w:val="FootnoteText"/>
      </w:pPr>
      <w:r w:rsidRPr="00D501B4">
        <w:rPr>
          <w:rStyle w:val="FootnoteReference"/>
        </w:rPr>
        <w:footnoteRef/>
      </w:r>
      <w:r w:rsidRPr="00D501B4">
        <w:t xml:space="preserve"> </w:t>
      </w:r>
      <w:r w:rsidRPr="000E71F3">
        <w:rPr>
          <w:i/>
        </w:rPr>
        <w:t>Id</w:t>
      </w:r>
      <w:r w:rsidRPr="00D501B4">
        <w:t>.</w:t>
      </w:r>
    </w:p>
  </w:footnote>
  <w:footnote w:id="44">
    <w:p w:rsidR="00B27D37" w:rsidRPr="00D501B4" w:rsidRDefault="00B27D37" w:rsidP="00681316">
      <w:pPr>
        <w:pStyle w:val="FootnoteText"/>
      </w:pPr>
      <w:r w:rsidRPr="00D501B4">
        <w:rPr>
          <w:rStyle w:val="FootnoteReference"/>
        </w:rPr>
        <w:footnoteRef/>
      </w:r>
      <w:r w:rsidRPr="00D501B4">
        <w:t xml:space="preserve"> Hypo ¶ 51</w:t>
      </w:r>
      <w:r>
        <w:t>.</w:t>
      </w:r>
    </w:p>
  </w:footnote>
  <w:footnote w:id="45">
    <w:p w:rsidR="00B27D37" w:rsidRPr="00D501B4" w:rsidRDefault="00B27D37" w:rsidP="00681316">
      <w:pPr>
        <w:pStyle w:val="FootnoteText"/>
      </w:pPr>
      <w:r w:rsidRPr="00D501B4">
        <w:rPr>
          <w:rStyle w:val="FootnoteReference"/>
        </w:rPr>
        <w:footnoteRef/>
      </w:r>
      <w:r w:rsidRPr="00D501B4">
        <w:t xml:space="preserve"> Hypo ¶ 52</w:t>
      </w:r>
      <w:r>
        <w:t>.</w:t>
      </w:r>
    </w:p>
  </w:footnote>
  <w:footnote w:id="46">
    <w:p w:rsidR="00B27D37" w:rsidRPr="00D501B4" w:rsidRDefault="00B27D37" w:rsidP="00681316">
      <w:pPr>
        <w:pStyle w:val="FootnoteText"/>
      </w:pPr>
      <w:r w:rsidRPr="00D501B4">
        <w:rPr>
          <w:rStyle w:val="FootnoteReference"/>
        </w:rPr>
        <w:footnoteRef/>
      </w:r>
      <w:r w:rsidRPr="00D501B4">
        <w:t xml:space="preserve"> </w:t>
      </w:r>
      <w:r w:rsidRPr="000E71F3">
        <w:rPr>
          <w:i/>
        </w:rPr>
        <w:t>Id</w:t>
      </w:r>
      <w:r w:rsidRPr="00D501B4">
        <w:t>.</w:t>
      </w:r>
    </w:p>
  </w:footnote>
  <w:footnote w:id="47">
    <w:p w:rsidR="00B27D37" w:rsidRPr="00D501B4" w:rsidRDefault="00B27D37" w:rsidP="00681316">
      <w:pPr>
        <w:pStyle w:val="FootnoteText"/>
      </w:pPr>
      <w:r w:rsidRPr="00D501B4">
        <w:rPr>
          <w:rStyle w:val="FootnoteReference"/>
        </w:rPr>
        <w:footnoteRef/>
      </w:r>
      <w:r w:rsidRPr="00D501B4">
        <w:t xml:space="preserve"> Hypo ¶ 53</w:t>
      </w:r>
      <w:r>
        <w:t>.</w:t>
      </w:r>
    </w:p>
  </w:footnote>
  <w:footnote w:id="48">
    <w:p w:rsidR="00B27D37" w:rsidRPr="00D501B4" w:rsidRDefault="00B27D37" w:rsidP="00681316">
      <w:pPr>
        <w:pStyle w:val="FootnoteText"/>
      </w:pPr>
      <w:r w:rsidRPr="00D501B4">
        <w:rPr>
          <w:rStyle w:val="FootnoteReference"/>
        </w:rPr>
        <w:footnoteRef/>
      </w:r>
      <w:r w:rsidRPr="00D501B4">
        <w:t xml:space="preserve"> </w:t>
      </w:r>
      <w:r w:rsidRPr="000E71F3">
        <w:rPr>
          <w:i/>
        </w:rPr>
        <w:t>Id</w:t>
      </w:r>
      <w:r w:rsidRPr="00D501B4">
        <w:t>.</w:t>
      </w:r>
    </w:p>
  </w:footnote>
  <w:footnote w:id="49">
    <w:p w:rsidR="00B27D37" w:rsidRPr="00D501B4" w:rsidRDefault="00B27D37" w:rsidP="00681316">
      <w:pPr>
        <w:pStyle w:val="FootnoteText"/>
      </w:pPr>
      <w:r w:rsidRPr="00D501B4">
        <w:rPr>
          <w:rStyle w:val="FootnoteReference"/>
        </w:rPr>
        <w:footnoteRef/>
      </w:r>
      <w:r w:rsidRPr="00D501B4">
        <w:t xml:space="preserve"> Hypo ¶ 54</w:t>
      </w:r>
      <w:r>
        <w:t>.</w:t>
      </w:r>
    </w:p>
  </w:footnote>
  <w:footnote w:id="50">
    <w:p w:rsidR="00B27D37" w:rsidRPr="00D501B4" w:rsidRDefault="00B27D37" w:rsidP="00681316">
      <w:pPr>
        <w:pStyle w:val="FootnoteText"/>
      </w:pPr>
      <w:r w:rsidRPr="00D501B4">
        <w:rPr>
          <w:rStyle w:val="FootnoteReference"/>
        </w:rPr>
        <w:footnoteRef/>
      </w:r>
      <w:r w:rsidRPr="00D501B4">
        <w:t xml:space="preserve"> Hypo ¶¶ 56 &amp; 57</w:t>
      </w:r>
      <w:r>
        <w:t>.</w:t>
      </w:r>
    </w:p>
  </w:footnote>
  <w:footnote w:id="51">
    <w:p w:rsidR="00B27D37" w:rsidRPr="00C94B25" w:rsidRDefault="00B27D37" w:rsidP="00681316">
      <w:pPr>
        <w:pStyle w:val="FootnoteText"/>
      </w:pPr>
      <w:r w:rsidRPr="00D501B4">
        <w:rPr>
          <w:rStyle w:val="FootnoteReference"/>
        </w:rPr>
        <w:footnoteRef/>
      </w:r>
      <w:r w:rsidRPr="00D501B4">
        <w:t xml:space="preserve"> Hypo ¶ 58</w:t>
      </w:r>
      <w:r>
        <w:t>.</w:t>
      </w:r>
    </w:p>
  </w:footnote>
  <w:footnote w:id="52">
    <w:p w:rsidR="00B27D37" w:rsidRPr="00D501B4" w:rsidRDefault="00B27D37" w:rsidP="00681316">
      <w:pPr>
        <w:pStyle w:val="FootnoteText"/>
      </w:pPr>
      <w:r w:rsidRPr="00D501B4">
        <w:rPr>
          <w:rStyle w:val="FootnoteReference"/>
        </w:rPr>
        <w:footnoteRef/>
      </w:r>
      <w:r w:rsidRPr="00D501B4">
        <w:t xml:space="preserve"> Hypo ¶ 59</w:t>
      </w:r>
      <w:r>
        <w:t>.</w:t>
      </w:r>
    </w:p>
  </w:footnote>
  <w:footnote w:id="53">
    <w:p w:rsidR="00B27D37" w:rsidRPr="00D501B4" w:rsidRDefault="00B27D37" w:rsidP="00681316">
      <w:pPr>
        <w:pStyle w:val="FootnoteText"/>
      </w:pPr>
      <w:r w:rsidRPr="00D501B4">
        <w:rPr>
          <w:rStyle w:val="FootnoteReference"/>
        </w:rPr>
        <w:footnoteRef/>
      </w:r>
      <w:r w:rsidRPr="00D501B4">
        <w:t xml:space="preserve"> </w:t>
      </w:r>
      <w:r w:rsidRPr="000E71F3">
        <w:rPr>
          <w:i/>
        </w:rPr>
        <w:t>Id</w:t>
      </w:r>
      <w:r w:rsidRPr="00D501B4">
        <w:t>.</w:t>
      </w:r>
    </w:p>
  </w:footnote>
  <w:footnote w:id="54">
    <w:p w:rsidR="00B27D37" w:rsidRPr="00D501B4" w:rsidRDefault="00B27D37" w:rsidP="00681316">
      <w:pPr>
        <w:pStyle w:val="FootnoteText"/>
      </w:pPr>
      <w:r w:rsidRPr="00D501B4">
        <w:rPr>
          <w:rStyle w:val="FootnoteReference"/>
        </w:rPr>
        <w:footnoteRef/>
      </w:r>
      <w:r w:rsidRPr="00D501B4">
        <w:t xml:space="preserve"> Hypo ¶ 60 &amp; 61.</w:t>
      </w:r>
    </w:p>
  </w:footnote>
  <w:footnote w:id="55">
    <w:p w:rsidR="00B27D37" w:rsidRPr="00D501B4" w:rsidRDefault="00B27D37" w:rsidP="00681316">
      <w:pPr>
        <w:pStyle w:val="FootnoteText"/>
      </w:pPr>
      <w:r w:rsidRPr="00D501B4">
        <w:rPr>
          <w:rStyle w:val="FootnoteReference"/>
        </w:rPr>
        <w:footnoteRef/>
      </w:r>
      <w:r w:rsidRPr="00D501B4">
        <w:t xml:space="preserve"> Hypo ¶ 63</w:t>
      </w:r>
      <w:r>
        <w:t>.</w:t>
      </w:r>
    </w:p>
  </w:footnote>
  <w:footnote w:id="56">
    <w:p w:rsidR="00B27D37" w:rsidRPr="00C94B25" w:rsidRDefault="00B27D37" w:rsidP="00681316">
      <w:pPr>
        <w:pStyle w:val="FootnoteText"/>
      </w:pPr>
      <w:r w:rsidRPr="00D501B4">
        <w:rPr>
          <w:rStyle w:val="FootnoteReference"/>
        </w:rPr>
        <w:footnoteRef/>
      </w:r>
      <w:r w:rsidRPr="00D501B4">
        <w:t xml:space="preserve"> Hypo ¶¶ 63 &amp; 64.</w:t>
      </w:r>
    </w:p>
  </w:footnote>
  <w:footnote w:id="57">
    <w:p w:rsidR="00B27D37" w:rsidRPr="00A7760B" w:rsidRDefault="00B27D37" w:rsidP="00681316">
      <w:pPr>
        <w:pStyle w:val="FootnoteText"/>
      </w:pPr>
      <w:r w:rsidRPr="00A7760B">
        <w:rPr>
          <w:rStyle w:val="FootnoteReference"/>
        </w:rPr>
        <w:footnoteRef/>
      </w:r>
      <w:r w:rsidRPr="00A7760B">
        <w:t xml:space="preserve"> American Convention, art. 46</w:t>
      </w:r>
      <w:r w:rsidRPr="00A7760B">
        <w:fldChar w:fldCharType="begin"/>
      </w:r>
      <w:r w:rsidRPr="00A7760B">
        <w:instrText xml:space="preserve"> TA \l "Article 46" \s "American Convention, art. 46" \c 8 </w:instrText>
      </w:r>
      <w:r w:rsidRPr="00A7760B">
        <w:fldChar w:fldCharType="end"/>
      </w:r>
      <w:r w:rsidRPr="00A7760B">
        <w:t>(2).</w:t>
      </w:r>
    </w:p>
  </w:footnote>
  <w:footnote w:id="58">
    <w:p w:rsidR="00B27D37" w:rsidRPr="00A7760B" w:rsidRDefault="00B27D37" w:rsidP="00681316">
      <w:pPr>
        <w:pStyle w:val="FootnoteText"/>
      </w:pPr>
      <w:r w:rsidRPr="00A7760B">
        <w:rPr>
          <w:rStyle w:val="FootnoteReference"/>
        </w:rPr>
        <w:footnoteRef/>
      </w:r>
      <w:r w:rsidRPr="00A7760B">
        <w:t xml:space="preserve"> </w:t>
      </w:r>
      <w:r w:rsidRPr="00A7760B">
        <w:rPr>
          <w:i/>
        </w:rPr>
        <w:t>Exceptions to the Exhaustion of Domestic Remedies (Arts. 46(1), 46(2)(a) and 46(2)(b) of the American Convention on Human Rights)</w:t>
      </w:r>
      <w:r w:rsidRPr="00A7760B">
        <w:t>, Advisory Opinion OC-11/90, Inter-Am. Ct. H.R., Ser. A, No. 11</w:t>
      </w:r>
      <w:r w:rsidRPr="00A7760B">
        <w:fldChar w:fldCharType="begin"/>
      </w:r>
      <w:r w:rsidRPr="00A7760B">
        <w:instrText xml:space="preserve"> TA \l "</w:instrText>
      </w:r>
      <w:r w:rsidRPr="00A7760B">
        <w:rPr>
          <w:i/>
        </w:rPr>
        <w:instrText>Exceptions to the Exhaustion of Domestic Remedies (Arts. 46(1), 46(2)(a) and 46(2)(b) of the American Convention on Human Rights)</w:instrText>
      </w:r>
      <w:r w:rsidRPr="00A7760B">
        <w:instrText xml:space="preserve"> </w:instrText>
      </w:r>
      <w:r w:rsidRPr="00A7760B">
        <w:br/>
        <w:instrText xml:space="preserve">Advisory Opinion OC-11/90, Inter-Am. Ct. H.R., Ser. A, No. 11 (10 Aug., 1990)" \s "Advisory Opinion OC-11/90, Inter-Am. Ct. H.R., Ser. A, No. 11" \c 9 </w:instrText>
      </w:r>
      <w:r w:rsidRPr="00A7760B">
        <w:fldChar w:fldCharType="end"/>
      </w:r>
      <w:r w:rsidRPr="00A7760B">
        <w:t xml:space="preserve"> (10 Aug., 1990), ¶ 36.</w:t>
      </w:r>
    </w:p>
  </w:footnote>
  <w:footnote w:id="59">
    <w:p w:rsidR="00B27D37" w:rsidRPr="00A7760B" w:rsidRDefault="00B27D37" w:rsidP="00681316">
      <w:pPr>
        <w:pStyle w:val="FootnoteText"/>
      </w:pPr>
      <w:r w:rsidRPr="00A7760B">
        <w:rPr>
          <w:rStyle w:val="FootnoteReference"/>
        </w:rPr>
        <w:footnoteRef/>
      </w:r>
      <w:r w:rsidRPr="00A7760B">
        <w:t xml:space="preserve"> </w:t>
      </w:r>
      <w:r w:rsidRPr="00A7760B">
        <w:rPr>
          <w:i/>
        </w:rPr>
        <w:t>Viviana Gallardo et al</w:t>
      </w:r>
      <w:r w:rsidRPr="00A7760B">
        <w:t>. (Advisory Opinion), Inter-Am. Ct. H.R., Ser. A, No. G 101/81 (15 July, 1981)</w:t>
      </w:r>
      <w:r w:rsidRPr="00A7760B">
        <w:fldChar w:fldCharType="begin"/>
      </w:r>
      <w:r w:rsidRPr="00A7760B">
        <w:instrText xml:space="preserve"> TA \l "</w:instrText>
      </w:r>
      <w:r w:rsidRPr="00A7760B">
        <w:rPr>
          <w:i/>
        </w:rPr>
        <w:instrText>Viviana Gallardo et al</w:instrText>
      </w:r>
      <w:r w:rsidRPr="00A7760B">
        <w:instrText xml:space="preserve">., (Advisory Opinion) </w:instrText>
      </w:r>
      <w:r w:rsidRPr="00A7760B">
        <w:br/>
        <w:instrText xml:space="preserve">Inter-Am. Ct. H.R., Ser. A, No. G 101/81, (15 July, 1981)" \s "Viviana Gallardo et al., (Advisory Opinion) </w:instrText>
      </w:r>
      <w:r w:rsidRPr="00A7760B">
        <w:br/>
        <w:instrText xml:space="preserve">Inter-Am. Ct. H.R., Ser. A, No. G 101/81 (15 July, 1981)" \c 13 </w:instrText>
      </w:r>
      <w:r w:rsidRPr="00A7760B">
        <w:fldChar w:fldCharType="end"/>
      </w:r>
      <w:r w:rsidRPr="00A7760B">
        <w:t>, ¶ 26.</w:t>
      </w:r>
    </w:p>
  </w:footnote>
  <w:footnote w:id="60">
    <w:p w:rsidR="00B27D37" w:rsidRPr="00A7760B" w:rsidRDefault="00B27D37" w:rsidP="00681316">
      <w:pPr>
        <w:pStyle w:val="FootnoteText"/>
      </w:pPr>
      <w:r w:rsidRPr="00A7760B">
        <w:rPr>
          <w:rStyle w:val="FootnoteReference"/>
        </w:rPr>
        <w:footnoteRef/>
      </w:r>
      <w:r w:rsidRPr="00A7760B">
        <w:t xml:space="preserve"> </w:t>
      </w:r>
      <w:r w:rsidRPr="00A7760B">
        <w:rPr>
          <w:i/>
        </w:rPr>
        <w:t>David Austin Smith v. Commonwealth of the Bahamas</w:t>
      </w:r>
      <w:r w:rsidRPr="00A7760B">
        <w:t xml:space="preserve">, Case 12.399, Report No. 26/07, Inter-Am. Comm’n H.R., </w:t>
      </w:r>
      <w:r w:rsidRPr="00A7760B">
        <w:rPr>
          <w:bCs/>
        </w:rPr>
        <w:t>OEA/Ser.L/V/II.130 doc. 22, rev. 1</w:t>
      </w:r>
      <w:r w:rsidRPr="00A7760B">
        <w:t xml:space="preserve"> (9 March, 2007)</w:t>
      </w:r>
      <w:r w:rsidRPr="00A7760B">
        <w:fldChar w:fldCharType="begin"/>
      </w:r>
      <w:r w:rsidRPr="00A7760B">
        <w:instrText xml:space="preserve"> TA \l "</w:instrText>
      </w:r>
      <w:r w:rsidRPr="00A7760B">
        <w:rPr>
          <w:i/>
        </w:rPr>
        <w:instrText>David Austin Smith v. Commonwealth of the Bahamas</w:instrText>
      </w:r>
      <w:r w:rsidRPr="00A7760B">
        <w:rPr>
          <w:i/>
        </w:rPr>
        <w:br/>
      </w:r>
      <w:r w:rsidRPr="00A7760B">
        <w:instrText xml:space="preserve">Case 12.399, Report No. 26/07 </w:instrText>
      </w:r>
      <w:r w:rsidRPr="00A7760B">
        <w:br/>
        <w:instrText xml:space="preserve">Inter-Am. Comm’n H.R., </w:instrText>
      </w:r>
      <w:r w:rsidRPr="00A7760B">
        <w:rPr>
          <w:bCs/>
        </w:rPr>
        <w:instrText>OEA/Ser.L/V/II.130, doc. 22, rev. 1</w:instrText>
      </w:r>
      <w:r w:rsidRPr="00A7760B">
        <w:instrText xml:space="preserve"> (9 March, 2007)" \s "David Austin Smith v. Commonwealth of the Bahamas, Case 12.399, Report No. 26/07, Inter-Am. Comm’n H.R., OEA/Ser.L/V/II.130 Doc. 22, rev. 1, (9 March, 2007)" \c 11 </w:instrText>
      </w:r>
      <w:r w:rsidRPr="00A7760B">
        <w:fldChar w:fldCharType="end"/>
      </w:r>
      <w:r w:rsidRPr="00A7760B">
        <w:t>, ¶ 18.</w:t>
      </w:r>
    </w:p>
  </w:footnote>
  <w:footnote w:id="61">
    <w:p w:rsidR="00B27D37" w:rsidRPr="00A7760B" w:rsidRDefault="00B27D37" w:rsidP="00681316">
      <w:pPr>
        <w:spacing w:after="0"/>
        <w:rPr>
          <w:rFonts w:ascii="Times New Roman" w:hAnsi="Times New Roman" w:cs="Times New Roman"/>
          <w:sz w:val="20"/>
          <w:szCs w:val="20"/>
        </w:rPr>
      </w:pPr>
      <w:r w:rsidRPr="00A7760B">
        <w:rPr>
          <w:rStyle w:val="FootnoteReference"/>
          <w:rFonts w:ascii="Times New Roman" w:hAnsi="Times New Roman" w:cs="Times New Roman"/>
          <w:sz w:val="20"/>
          <w:szCs w:val="20"/>
        </w:rPr>
        <w:footnoteRef/>
      </w:r>
      <w:r w:rsidRPr="00A7760B">
        <w:rPr>
          <w:rFonts w:ascii="Times New Roman" w:hAnsi="Times New Roman" w:cs="Times New Roman"/>
          <w:sz w:val="20"/>
          <w:szCs w:val="20"/>
        </w:rPr>
        <w:t xml:space="preserve"> </w:t>
      </w:r>
      <w:r w:rsidRPr="00A7760B">
        <w:rPr>
          <w:rStyle w:val="Hyperlink"/>
          <w:rFonts w:ascii="Times New Roman" w:hAnsi="Times New Roman" w:cs="Times New Roman"/>
          <w:color w:val="auto"/>
          <w:sz w:val="20"/>
          <w:szCs w:val="20"/>
          <w:u w:val="none"/>
        </w:rPr>
        <w:t xml:space="preserve">Inter-American Commission on Human Rights Petitions and Case System Informational Brochure </w:t>
      </w:r>
      <w:hyperlink r:id="rId1" w:history="1">
        <w:r w:rsidRPr="00A7760B">
          <w:rPr>
            <w:rStyle w:val="Hyperlink"/>
            <w:rFonts w:ascii="Times New Roman" w:hAnsi="Times New Roman" w:cs="Times New Roman"/>
            <w:color w:val="auto"/>
            <w:sz w:val="20"/>
            <w:szCs w:val="20"/>
          </w:rPr>
          <w:t>http://www.oas.org/en/iachr/docs/pdf/HowTo.pdf</w:t>
        </w:r>
        <w:r w:rsidRPr="00A7760B">
          <w:rPr>
            <w:rStyle w:val="Hyperlink"/>
            <w:rFonts w:ascii="Times New Roman" w:hAnsi="Times New Roman" w:cs="Times New Roman"/>
            <w:color w:val="auto"/>
            <w:sz w:val="20"/>
            <w:szCs w:val="20"/>
          </w:rPr>
          <w:fldChar w:fldCharType="begin"/>
        </w:r>
        <w:r w:rsidRPr="00A7760B">
          <w:rPr>
            <w:rFonts w:ascii="Times New Roman" w:hAnsi="Times New Roman" w:cs="Times New Roman"/>
            <w:sz w:val="20"/>
            <w:szCs w:val="20"/>
          </w:rPr>
          <w:instrText xml:space="preserve"> TA \l "</w:instrText>
        </w:r>
        <w:r w:rsidRPr="00A7760B">
          <w:rPr>
            <w:rStyle w:val="Hyperlink"/>
            <w:rFonts w:ascii="Times New Roman" w:hAnsi="Times New Roman" w:cs="Times New Roman"/>
            <w:color w:val="auto"/>
            <w:sz w:val="20"/>
            <w:szCs w:val="20"/>
            <w:u w:val="none"/>
          </w:rPr>
          <w:instrText>Inter-American Commission on Human Rights Petitions and Case System Informational Brochure</w:instrText>
        </w:r>
        <w:r w:rsidRPr="00A7760B">
          <w:rPr>
            <w:rFonts w:ascii="Times New Roman" w:hAnsi="Times New Roman" w:cs="Times New Roman"/>
            <w:sz w:val="20"/>
            <w:szCs w:val="20"/>
          </w:rPr>
          <w:instrText xml:space="preserve">" \s "http://www.oas.org/en/iachr/docs/pdf/HowTo.pdf" \c 12 </w:instrText>
        </w:r>
        <w:r w:rsidRPr="00A7760B">
          <w:rPr>
            <w:rStyle w:val="Hyperlink"/>
            <w:rFonts w:ascii="Times New Roman" w:hAnsi="Times New Roman" w:cs="Times New Roman"/>
            <w:color w:val="auto"/>
            <w:sz w:val="20"/>
            <w:szCs w:val="20"/>
          </w:rPr>
          <w:fldChar w:fldCharType="end"/>
        </w:r>
      </w:hyperlink>
      <w:r w:rsidRPr="00A7760B">
        <w:rPr>
          <w:rStyle w:val="Hyperlink"/>
          <w:rFonts w:ascii="Times New Roman" w:hAnsi="Times New Roman" w:cs="Times New Roman"/>
          <w:color w:val="auto"/>
          <w:sz w:val="20"/>
          <w:szCs w:val="20"/>
          <w:u w:val="none"/>
        </w:rPr>
        <w:t>,</w:t>
      </w:r>
      <w:r w:rsidRPr="00A7760B">
        <w:rPr>
          <w:rFonts w:ascii="Times New Roman" w:hAnsi="Times New Roman" w:cs="Times New Roman"/>
          <w:sz w:val="20"/>
          <w:szCs w:val="20"/>
        </w:rPr>
        <w:t xml:space="preserve"> ¶¶ 19-20.</w:t>
      </w:r>
    </w:p>
  </w:footnote>
  <w:footnote w:id="62">
    <w:p w:rsidR="00B27D37" w:rsidRPr="00D501B4" w:rsidRDefault="00B27D37" w:rsidP="00681316">
      <w:pPr>
        <w:pStyle w:val="FootnoteText"/>
      </w:pPr>
      <w:r w:rsidRPr="00A7760B">
        <w:rPr>
          <w:rStyle w:val="FootnoteReference"/>
        </w:rPr>
        <w:footnoteRef/>
      </w:r>
      <w:r w:rsidRPr="00A7760B">
        <w:t xml:space="preserve"> </w:t>
      </w:r>
      <w:r w:rsidRPr="00A7760B">
        <w:rPr>
          <w:i/>
        </w:rPr>
        <w:t>Exceptions to the Exhaustion of Domestic Remedies (Arts. 46(1), 46(2)(a) and 46(2)(b) of the American Convention on Human Rights)</w:t>
      </w:r>
      <w:r w:rsidRPr="00A7760B">
        <w:t>, Advisory Opinion OC-11/90, Inter-Am. Ct. H.R., Ser. A, No. 11</w:t>
      </w:r>
      <w:r w:rsidRPr="00A7760B">
        <w:fldChar w:fldCharType="begin"/>
      </w:r>
      <w:r w:rsidRPr="00A7760B">
        <w:instrText xml:space="preserve"> TA \s "Advisory Opinion OC-11/90, Inter-Am. Ct. H.R., Ser. A, No. 11" </w:instrText>
      </w:r>
      <w:r w:rsidRPr="00A7760B">
        <w:fldChar w:fldCharType="end"/>
      </w:r>
      <w:r w:rsidRPr="00A7760B">
        <w:t xml:space="preserve"> (10 Aug., 1990), ¶ 19.</w:t>
      </w:r>
    </w:p>
  </w:footnote>
  <w:footnote w:id="63">
    <w:p w:rsidR="00B27D37" w:rsidRPr="00D501B4" w:rsidRDefault="00B27D37" w:rsidP="00681316">
      <w:pPr>
        <w:pStyle w:val="FootnoteText"/>
      </w:pPr>
      <w:r w:rsidRPr="00D501B4">
        <w:rPr>
          <w:rStyle w:val="FootnoteReference"/>
        </w:rPr>
        <w:footnoteRef/>
      </w:r>
      <w:r w:rsidRPr="00D501B4">
        <w:t xml:space="preserve"> Hypo ¶¶ 31, 31</w:t>
      </w:r>
      <w:r>
        <w:t>.</w:t>
      </w:r>
    </w:p>
  </w:footnote>
  <w:footnote w:id="64">
    <w:p w:rsidR="00B27D37" w:rsidRPr="00C94B25" w:rsidRDefault="00B27D37" w:rsidP="00681316">
      <w:pPr>
        <w:pStyle w:val="FootnoteText"/>
      </w:pPr>
      <w:r w:rsidRPr="00D501B4">
        <w:rPr>
          <w:rStyle w:val="FootnoteReference"/>
        </w:rPr>
        <w:footnoteRef/>
      </w:r>
      <w:r w:rsidRPr="00D501B4">
        <w:t xml:space="preserve"> Hypo ¶¶ 28, 48, 50</w:t>
      </w:r>
      <w:r>
        <w:t>.</w:t>
      </w:r>
    </w:p>
  </w:footnote>
  <w:footnote w:id="65">
    <w:p w:rsidR="00B27D37" w:rsidRPr="00D501B4" w:rsidRDefault="00B27D37" w:rsidP="00681316">
      <w:pPr>
        <w:pStyle w:val="FootnoteText"/>
      </w:pPr>
      <w:r w:rsidRPr="00D501B4">
        <w:rPr>
          <w:rStyle w:val="FootnoteReference"/>
        </w:rPr>
        <w:footnoteRef/>
      </w:r>
      <w:r w:rsidRPr="00D501B4">
        <w:t xml:space="preserve"> Hypo ¶ 49, 50</w:t>
      </w:r>
      <w:r>
        <w:t>.</w:t>
      </w:r>
    </w:p>
  </w:footnote>
  <w:footnote w:id="66">
    <w:p w:rsidR="00B27D37" w:rsidRPr="00D501B4" w:rsidRDefault="00B27D37" w:rsidP="00681316">
      <w:pPr>
        <w:pStyle w:val="FootnoteText"/>
      </w:pPr>
      <w:r w:rsidRPr="00D501B4">
        <w:rPr>
          <w:rStyle w:val="FootnoteReference"/>
        </w:rPr>
        <w:footnoteRef/>
      </w:r>
      <w:r w:rsidRPr="00D501B4">
        <w:t xml:space="preserve"> Hypo ¶</w:t>
      </w:r>
      <w:r>
        <w:t xml:space="preserve"> </w:t>
      </w:r>
      <w:r w:rsidRPr="00D501B4">
        <w:t>14</w:t>
      </w:r>
      <w:r>
        <w:t>.</w:t>
      </w:r>
    </w:p>
  </w:footnote>
  <w:footnote w:id="67">
    <w:p w:rsidR="00B27D37" w:rsidRPr="00D501B4" w:rsidRDefault="00B27D37" w:rsidP="00681316">
      <w:pPr>
        <w:pStyle w:val="FootnoteText"/>
      </w:pPr>
      <w:r w:rsidRPr="00D501B4">
        <w:rPr>
          <w:rStyle w:val="FootnoteReference"/>
        </w:rPr>
        <w:footnoteRef/>
      </w:r>
      <w:r w:rsidRPr="00D501B4">
        <w:t xml:space="preserve"> Hypo ¶ 14; Clarification Question 11 and 12.</w:t>
      </w:r>
    </w:p>
  </w:footnote>
  <w:footnote w:id="68">
    <w:p w:rsidR="00B27D37" w:rsidRPr="00D501B4" w:rsidRDefault="00B27D37" w:rsidP="00681316">
      <w:pPr>
        <w:pStyle w:val="FootnoteText"/>
      </w:pPr>
      <w:r w:rsidRPr="00D501B4">
        <w:rPr>
          <w:rStyle w:val="FootnoteReference"/>
        </w:rPr>
        <w:footnoteRef/>
      </w:r>
      <w:r>
        <w:t xml:space="preserve"> Hypo ¶ 16.</w:t>
      </w:r>
    </w:p>
  </w:footnote>
  <w:footnote w:id="69">
    <w:p w:rsidR="00B27D37" w:rsidRPr="00D501B4" w:rsidRDefault="00B27D37" w:rsidP="00E278CF">
      <w:pPr>
        <w:spacing w:after="0"/>
        <w:rPr>
          <w:rFonts w:ascii="Times New Roman" w:hAnsi="Times New Roman" w:cs="Times New Roman"/>
          <w:sz w:val="20"/>
          <w:szCs w:val="20"/>
        </w:rPr>
      </w:pPr>
      <w:r w:rsidRPr="00D501B4">
        <w:rPr>
          <w:rStyle w:val="FootnoteReference"/>
          <w:rFonts w:ascii="Times New Roman" w:hAnsi="Times New Roman" w:cs="Times New Roman"/>
          <w:sz w:val="20"/>
          <w:szCs w:val="20"/>
        </w:rPr>
        <w:footnoteRef/>
      </w:r>
      <w:r w:rsidRPr="00D501B4">
        <w:rPr>
          <w:rFonts w:ascii="Times New Roman" w:hAnsi="Times New Roman" w:cs="Times New Roman"/>
          <w:sz w:val="20"/>
          <w:szCs w:val="20"/>
        </w:rPr>
        <w:t xml:space="preserve"> </w:t>
      </w:r>
      <w:r w:rsidRPr="00D501B4">
        <w:rPr>
          <w:rFonts w:ascii="Times New Roman" w:hAnsi="Times New Roman" w:cs="Times New Roman"/>
          <w:i/>
          <w:sz w:val="20"/>
          <w:szCs w:val="20"/>
        </w:rPr>
        <w:fldChar w:fldCharType="begin"/>
      </w:r>
      <w:r w:rsidRPr="00D501B4">
        <w:rPr>
          <w:rFonts w:ascii="Times New Roman" w:hAnsi="Times New Roman" w:cs="Times New Roman"/>
          <w:sz w:val="20"/>
          <w:szCs w:val="20"/>
        </w:rPr>
        <w:instrText xml:space="preserve"> TA \l "</w:instrText>
      </w:r>
      <w:r w:rsidRPr="00D501B4">
        <w:rPr>
          <w:rFonts w:ascii="Times New Roman" w:hAnsi="Times New Roman" w:cs="Times New Roman"/>
          <w:i/>
          <w:sz w:val="20"/>
          <w:szCs w:val="20"/>
        </w:rPr>
        <w:instrText>Santiago Marzioni v. Argentina</w:instrText>
      </w:r>
      <w:r w:rsidRPr="00D501B4">
        <w:rPr>
          <w:rFonts w:ascii="Times New Roman" w:hAnsi="Times New Roman" w:cs="Times New Roman"/>
          <w:sz w:val="20"/>
          <w:szCs w:val="20"/>
        </w:rPr>
        <w:br/>
        <w:instrText xml:space="preserve">Case 11.673, Report No. 39/96 </w:instrText>
      </w:r>
      <w:r w:rsidRPr="00D501B4">
        <w:rPr>
          <w:rFonts w:ascii="Times New Roman" w:hAnsi="Times New Roman" w:cs="Times New Roman"/>
          <w:sz w:val="20"/>
          <w:szCs w:val="20"/>
        </w:rPr>
        <w:br/>
        <w:instrText>Inter-Am. Comm’n HR, OEA/Ser.L/V/II.95, doc. 7 rev</w:instrText>
      </w:r>
      <w:r>
        <w:rPr>
          <w:rFonts w:ascii="Times New Roman" w:hAnsi="Times New Roman" w:cs="Times New Roman"/>
          <w:sz w:val="20"/>
          <w:szCs w:val="20"/>
        </w:rPr>
        <w:instrText>.</w:instrText>
      </w:r>
      <w:r w:rsidRPr="00D501B4">
        <w:rPr>
          <w:rFonts w:ascii="Times New Roman" w:hAnsi="Times New Roman" w:cs="Times New Roman"/>
          <w:sz w:val="20"/>
          <w:szCs w:val="20"/>
        </w:rPr>
        <w:instrText xml:space="preserve"> (15 Oct., 1996)" \s "Santiago Marzioni" \c 11 </w:instrText>
      </w:r>
      <w:r w:rsidRPr="00D501B4">
        <w:rPr>
          <w:rFonts w:ascii="Times New Roman" w:hAnsi="Times New Roman" w:cs="Times New Roman"/>
          <w:i/>
          <w:sz w:val="20"/>
          <w:szCs w:val="20"/>
        </w:rPr>
        <w:fldChar w:fldCharType="end"/>
      </w:r>
      <w:r w:rsidRPr="00D501B4">
        <w:rPr>
          <w:rFonts w:ascii="Times New Roman" w:hAnsi="Times New Roman" w:cs="Times New Roman"/>
          <w:i/>
          <w:sz w:val="20"/>
          <w:szCs w:val="20"/>
        </w:rPr>
        <w:t>Santiago Marzioni v. Argentina</w:t>
      </w:r>
      <w:r w:rsidRPr="00D501B4">
        <w:rPr>
          <w:rFonts w:ascii="Times New Roman" w:hAnsi="Times New Roman" w:cs="Times New Roman"/>
          <w:sz w:val="20"/>
          <w:szCs w:val="20"/>
        </w:rPr>
        <w:t>, Case 11.673, Report No. 39/96, Inter-Am. Comm’n HR, OEA/Ser.L/V/II.95, doc. 7 rev</w:t>
      </w:r>
      <w:r>
        <w:rPr>
          <w:rFonts w:ascii="Times New Roman" w:hAnsi="Times New Roman" w:cs="Times New Roman"/>
          <w:sz w:val="20"/>
          <w:szCs w:val="20"/>
        </w:rPr>
        <w:t>.</w:t>
      </w:r>
      <w:r w:rsidRPr="00D501B4">
        <w:rPr>
          <w:rFonts w:ascii="Times New Roman" w:hAnsi="Times New Roman" w:cs="Times New Roman"/>
          <w:sz w:val="20"/>
          <w:szCs w:val="20"/>
        </w:rPr>
        <w:t xml:space="preserve"> (15 Oct., 1996), ¶ 49-50.</w:t>
      </w:r>
    </w:p>
  </w:footnote>
  <w:footnote w:id="70">
    <w:p w:rsidR="00B27D37" w:rsidRPr="00C94B25" w:rsidRDefault="00B27D37" w:rsidP="005928DB">
      <w:pPr>
        <w:pStyle w:val="FootnoteText"/>
      </w:pPr>
      <w:r w:rsidRPr="00D501B4">
        <w:rPr>
          <w:rStyle w:val="FootnoteReference"/>
        </w:rPr>
        <w:footnoteRef/>
      </w:r>
      <w:r w:rsidRPr="00D501B4">
        <w:t xml:space="preserve"> </w:t>
      </w:r>
      <w:r w:rsidRPr="00D501B4">
        <w:rPr>
          <w:i/>
        </w:rPr>
        <w:t xml:space="preserve">Case of </w:t>
      </w:r>
      <w:r w:rsidRPr="00D501B4">
        <w:rPr>
          <w:i/>
        </w:rPr>
        <w:fldChar w:fldCharType="begin"/>
      </w:r>
      <w:r w:rsidRPr="00D501B4">
        <w:instrText xml:space="preserve"> TA \l "</w:instrText>
      </w:r>
      <w:r w:rsidRPr="00D501B4">
        <w:rPr>
          <w:i/>
        </w:rPr>
        <w:instrText xml:space="preserve">Case of Atala Riffo and Children v. Chile </w:instrText>
      </w:r>
      <w:r w:rsidRPr="00D501B4">
        <w:instrText xml:space="preserve">(Judgment) </w:instrText>
      </w:r>
      <w:r w:rsidRPr="00D501B4">
        <w:br/>
        <w:instrText xml:space="preserve">Inter-Am. Ct. H.R., Ser. C, No. 239, (24 Feb., 2012)" \s "Atala Riffo" \c 13 </w:instrText>
      </w:r>
      <w:r w:rsidRPr="00D501B4">
        <w:rPr>
          <w:i/>
        </w:rPr>
        <w:fldChar w:fldCharType="end"/>
      </w:r>
      <w:r w:rsidRPr="00D501B4">
        <w:rPr>
          <w:i/>
        </w:rPr>
        <w:t>Atala Riffo and Children v. Chile</w:t>
      </w:r>
      <w:r w:rsidRPr="00D501B4">
        <w:t>, (Judgment) Inter-Am. Ct. H.R., Ser. C, No. 239, (24 Feb</w:t>
      </w:r>
      <w:r w:rsidRPr="00C94B25">
        <w:t>., 2012), ¶ 188.</w:t>
      </w:r>
    </w:p>
  </w:footnote>
  <w:footnote w:id="71">
    <w:p w:rsidR="00B27D37" w:rsidRPr="00D501B4" w:rsidRDefault="00B27D37" w:rsidP="005928DB">
      <w:pPr>
        <w:pStyle w:val="FootnoteText"/>
        <w:rPr>
          <w:b/>
        </w:rPr>
      </w:pPr>
      <w:r w:rsidRPr="00D501B4">
        <w:rPr>
          <w:rStyle w:val="FootnoteReference"/>
        </w:rPr>
        <w:footnoteRef/>
      </w:r>
      <w:r w:rsidRPr="00D501B4">
        <w:t xml:space="preserve"> </w:t>
      </w:r>
      <w:r w:rsidRPr="00D501B4">
        <w:rPr>
          <w:i/>
        </w:rPr>
        <w:t>Santiago Marzioni</w:t>
      </w:r>
      <w:r w:rsidRPr="00D501B4">
        <w:rPr>
          <w:i/>
        </w:rPr>
        <w:fldChar w:fldCharType="begin"/>
      </w:r>
      <w:r w:rsidRPr="00D501B4">
        <w:rPr>
          <w:i/>
        </w:rPr>
        <w:instrText xml:space="preserve"> TA \s "Santiago Marzioni" </w:instrText>
      </w:r>
      <w:r w:rsidRPr="00D501B4">
        <w:rPr>
          <w:i/>
        </w:rPr>
        <w:fldChar w:fldCharType="end"/>
      </w:r>
      <w:r w:rsidRPr="00D501B4">
        <w:t>, ¶ 51.</w:t>
      </w:r>
    </w:p>
  </w:footnote>
  <w:footnote w:id="72">
    <w:p w:rsidR="00B27D37" w:rsidRPr="00D501B4" w:rsidRDefault="00B27D37" w:rsidP="005928DB">
      <w:pPr>
        <w:pStyle w:val="FootnoteText"/>
      </w:pPr>
      <w:r w:rsidRPr="00D501B4">
        <w:rPr>
          <w:rStyle w:val="FootnoteReference"/>
        </w:rPr>
        <w:footnoteRef/>
      </w:r>
      <w:r w:rsidRPr="00D501B4">
        <w:t xml:space="preserve"> David Brown, </w:t>
      </w:r>
      <w:r w:rsidRPr="00E8771D">
        <w:rPr>
          <w:i/>
        </w:rPr>
        <w:t>Making Room for Sexual Orientation and Gender Identity in International Human Rights Law: An Introduction to the Yogyakarta Principles</w:t>
      </w:r>
      <w:r w:rsidRPr="00D501B4">
        <w:t>, 31 Mich. J. Int’l L. 821</w:t>
      </w:r>
      <w:r>
        <w:fldChar w:fldCharType="begin"/>
      </w:r>
      <w:r>
        <w:instrText xml:space="preserve"> TA \l "</w:instrText>
      </w:r>
      <w:r w:rsidRPr="00933102">
        <w:instrText xml:space="preserve">David Brown, </w:instrText>
      </w:r>
      <w:r w:rsidRPr="00933102">
        <w:rPr>
          <w:i/>
        </w:rPr>
        <w:instrText>Making Room for Sexual Orientation and Gender Identity in International Human Rights Law: An Introduction to the Yogyakarta Principles</w:instrText>
      </w:r>
      <w:r w:rsidRPr="00933102">
        <w:instrText>, 31 Mich. J. Int’l L. 821 (2010).</w:instrText>
      </w:r>
      <w:r>
        <w:instrText xml:space="preserve">" \s "David Brown, Making Room for Sexual Orientation and Gender Identity in International Human Rights Law: An Introduction to the Yogyakarta Principles, 31 Mich. J. Int’l L. 821" \c 14 </w:instrText>
      </w:r>
      <w:r>
        <w:fldChar w:fldCharType="end"/>
      </w:r>
      <w:r w:rsidRPr="00D501B4">
        <w:t>, 855-56 (2010); American Convention art. 17</w:t>
      </w:r>
      <w:r w:rsidRPr="00D501B4">
        <w:fldChar w:fldCharType="begin"/>
      </w:r>
      <w:r w:rsidRPr="00D501B4">
        <w:instrText xml:space="preserve"> TA \l "Article 17" \s "American Convention art. 17" \c 8 </w:instrText>
      </w:r>
      <w:r w:rsidRPr="00D501B4">
        <w:fldChar w:fldCharType="end"/>
      </w:r>
      <w:r w:rsidRPr="00D501B4">
        <w:t>(2).</w:t>
      </w:r>
    </w:p>
  </w:footnote>
  <w:footnote w:id="73">
    <w:p w:rsidR="00B27D37" w:rsidRPr="00D501B4" w:rsidRDefault="00B27D37" w:rsidP="005928DB">
      <w:pPr>
        <w:pStyle w:val="FootnoteText"/>
      </w:pPr>
      <w:r w:rsidRPr="00D501B4">
        <w:rPr>
          <w:rStyle w:val="FootnoteReference"/>
        </w:rPr>
        <w:footnoteRef/>
      </w:r>
      <w:r w:rsidRPr="00D501B4">
        <w:t xml:space="preserve"> </w:t>
      </w:r>
      <w:r w:rsidRPr="00D501B4">
        <w:rPr>
          <w:i/>
        </w:rPr>
        <w:t>Clifton Wright v. Jamaica</w:t>
      </w:r>
      <w:r w:rsidRPr="00D501B4">
        <w:t xml:space="preserve">, Case 9260, Inter-Am. Comm’n H.R., </w:t>
      </w:r>
      <w:r w:rsidRPr="00D501B4">
        <w:rPr>
          <w:bCs/>
        </w:rPr>
        <w:t xml:space="preserve">Report No. 29/88, </w:t>
      </w:r>
      <w:r w:rsidRPr="00D501B4">
        <w:t>OEA/Ser.L/V/II.74, doc. 10 rev. (14 Sept., 1988</w:t>
      </w:r>
      <w:r>
        <w:t>)</w:t>
      </w:r>
      <w:r>
        <w:fldChar w:fldCharType="begin"/>
      </w:r>
      <w:r>
        <w:instrText xml:space="preserve"> TA \l "</w:instrText>
      </w:r>
      <w:r w:rsidRPr="0059496B">
        <w:rPr>
          <w:i/>
        </w:rPr>
        <w:instrText>Clifton Wright v. Jamaica</w:instrText>
      </w:r>
      <w:r w:rsidRPr="0059496B">
        <w:instrText xml:space="preserve"> </w:instrText>
      </w:r>
      <w:r w:rsidRPr="0059496B">
        <w:br/>
        <w:instrText xml:space="preserve">Case 9260, </w:instrText>
      </w:r>
      <w:r w:rsidRPr="0059496B">
        <w:rPr>
          <w:bCs/>
        </w:rPr>
        <w:instrText xml:space="preserve">Report No. 29/88 </w:instrText>
      </w:r>
      <w:r w:rsidRPr="0059496B">
        <w:rPr>
          <w:bCs/>
        </w:rPr>
        <w:br/>
      </w:r>
      <w:r w:rsidRPr="0059496B">
        <w:instrText>Inter-Am. Comm’n H.R., OEA/Ser.L/V/II.74, doc. 10 rev. (14 Sept., 1988)</w:instrText>
      </w:r>
      <w:r>
        <w:instrText xml:space="preserve">" \s "Clifton Wright v. Jamaica, Case 9260, Inter-Am. Comm’n H.R., Report No. 29/88, OEA/Ser.L/V/II.74, doc. 10 rev. (14 Sept., 1988)" \c 11 </w:instrText>
      </w:r>
      <w:r>
        <w:fldChar w:fldCharType="end"/>
      </w:r>
      <w:r>
        <w:t xml:space="preserve">, ¶ 3 “Considering.” </w:t>
      </w:r>
    </w:p>
  </w:footnote>
  <w:footnote w:id="74">
    <w:p w:rsidR="00B27D37" w:rsidRPr="00D501B4" w:rsidRDefault="00B27D37" w:rsidP="005928DB">
      <w:pPr>
        <w:pStyle w:val="FootnoteText"/>
      </w:pPr>
      <w:r w:rsidRPr="00D501B4">
        <w:rPr>
          <w:rStyle w:val="FootnoteReference"/>
        </w:rPr>
        <w:footnoteRef/>
      </w:r>
      <w:r w:rsidRPr="00D501B4">
        <w:t xml:space="preserve"> </w:t>
      </w:r>
      <w:r>
        <w:rPr>
          <w:i/>
        </w:rPr>
        <w:t>Clifton Wright</w:t>
      </w:r>
      <w:r>
        <w:t>,</w:t>
      </w:r>
      <w:r>
        <w:rPr>
          <w:i/>
        </w:rPr>
        <w:t xml:space="preserve"> </w:t>
      </w:r>
      <w:r w:rsidRPr="00D501B4">
        <w:t>¶ 7 “Considering.”</w:t>
      </w:r>
    </w:p>
  </w:footnote>
  <w:footnote w:id="75">
    <w:p w:rsidR="00B27D37" w:rsidRPr="00D501B4" w:rsidRDefault="00B27D37" w:rsidP="005928DB">
      <w:pPr>
        <w:pStyle w:val="FootnoteText"/>
      </w:pPr>
      <w:r w:rsidRPr="00D501B4">
        <w:rPr>
          <w:rStyle w:val="FootnoteReference"/>
        </w:rPr>
        <w:footnoteRef/>
      </w:r>
      <w:r w:rsidRPr="00D501B4">
        <w:t xml:space="preserve"> American Convention art. 17</w:t>
      </w:r>
      <w:r w:rsidRPr="00D501B4">
        <w:fldChar w:fldCharType="begin"/>
      </w:r>
      <w:r w:rsidRPr="00D501B4">
        <w:instrText xml:space="preserve"> TA \s "American Convention art. 17" </w:instrText>
      </w:r>
      <w:r w:rsidRPr="00D501B4">
        <w:fldChar w:fldCharType="end"/>
      </w:r>
      <w:r w:rsidRPr="00D501B4">
        <w:t>(2).</w:t>
      </w:r>
    </w:p>
  </w:footnote>
  <w:footnote w:id="76">
    <w:p w:rsidR="00B27D37" w:rsidRPr="00C94B25" w:rsidRDefault="00B27D37" w:rsidP="005928DB">
      <w:pPr>
        <w:pStyle w:val="FootnoteText"/>
      </w:pPr>
      <w:r w:rsidRPr="00D501B4">
        <w:rPr>
          <w:rStyle w:val="FootnoteReference"/>
        </w:rPr>
        <w:footnoteRef/>
      </w:r>
      <w:r w:rsidRPr="00D501B4">
        <w:t xml:space="preserve"> Hypo ¶ 17</w:t>
      </w:r>
      <w:r>
        <w:t>.</w:t>
      </w:r>
    </w:p>
  </w:footnote>
  <w:footnote w:id="77">
    <w:p w:rsidR="00B27D37" w:rsidRPr="00C94B25" w:rsidRDefault="00B27D37" w:rsidP="00E15F6F">
      <w:pPr>
        <w:pStyle w:val="FootnoteText"/>
      </w:pPr>
      <w:r w:rsidRPr="00C94B25">
        <w:rPr>
          <w:rStyle w:val="FootnoteReference"/>
        </w:rPr>
        <w:footnoteRef/>
      </w:r>
      <w:r w:rsidRPr="00C94B25">
        <w:t xml:space="preserve"> American Convention art. 17</w:t>
      </w:r>
      <w:r w:rsidRPr="00C94B25">
        <w:fldChar w:fldCharType="begin"/>
      </w:r>
      <w:r w:rsidRPr="00C94B25">
        <w:instrText xml:space="preserve"> TA \s "American Convention art. 17" </w:instrText>
      </w:r>
      <w:r w:rsidRPr="00C94B25">
        <w:fldChar w:fldCharType="end"/>
      </w:r>
      <w:r w:rsidRPr="00C94B25">
        <w:t>(2).</w:t>
      </w:r>
    </w:p>
  </w:footnote>
  <w:footnote w:id="78">
    <w:p w:rsidR="00B27D37" w:rsidRPr="00C94B25" w:rsidRDefault="00B27D37" w:rsidP="00E15F6F">
      <w:pPr>
        <w:pStyle w:val="FootnoteText"/>
      </w:pPr>
      <w:r w:rsidRPr="00C94B25">
        <w:rPr>
          <w:rStyle w:val="FootnoteReference"/>
        </w:rPr>
        <w:footnoteRef/>
      </w:r>
      <w:r w:rsidRPr="00C94B25">
        <w:t xml:space="preserve"> </w:t>
      </w:r>
      <w:r w:rsidRPr="00C94B25">
        <w:rPr>
          <w:i/>
        </w:rPr>
        <w:t>Joslin v. New Zealand</w:t>
      </w:r>
      <w:r w:rsidRPr="00C94B25">
        <w:rPr>
          <w:i/>
        </w:rPr>
        <w:fldChar w:fldCharType="begin"/>
      </w:r>
      <w:r w:rsidRPr="00C94B25">
        <w:instrText xml:space="preserve"> TA \s "Joslin v. New Zealand" </w:instrText>
      </w:r>
      <w:r w:rsidRPr="00C94B25">
        <w:rPr>
          <w:i/>
        </w:rPr>
        <w:fldChar w:fldCharType="end"/>
      </w:r>
      <w:r w:rsidRPr="00C94B25">
        <w:t xml:space="preserve">, U.N. Hum. Rts. Comm., Commc'n No. 902/1999, U.N. Doc. A/57/40, </w:t>
      </w:r>
      <w:r w:rsidRPr="00C94B25">
        <w:rPr>
          <w:iCs/>
        </w:rPr>
        <w:t xml:space="preserve">¶ </w:t>
      </w:r>
      <w:r w:rsidRPr="00C94B25">
        <w:t>8.2 (2002).</w:t>
      </w:r>
    </w:p>
  </w:footnote>
  <w:footnote w:id="79">
    <w:p w:rsidR="00B27D37" w:rsidRPr="00C94B25" w:rsidRDefault="00B27D37" w:rsidP="00E15F6F">
      <w:pPr>
        <w:pStyle w:val="FootnoteText"/>
      </w:pPr>
      <w:r w:rsidRPr="00C94B25">
        <w:rPr>
          <w:rStyle w:val="FootnoteReference"/>
        </w:rPr>
        <w:footnoteRef/>
      </w:r>
      <w:r w:rsidRPr="00C94B25">
        <w:t xml:space="preserve"> International Covenant on Civil and Political Rights art. 23</w:t>
      </w:r>
      <w:r w:rsidRPr="00C94B25">
        <w:fldChar w:fldCharType="begin"/>
      </w:r>
      <w:r w:rsidRPr="00C94B25">
        <w:instrText xml:space="preserve"> TA \l "Article 23" \s "International Covenant on Civil and Political Rights art. 23" \c 3 </w:instrText>
      </w:r>
      <w:r w:rsidRPr="00C94B25">
        <w:fldChar w:fldCharType="end"/>
      </w:r>
      <w:r w:rsidRPr="00C94B25">
        <w:t>(1 &amp; 2).</w:t>
      </w:r>
    </w:p>
  </w:footnote>
  <w:footnote w:id="80">
    <w:p w:rsidR="00B27D37" w:rsidRPr="00C94B25" w:rsidRDefault="00B27D37" w:rsidP="00E15F6F">
      <w:pPr>
        <w:pStyle w:val="FootnoteText"/>
      </w:pPr>
      <w:r w:rsidRPr="00C94B25">
        <w:rPr>
          <w:rStyle w:val="FootnoteReference"/>
        </w:rPr>
        <w:footnoteRef/>
      </w:r>
      <w:r w:rsidRPr="00C94B25">
        <w:t xml:space="preserve"> </w:t>
      </w:r>
      <w:r w:rsidRPr="00C94B25">
        <w:rPr>
          <w:i/>
        </w:rPr>
        <w:t>Joslin</w:t>
      </w:r>
      <w:r>
        <w:t>,</w:t>
      </w:r>
      <w:r w:rsidRPr="00C94B25">
        <w:rPr>
          <w:i/>
        </w:rPr>
        <w:t xml:space="preserve"> </w:t>
      </w:r>
      <w:r>
        <w:rPr>
          <w:iCs/>
        </w:rPr>
        <w:t xml:space="preserve">¶ </w:t>
      </w:r>
      <w:r>
        <w:t>8.2</w:t>
      </w:r>
      <w:r w:rsidRPr="00C94B25">
        <w:t>.</w:t>
      </w:r>
    </w:p>
  </w:footnote>
  <w:footnote w:id="81">
    <w:p w:rsidR="00B27D37" w:rsidRPr="00C94B25" w:rsidRDefault="00B27D37" w:rsidP="00E15F6F">
      <w:pPr>
        <w:pStyle w:val="FootnoteText"/>
      </w:pPr>
      <w:r w:rsidRPr="00C94B25">
        <w:rPr>
          <w:rStyle w:val="FootnoteReference"/>
        </w:rPr>
        <w:footnoteRef/>
      </w:r>
      <w:r w:rsidRPr="00C94B25">
        <w:t xml:space="preserve"> </w:t>
      </w:r>
      <w:r w:rsidRPr="00C94B25">
        <w:rPr>
          <w:i/>
        </w:rPr>
        <w:t>Joslin</w:t>
      </w:r>
      <w:r>
        <w:t>,</w:t>
      </w:r>
      <w:r w:rsidRPr="00C94B25">
        <w:rPr>
          <w:i/>
        </w:rPr>
        <w:t xml:space="preserve"> </w:t>
      </w:r>
      <w:r>
        <w:rPr>
          <w:i/>
        </w:rPr>
        <w:t>¶</w:t>
      </w:r>
      <w:r w:rsidRPr="00C94B25">
        <w:t xml:space="preserve"> </w:t>
      </w:r>
      <w:r>
        <w:t>8.2</w:t>
      </w:r>
      <w:r w:rsidRPr="00C94B25">
        <w:t>.</w:t>
      </w:r>
    </w:p>
  </w:footnote>
  <w:footnote w:id="82">
    <w:p w:rsidR="00B27D37" w:rsidRPr="00C94B25" w:rsidRDefault="00B27D37" w:rsidP="00E15F6F">
      <w:pPr>
        <w:pStyle w:val="FootnoteText"/>
      </w:pPr>
      <w:r w:rsidRPr="00C94B25">
        <w:rPr>
          <w:rStyle w:val="FootnoteReference"/>
        </w:rPr>
        <w:footnoteRef/>
      </w:r>
      <w:r w:rsidRPr="00C94B25">
        <w:t xml:space="preserve"> Vienna Convention of the Law of Treaties art. 31</w:t>
      </w:r>
      <w:r w:rsidRPr="00C94B25">
        <w:fldChar w:fldCharType="begin"/>
      </w:r>
      <w:r w:rsidRPr="00C94B25">
        <w:instrText xml:space="preserve"> TA \l "Article 31" \s "Vienna Convention of the Law of Treaties art. 31" \c 4 </w:instrText>
      </w:r>
      <w:r w:rsidRPr="00C94B25">
        <w:fldChar w:fldCharType="end"/>
      </w:r>
      <w:r w:rsidRPr="00C94B25">
        <w:t>(1).</w:t>
      </w:r>
    </w:p>
  </w:footnote>
  <w:footnote w:id="83">
    <w:p w:rsidR="00B27D37" w:rsidRPr="00C94B25" w:rsidRDefault="00B27D37" w:rsidP="00E15F6F">
      <w:pPr>
        <w:pStyle w:val="FootnoteText"/>
      </w:pPr>
      <w:r w:rsidRPr="00C94B25">
        <w:rPr>
          <w:rStyle w:val="FootnoteReference"/>
        </w:rPr>
        <w:footnoteRef/>
      </w:r>
      <w:r w:rsidRPr="00C94B25">
        <w:t xml:space="preserve"> </w:t>
      </w:r>
      <w:r w:rsidRPr="00C94B25">
        <w:rPr>
          <w:i/>
        </w:rPr>
        <w:t>Atala Riffo</w:t>
      </w:r>
      <w:r>
        <w:rPr>
          <w:i/>
        </w:rPr>
        <w:fldChar w:fldCharType="begin"/>
      </w:r>
      <w:r>
        <w:rPr>
          <w:i/>
        </w:rPr>
        <w:instrText xml:space="preserve"> TA \s "Atala Riffo" </w:instrText>
      </w:r>
      <w:r>
        <w:rPr>
          <w:i/>
        </w:rPr>
        <w:fldChar w:fldCharType="end"/>
      </w:r>
      <w:r w:rsidRPr="00C94B25">
        <w:rPr>
          <w:i/>
        </w:rPr>
        <w:t xml:space="preserve"> and Daughters</w:t>
      </w:r>
      <w:r>
        <w:t>,</w:t>
      </w:r>
      <w:r w:rsidRPr="00C94B25">
        <w:rPr>
          <w:i/>
        </w:rPr>
        <w:t xml:space="preserve"> </w:t>
      </w:r>
      <w:r w:rsidRPr="00C94B25">
        <w:t>¶ 142.</w:t>
      </w:r>
    </w:p>
  </w:footnote>
  <w:footnote w:id="84">
    <w:p w:rsidR="00B27D37" w:rsidRPr="00C94B25" w:rsidRDefault="00B27D37" w:rsidP="00E15F6F">
      <w:pPr>
        <w:pStyle w:val="FootnoteText"/>
      </w:pPr>
      <w:r w:rsidRPr="00C94B25">
        <w:rPr>
          <w:rStyle w:val="FootnoteReference"/>
        </w:rPr>
        <w:footnoteRef/>
      </w:r>
      <w:r w:rsidRPr="00C94B25">
        <w:t xml:space="preserve"> American Convention art</w:t>
      </w:r>
      <w:r>
        <w:t>s</w:t>
      </w:r>
      <w:r w:rsidRPr="00C94B25">
        <w:t>. 3</w:t>
      </w:r>
      <w:r w:rsidRPr="00C94B25">
        <w:fldChar w:fldCharType="begin"/>
      </w:r>
      <w:r w:rsidRPr="00C94B25">
        <w:instrText xml:space="preserve"> TA \l "Article 3" \s "3" \c 8 </w:instrText>
      </w:r>
      <w:r w:rsidRPr="00C94B25">
        <w:fldChar w:fldCharType="end"/>
      </w:r>
      <w:r w:rsidRPr="00C94B25">
        <w:t>, 4</w:t>
      </w:r>
      <w:r w:rsidRPr="00C94B25">
        <w:fldChar w:fldCharType="begin"/>
      </w:r>
      <w:r w:rsidRPr="00C94B25">
        <w:instrText xml:space="preserve"> TA \l "Article 4" \s "4" \c 8 </w:instrText>
      </w:r>
      <w:r w:rsidRPr="00C94B25">
        <w:fldChar w:fldCharType="end"/>
      </w:r>
      <w:r w:rsidRPr="00C94B25">
        <w:t>, 5</w:t>
      </w:r>
      <w:r w:rsidRPr="00C94B25">
        <w:fldChar w:fldCharType="begin"/>
      </w:r>
      <w:r w:rsidRPr="00C94B25">
        <w:instrText xml:space="preserve"> TA \l "Article 5" \s "5" \c 8 </w:instrText>
      </w:r>
      <w:r w:rsidRPr="00C94B25">
        <w:fldChar w:fldCharType="end"/>
      </w:r>
      <w:r w:rsidRPr="00C94B25">
        <w:t>, 7</w:t>
      </w:r>
      <w:r w:rsidRPr="00C94B25">
        <w:fldChar w:fldCharType="begin"/>
      </w:r>
      <w:r w:rsidRPr="00C94B25">
        <w:instrText xml:space="preserve"> TA \s "American Convention art. 17" </w:instrText>
      </w:r>
      <w:r w:rsidRPr="00C94B25">
        <w:fldChar w:fldCharType="end"/>
      </w:r>
      <w:r w:rsidRPr="00C94B25">
        <w:t>, 8</w:t>
      </w:r>
      <w:r w:rsidRPr="00C94B25">
        <w:fldChar w:fldCharType="begin"/>
      </w:r>
      <w:r w:rsidRPr="00C94B25">
        <w:instrText xml:space="preserve"> TA \l "Article 8" \s "8" \c 8 </w:instrText>
      </w:r>
      <w:r w:rsidRPr="00C94B25">
        <w:fldChar w:fldCharType="end"/>
      </w:r>
      <w:r w:rsidRPr="00C94B25">
        <w:t>, 10</w:t>
      </w:r>
      <w:r w:rsidRPr="00C94B25">
        <w:fldChar w:fldCharType="begin"/>
      </w:r>
      <w:r w:rsidRPr="00C94B25">
        <w:instrText xml:space="preserve"> TA \l "Article 10" \s "10" \c 8 </w:instrText>
      </w:r>
      <w:r w:rsidRPr="00C94B25">
        <w:fldChar w:fldCharType="end"/>
      </w:r>
      <w:r w:rsidRPr="00C94B25">
        <w:t>, 11</w:t>
      </w:r>
      <w:r w:rsidRPr="00C94B25">
        <w:fldChar w:fldCharType="begin"/>
      </w:r>
      <w:r w:rsidRPr="00C94B25">
        <w:instrText xml:space="preserve"> TA \l "Article 11" \s "11" \c 8 </w:instrText>
      </w:r>
      <w:r w:rsidRPr="00C94B25">
        <w:fldChar w:fldCharType="end"/>
      </w:r>
      <w:r w:rsidRPr="00C94B25">
        <w:t>, 12</w:t>
      </w:r>
      <w:r w:rsidRPr="00C94B25">
        <w:fldChar w:fldCharType="begin"/>
      </w:r>
      <w:r w:rsidRPr="00C94B25">
        <w:instrText xml:space="preserve"> TA \l "Article 12" \s "12" \c 8 </w:instrText>
      </w:r>
      <w:r w:rsidRPr="00C94B25">
        <w:fldChar w:fldCharType="end"/>
      </w:r>
      <w:r w:rsidRPr="00C94B25">
        <w:t>, 13</w:t>
      </w:r>
      <w:r w:rsidRPr="00C94B25">
        <w:fldChar w:fldCharType="begin"/>
      </w:r>
      <w:r w:rsidRPr="00C94B25">
        <w:instrText xml:space="preserve"> TA \l "Article 13" \s "13" \c 8 </w:instrText>
      </w:r>
      <w:r w:rsidRPr="00C94B25">
        <w:fldChar w:fldCharType="end"/>
      </w:r>
      <w:r w:rsidRPr="00C94B25">
        <w:t>, 16</w:t>
      </w:r>
      <w:r w:rsidRPr="00C94B25">
        <w:fldChar w:fldCharType="begin"/>
      </w:r>
      <w:r w:rsidRPr="00C94B25">
        <w:instrText xml:space="preserve"> TA \l "Article 16" \s "16" \c 8 </w:instrText>
      </w:r>
      <w:r w:rsidRPr="00C94B25">
        <w:fldChar w:fldCharType="end"/>
      </w:r>
      <w:r w:rsidRPr="00C94B25">
        <w:t>, 18</w:t>
      </w:r>
      <w:r w:rsidRPr="00C94B25">
        <w:fldChar w:fldCharType="begin"/>
      </w:r>
      <w:r w:rsidRPr="00C94B25">
        <w:instrText xml:space="preserve"> TA \l "Article 18" \s "18" \c 8 </w:instrText>
      </w:r>
      <w:r w:rsidRPr="00C94B25">
        <w:fldChar w:fldCharType="end"/>
      </w:r>
      <w:r w:rsidRPr="00C94B25">
        <w:t>, 20</w:t>
      </w:r>
      <w:r w:rsidRPr="00C94B25">
        <w:fldChar w:fldCharType="begin"/>
      </w:r>
      <w:r w:rsidRPr="00C94B25">
        <w:instrText xml:space="preserve"> TA \l "Article 20" \s "20" \c 8 </w:instrText>
      </w:r>
      <w:r w:rsidRPr="00C94B25">
        <w:fldChar w:fldCharType="end"/>
      </w:r>
      <w:r w:rsidRPr="00C94B25">
        <w:t>, 21</w:t>
      </w:r>
      <w:r w:rsidRPr="00C94B25">
        <w:fldChar w:fldCharType="begin"/>
      </w:r>
      <w:r w:rsidRPr="00C94B25">
        <w:instrText xml:space="preserve"> TA \l "Article 21" \s "21" \c 8 </w:instrText>
      </w:r>
      <w:r w:rsidRPr="00C94B25">
        <w:fldChar w:fldCharType="end"/>
      </w:r>
      <w:r w:rsidRPr="00C94B25">
        <w:t>, 22</w:t>
      </w:r>
      <w:r w:rsidRPr="00C94B25">
        <w:fldChar w:fldCharType="begin"/>
      </w:r>
      <w:r w:rsidRPr="00C94B25">
        <w:instrText xml:space="preserve"> TA \l "Article 22" \s "22" \c 8 </w:instrText>
      </w:r>
      <w:r w:rsidRPr="00C94B25">
        <w:fldChar w:fldCharType="end"/>
      </w:r>
      <w:r w:rsidRPr="00C94B25">
        <w:t>, 24</w:t>
      </w:r>
      <w:r w:rsidRPr="00C94B25">
        <w:fldChar w:fldCharType="begin"/>
      </w:r>
      <w:r w:rsidRPr="00C94B25">
        <w:instrText xml:space="preserve"> TA \l "Article 24" \s "24" \c 8 </w:instrText>
      </w:r>
      <w:r w:rsidRPr="00C94B25">
        <w:fldChar w:fldCharType="end"/>
      </w:r>
      <w:r w:rsidRPr="00C94B25">
        <w:t>, 25</w:t>
      </w:r>
      <w:r w:rsidRPr="00C94B25">
        <w:fldChar w:fldCharType="begin"/>
      </w:r>
      <w:r w:rsidRPr="00C94B25">
        <w:instrText xml:space="preserve"> TA \l "Article 25" \s "25" \c 8 </w:instrText>
      </w:r>
      <w:r w:rsidRPr="00C94B25">
        <w:fldChar w:fldCharType="end"/>
      </w:r>
      <w:r w:rsidRPr="00C94B25">
        <w:t>, &amp; 32</w:t>
      </w:r>
      <w:r w:rsidRPr="00C94B25">
        <w:fldChar w:fldCharType="begin"/>
      </w:r>
      <w:r w:rsidRPr="00C94B25">
        <w:instrText xml:space="preserve"> TA \l "Article 32" \s "32" \c 8 </w:instrText>
      </w:r>
      <w:r w:rsidRPr="00C94B25">
        <w:fldChar w:fldCharType="end"/>
      </w:r>
      <w:r w:rsidRPr="00C94B25">
        <w:t xml:space="preserve"> compared to art. 17</w:t>
      </w:r>
      <w:r w:rsidRPr="00C94B25">
        <w:fldChar w:fldCharType="begin"/>
      </w:r>
      <w:r w:rsidRPr="00C94B25">
        <w:instrText xml:space="preserve"> TA \s "American Convention art. 17" </w:instrText>
      </w:r>
      <w:r w:rsidRPr="00C94B25">
        <w:fldChar w:fldCharType="end"/>
      </w:r>
      <w:r w:rsidRPr="00C94B25">
        <w:t>.</w:t>
      </w:r>
    </w:p>
  </w:footnote>
  <w:footnote w:id="85">
    <w:p w:rsidR="00B27D37" w:rsidRPr="00C94B25" w:rsidRDefault="00B27D37" w:rsidP="00E15F6F">
      <w:pPr>
        <w:pStyle w:val="FootnoteText"/>
      </w:pPr>
      <w:r w:rsidRPr="00C94B25">
        <w:rPr>
          <w:rStyle w:val="FootnoteReference"/>
        </w:rPr>
        <w:footnoteRef/>
      </w:r>
      <w:r w:rsidRPr="00C94B25">
        <w:t xml:space="preserve"> Hypo ¶ 12</w:t>
      </w:r>
      <w:r>
        <w:t>.</w:t>
      </w:r>
    </w:p>
  </w:footnote>
  <w:footnote w:id="86">
    <w:p w:rsidR="00B27D37" w:rsidRPr="00C94B25" w:rsidRDefault="00B27D37" w:rsidP="00E15F6F">
      <w:pPr>
        <w:pStyle w:val="FootnoteText"/>
      </w:pPr>
      <w:r w:rsidRPr="00C94B25">
        <w:rPr>
          <w:rStyle w:val="FootnoteReference"/>
        </w:rPr>
        <w:footnoteRef/>
      </w:r>
      <w:r w:rsidRPr="00C94B25">
        <w:t xml:space="preserve"> American Convention art. 12</w:t>
      </w:r>
      <w:r w:rsidRPr="00C94B25">
        <w:fldChar w:fldCharType="begin"/>
      </w:r>
      <w:r w:rsidRPr="00C94B25">
        <w:instrText xml:space="preserve"> TA \s "12" </w:instrText>
      </w:r>
      <w:r w:rsidRPr="00C94B25">
        <w:fldChar w:fldCharType="end"/>
      </w:r>
      <w:r w:rsidRPr="00C94B25">
        <w:t>(1) &amp; (2).</w:t>
      </w:r>
    </w:p>
  </w:footnote>
  <w:footnote w:id="87">
    <w:p w:rsidR="00B27D37" w:rsidRPr="00C94B25" w:rsidRDefault="00B27D37" w:rsidP="00E15F6F">
      <w:pPr>
        <w:pStyle w:val="FootnoteText"/>
      </w:pPr>
      <w:r w:rsidRPr="00C94B25">
        <w:rPr>
          <w:rStyle w:val="FootnoteReference"/>
        </w:rPr>
        <w:footnoteRef/>
      </w:r>
      <w:r w:rsidRPr="00C94B25">
        <w:t xml:space="preserve"> American Convention art. 12</w:t>
      </w:r>
      <w:r w:rsidRPr="00C94B25">
        <w:fldChar w:fldCharType="begin"/>
      </w:r>
      <w:r w:rsidRPr="00C94B25">
        <w:instrText xml:space="preserve"> TA \s "12" </w:instrText>
      </w:r>
      <w:r w:rsidRPr="00C94B25">
        <w:fldChar w:fldCharType="end"/>
      </w:r>
      <w:r w:rsidRPr="00C94B25">
        <w:t>(3).</w:t>
      </w:r>
    </w:p>
  </w:footnote>
  <w:footnote w:id="88">
    <w:p w:rsidR="00B27D37" w:rsidRPr="00C94B25" w:rsidRDefault="00B27D37" w:rsidP="00E15F6F">
      <w:pPr>
        <w:pStyle w:val="FootnoteText"/>
      </w:pPr>
      <w:r w:rsidRPr="00C94B25">
        <w:rPr>
          <w:rStyle w:val="FootnoteReference"/>
        </w:rPr>
        <w:footnoteRef/>
      </w:r>
      <w:r w:rsidRPr="00C94B25">
        <w:t xml:space="preserve"> </w:t>
      </w:r>
      <w:r w:rsidRPr="00C51C93">
        <w:rPr>
          <w:i/>
        </w:rPr>
        <w:t>Case of</w:t>
      </w:r>
      <w:r>
        <w:rPr>
          <w:i/>
        </w:rPr>
        <w:t xml:space="preserve"> </w:t>
      </w:r>
      <w:r w:rsidRPr="00C51C93">
        <w:rPr>
          <w:i/>
        </w:rPr>
        <w:t>“The Last Temptation of Christ” (Olmedo-Bustos et al.) v. Chile</w:t>
      </w:r>
      <w:r w:rsidRPr="00C94B25">
        <w:t xml:space="preserve"> (Judgment), Inter-Am. </w:t>
      </w:r>
      <w:r w:rsidR="00990BA6" w:rsidRPr="00C94B25">
        <w:t>Ct.</w:t>
      </w:r>
      <w:r w:rsidR="00990BA6">
        <w:t xml:space="preserve"> </w:t>
      </w:r>
      <w:r w:rsidR="00990BA6" w:rsidRPr="00C94B25">
        <w:t>H.</w:t>
      </w:r>
      <w:r w:rsidR="00990BA6">
        <w:t xml:space="preserve"> </w:t>
      </w:r>
      <w:r w:rsidR="00990BA6" w:rsidRPr="00C94B25">
        <w:t>R</w:t>
      </w:r>
      <w:r w:rsidRPr="00C94B25">
        <w:t>., ser. C, No. 73, (5 Feb., 2001)</w:t>
      </w:r>
      <w:r w:rsidRPr="00C94B25">
        <w:fldChar w:fldCharType="begin"/>
      </w:r>
      <w:r w:rsidRPr="00C94B25">
        <w:instrText xml:space="preserve"> TA \l "</w:instrText>
      </w:r>
      <w:r w:rsidRPr="00C51C93">
        <w:rPr>
          <w:i/>
        </w:rPr>
        <w:instrText>Case of the \“The Last Temptation of Christ\” (Olmedo-Bustos et al.) v. Chile</w:instrText>
      </w:r>
      <w:r>
        <w:instrText xml:space="preserve"> (Judgment)</w:instrText>
      </w:r>
      <w:r>
        <w:br/>
      </w:r>
      <w:r w:rsidRPr="00C94B25">
        <w:instrText xml:space="preserve">Inter-Am. Ct.H.R., ser. C, No. 73, (5 Feb., 2001)" \s "\"The Last Temptation of Christ\" (Olmedo-Bustos et al.) v. Chile (Judgment), Inter-Am. Ct.H.R., ser. C, No. 73, (5 Feb., 2001)" \c 13 </w:instrText>
      </w:r>
      <w:r w:rsidRPr="00C94B25">
        <w:fldChar w:fldCharType="end"/>
      </w:r>
      <w:r w:rsidRPr="00C94B25">
        <w:t>, ¶</w:t>
      </w:r>
      <w:r>
        <w:t xml:space="preserve"> </w:t>
      </w:r>
      <w:r w:rsidRPr="00C94B25">
        <w:t>30.</w:t>
      </w:r>
    </w:p>
  </w:footnote>
  <w:footnote w:id="89">
    <w:p w:rsidR="00B27D37" w:rsidRPr="00C94B25" w:rsidRDefault="00B27D37" w:rsidP="00E15F6F">
      <w:pPr>
        <w:pStyle w:val="FootnoteText"/>
      </w:pPr>
      <w:r w:rsidRPr="00C94B25">
        <w:rPr>
          <w:rStyle w:val="FootnoteReference"/>
        </w:rPr>
        <w:footnoteRef/>
      </w:r>
      <w:r w:rsidRPr="00C94B25">
        <w:t xml:space="preserve"> </w:t>
      </w:r>
      <w:r w:rsidRPr="00C94B25">
        <w:rPr>
          <w:i/>
        </w:rPr>
        <w:t>“The Last Temptation of Christ</w:t>
      </w:r>
      <w:r>
        <w:t>,</w:t>
      </w:r>
      <w:r w:rsidRPr="00C94B25">
        <w:rPr>
          <w:i/>
        </w:rPr>
        <w:t>”</w:t>
      </w:r>
      <w:r w:rsidRPr="00C94B25">
        <w:fldChar w:fldCharType="begin"/>
      </w:r>
      <w:r w:rsidRPr="00C94B25">
        <w:instrText xml:space="preserve"> TA \s "\"The Last Temptation of Christ\" (Olmedo-Bustos et al.) v. Chile (Judgment), Inter-Am. Ct.H.R., ser. C, No. 73, (5 Feb., 2001)" </w:instrText>
      </w:r>
      <w:r w:rsidRPr="00C94B25">
        <w:fldChar w:fldCharType="end"/>
      </w:r>
      <w:r w:rsidRPr="00C94B25">
        <w:t xml:space="preserve"> ¶</w:t>
      </w:r>
      <w:r>
        <w:t xml:space="preserve"> </w:t>
      </w:r>
      <w:r w:rsidRPr="00C94B25">
        <w:t>79.</w:t>
      </w:r>
    </w:p>
  </w:footnote>
  <w:footnote w:id="90">
    <w:p w:rsidR="00B27D37" w:rsidRPr="00C94B25" w:rsidRDefault="00B27D37" w:rsidP="00E15F6F">
      <w:pPr>
        <w:pStyle w:val="FootnoteText"/>
      </w:pPr>
      <w:r w:rsidRPr="00C94B25">
        <w:rPr>
          <w:rStyle w:val="FootnoteReference"/>
        </w:rPr>
        <w:footnoteRef/>
      </w:r>
      <w:r w:rsidRPr="00C94B25">
        <w:t xml:space="preserve"> </w:t>
      </w:r>
      <w:r w:rsidRPr="00C94B25">
        <w:rPr>
          <w:i/>
        </w:rPr>
        <w:t>“The Last Temptation of Christ</w:t>
      </w:r>
      <w:r>
        <w:t>,</w:t>
      </w:r>
      <w:r w:rsidRPr="00C94B25">
        <w:rPr>
          <w:i/>
        </w:rPr>
        <w:t>”</w:t>
      </w:r>
      <w:r w:rsidRPr="00C94B25">
        <w:fldChar w:fldCharType="begin"/>
      </w:r>
      <w:r w:rsidRPr="00C94B25">
        <w:instrText xml:space="preserve"> TA \s "\"The Last Temptation of Christ\" (Olmedo-Bustos et al.) v. Chile (Judgment), Inter-Am. Ct.H.R., ser. C, No. 73, (5 Feb., 2001)" </w:instrText>
      </w:r>
      <w:r w:rsidRPr="00C94B25">
        <w:fldChar w:fldCharType="end"/>
      </w:r>
      <w:r w:rsidRPr="00C94B25">
        <w:t xml:space="preserve"> ¶</w:t>
      </w:r>
      <w:r>
        <w:t xml:space="preserve"> </w:t>
      </w:r>
      <w:r w:rsidRPr="00C94B25">
        <w:t>80.</w:t>
      </w:r>
    </w:p>
  </w:footnote>
  <w:footnote w:id="91">
    <w:p w:rsidR="00B27D37" w:rsidRPr="00C94B25" w:rsidRDefault="00B27D37" w:rsidP="00E15F6F">
      <w:pPr>
        <w:pStyle w:val="FootnoteText"/>
      </w:pPr>
      <w:r w:rsidRPr="00C94B25">
        <w:rPr>
          <w:rStyle w:val="FootnoteReference"/>
        </w:rPr>
        <w:footnoteRef/>
      </w:r>
      <w:r w:rsidRPr="00C94B25">
        <w:t xml:space="preserve"> Hypo ¶</w:t>
      </w:r>
      <w:r>
        <w:t>¶</w:t>
      </w:r>
      <w:r w:rsidRPr="00C94B25">
        <w:t xml:space="preserve"> 36-38.</w:t>
      </w:r>
    </w:p>
  </w:footnote>
  <w:footnote w:id="92">
    <w:p w:rsidR="00B27D37" w:rsidRPr="00C94B25" w:rsidRDefault="00B27D37" w:rsidP="00E15F6F">
      <w:pPr>
        <w:pStyle w:val="FootnoteText"/>
      </w:pPr>
      <w:r w:rsidRPr="00C94B25">
        <w:rPr>
          <w:rStyle w:val="FootnoteReference"/>
        </w:rPr>
        <w:footnoteRef/>
      </w:r>
      <w:r w:rsidRPr="00C94B25">
        <w:t xml:space="preserve"> Hypo ¶</w:t>
      </w:r>
      <w:r>
        <w:t>¶</w:t>
      </w:r>
      <w:r w:rsidRPr="00C94B25">
        <w:t xml:space="preserve"> 39-40.</w:t>
      </w:r>
    </w:p>
  </w:footnote>
  <w:footnote w:id="93">
    <w:p w:rsidR="00B27D37" w:rsidRPr="00C94B25" w:rsidRDefault="00B27D37" w:rsidP="005928DB">
      <w:pPr>
        <w:pStyle w:val="FootnoteText"/>
      </w:pPr>
      <w:r w:rsidRPr="00C94B25">
        <w:rPr>
          <w:rStyle w:val="FootnoteReference"/>
        </w:rPr>
        <w:footnoteRef/>
      </w:r>
      <w:r w:rsidRPr="00C94B25">
        <w:t xml:space="preserve"> American Convention art. 17</w:t>
      </w:r>
      <w:r w:rsidRPr="00C94B25">
        <w:fldChar w:fldCharType="begin"/>
      </w:r>
      <w:r w:rsidRPr="00C94B25">
        <w:instrText xml:space="preserve"> TA \s "American Convention art. 17" </w:instrText>
      </w:r>
      <w:r w:rsidRPr="00C94B25">
        <w:fldChar w:fldCharType="end"/>
      </w:r>
      <w:r w:rsidRPr="00C94B25">
        <w:t>(2).</w:t>
      </w:r>
    </w:p>
  </w:footnote>
  <w:footnote w:id="94">
    <w:p w:rsidR="00B27D37" w:rsidRPr="00C94B25" w:rsidRDefault="00B27D37" w:rsidP="005928DB">
      <w:pPr>
        <w:pStyle w:val="FootnoteText"/>
      </w:pPr>
      <w:r w:rsidRPr="00C94B25">
        <w:rPr>
          <w:rStyle w:val="FootnoteReference"/>
        </w:rPr>
        <w:footnoteRef/>
      </w:r>
      <w:r w:rsidRPr="00C94B25">
        <w:t xml:space="preserve"> Charter of the Organization of American States art</w:t>
      </w:r>
      <w:r>
        <w:t>s</w:t>
      </w:r>
      <w:r w:rsidRPr="00C94B25">
        <w:t>. 3</w:t>
      </w:r>
      <w:r w:rsidRPr="00C94B25">
        <w:fldChar w:fldCharType="begin"/>
      </w:r>
      <w:r w:rsidRPr="00C94B25">
        <w:instrText xml:space="preserve"> TA \l "Article 3" \s "Charter of the Organization of American States art. 3" \c 2 </w:instrText>
      </w:r>
      <w:r w:rsidRPr="00C94B25">
        <w:fldChar w:fldCharType="end"/>
      </w:r>
      <w:r w:rsidRPr="00C94B25">
        <w:t>(e) &amp; 17</w:t>
      </w:r>
      <w:r w:rsidRPr="00C94B25">
        <w:fldChar w:fldCharType="begin"/>
      </w:r>
      <w:r w:rsidRPr="00C94B25">
        <w:instrText xml:space="preserve"> TA \l "Article 17" \s "17" \c 2 </w:instrText>
      </w:r>
      <w:r w:rsidRPr="00C94B25">
        <w:fldChar w:fldCharType="end"/>
      </w:r>
      <w:r w:rsidRPr="00C94B25">
        <w:t>.</w:t>
      </w:r>
    </w:p>
  </w:footnote>
  <w:footnote w:id="95">
    <w:p w:rsidR="00B27D37" w:rsidRPr="00C94B25" w:rsidRDefault="00B27D37" w:rsidP="005928DB">
      <w:pPr>
        <w:pStyle w:val="FootnoteText"/>
      </w:pPr>
      <w:r w:rsidRPr="00C94B25">
        <w:rPr>
          <w:rStyle w:val="FootnoteReference"/>
        </w:rPr>
        <w:footnoteRef/>
      </w:r>
      <w:r w:rsidRPr="00C94B25">
        <w:t xml:space="preserve"> American Convention art. 32</w:t>
      </w:r>
      <w:r w:rsidRPr="00C94B25">
        <w:fldChar w:fldCharType="begin"/>
      </w:r>
      <w:r w:rsidRPr="00C94B25">
        <w:instrText xml:space="preserve"> TA \s "32" </w:instrText>
      </w:r>
      <w:r w:rsidRPr="00C94B25">
        <w:fldChar w:fldCharType="end"/>
      </w:r>
      <w:r w:rsidRPr="00C94B25">
        <w:t xml:space="preserve">; </w:t>
      </w:r>
      <w:r>
        <w:fldChar w:fldCharType="begin"/>
      </w:r>
      <w:r>
        <w:instrText xml:space="preserve"> TA \l "</w:instrText>
      </w:r>
      <w:r w:rsidRPr="00895CF5">
        <w:instrText>Article 28</w:instrText>
      </w:r>
      <w:r>
        <w:instrText xml:space="preserve">" \s "American Declaration of the Rights and Duties of Man art. 28" \c 5 </w:instrText>
      </w:r>
      <w:r>
        <w:fldChar w:fldCharType="end"/>
      </w:r>
      <w:r w:rsidRPr="00C94B25">
        <w:t>American Declaration of the Rights and Duties of Man art. 28</w:t>
      </w:r>
      <w:r>
        <w:fldChar w:fldCharType="begin"/>
      </w:r>
      <w:r>
        <w:instrText xml:space="preserve"> TA \s "American Declaration of the Rights and Duties of Man art. 28" </w:instrText>
      </w:r>
      <w:r>
        <w:fldChar w:fldCharType="end"/>
      </w:r>
      <w:r w:rsidRPr="00C94B25">
        <w:t>.</w:t>
      </w:r>
    </w:p>
  </w:footnote>
  <w:footnote w:id="96">
    <w:p w:rsidR="00E206E7" w:rsidRPr="00C94B25" w:rsidRDefault="00E206E7" w:rsidP="008B06D9">
      <w:pPr>
        <w:pStyle w:val="FootnoteText"/>
      </w:pPr>
      <w:r w:rsidRPr="00C94B25">
        <w:rPr>
          <w:rStyle w:val="FootnoteReference"/>
        </w:rPr>
        <w:footnoteRef/>
      </w:r>
      <w:r w:rsidRPr="00C94B25">
        <w:t xml:space="preserve"> European Convention art. 8.</w:t>
      </w:r>
      <w:r w:rsidRPr="00C94B25">
        <w:fldChar w:fldCharType="begin"/>
      </w:r>
      <w:r w:rsidRPr="00C94B25">
        <w:instrText xml:space="preserve"> TA \l "Article 8" \s "European Convention art. 8." \c 7 </w:instrText>
      </w:r>
      <w:r w:rsidRPr="00C94B25">
        <w:fldChar w:fldCharType="end"/>
      </w:r>
    </w:p>
  </w:footnote>
  <w:footnote w:id="97">
    <w:p w:rsidR="00E206E7" w:rsidRPr="00C94B25" w:rsidRDefault="00E206E7" w:rsidP="008B06D9">
      <w:pPr>
        <w:pStyle w:val="FootnoteText"/>
      </w:pPr>
      <w:r w:rsidRPr="00C94B25">
        <w:rPr>
          <w:rStyle w:val="FootnoteReference"/>
        </w:rPr>
        <w:footnoteRef/>
      </w:r>
      <w:r w:rsidRPr="00C94B25">
        <w:t xml:space="preserve"> European Convention</w:t>
      </w:r>
      <w:r w:rsidRPr="00C94B25">
        <w:fldChar w:fldCharType="begin"/>
      </w:r>
      <w:r w:rsidRPr="00C94B25">
        <w:instrText xml:space="preserve"> TA \l "Article 12" \s "European Convention" \c 7 </w:instrText>
      </w:r>
      <w:r w:rsidRPr="00C94B25">
        <w:fldChar w:fldCharType="end"/>
      </w:r>
      <w:r w:rsidRPr="00C94B25">
        <w:t xml:space="preserve"> art. 12.</w:t>
      </w:r>
    </w:p>
  </w:footnote>
  <w:footnote w:id="98">
    <w:p w:rsidR="00B27D37" w:rsidRPr="00C94B25" w:rsidRDefault="00B27D37" w:rsidP="005928DB">
      <w:pPr>
        <w:pStyle w:val="FootnoteText"/>
      </w:pPr>
      <w:r w:rsidRPr="00C94B25">
        <w:rPr>
          <w:rStyle w:val="FootnoteReference"/>
        </w:rPr>
        <w:footnoteRef/>
      </w:r>
      <w:r w:rsidRPr="00C94B25">
        <w:t xml:space="preserve"> </w:t>
      </w:r>
      <w:r w:rsidRPr="00C94B25">
        <w:rPr>
          <w:i/>
          <w:iCs/>
        </w:rPr>
        <w:t xml:space="preserve">Case of Schalk and Kopf v. Austria </w:t>
      </w:r>
      <w:r w:rsidRPr="00C94B25">
        <w:rPr>
          <w:iCs/>
        </w:rPr>
        <w:t>(Judgment), Ap</w:t>
      </w:r>
      <w:r>
        <w:rPr>
          <w:iCs/>
        </w:rPr>
        <w:t xml:space="preserve">p. No. 30141/04, (24 June 2010), </w:t>
      </w:r>
      <w:r w:rsidRPr="00C94B25">
        <w:t>¶</w:t>
      </w:r>
      <w:r>
        <w:t>¶</w:t>
      </w:r>
      <w:r w:rsidRPr="00C94B25">
        <w:t xml:space="preserve"> 9, 15, 16, &amp; 23.</w:t>
      </w:r>
    </w:p>
  </w:footnote>
  <w:footnote w:id="99">
    <w:p w:rsidR="00B27D37" w:rsidRPr="00C94B25" w:rsidRDefault="00B27D37" w:rsidP="00B943EA">
      <w:pPr>
        <w:pStyle w:val="FootnoteText"/>
      </w:pPr>
      <w:r w:rsidRPr="00C94B25">
        <w:rPr>
          <w:rStyle w:val="FootnoteReference"/>
        </w:rPr>
        <w:footnoteRef/>
      </w:r>
      <w:r w:rsidRPr="00C94B25">
        <w:t xml:space="preserve"> </w:t>
      </w:r>
      <w:r w:rsidRPr="00C94B25">
        <w:rPr>
          <w:i/>
          <w:iCs/>
        </w:rPr>
        <w:t>Schalk and Kopf</w:t>
      </w:r>
      <w:r w:rsidRPr="005D29C0">
        <w:rPr>
          <w:i/>
          <w:iCs/>
        </w:rPr>
        <w:fldChar w:fldCharType="begin"/>
      </w:r>
      <w:r w:rsidRPr="005D29C0">
        <w:rPr>
          <w:i/>
          <w:iCs/>
        </w:rPr>
        <w:instrText xml:space="preserve"> TA \l "Case of Schalk and Kopf v. Austria (Judgment)</w:instrText>
      </w:r>
      <w:r w:rsidRPr="005D29C0">
        <w:rPr>
          <w:i/>
          <w:iCs/>
        </w:rPr>
        <w:br/>
        <w:instrText xml:space="preserve">App. No. 30141/04, (24 June 2010)" \s "Schalk and Kopf v. Austria" \c 6 </w:instrText>
      </w:r>
      <w:r w:rsidRPr="005D29C0">
        <w:rPr>
          <w:i/>
          <w:iCs/>
        </w:rPr>
        <w:fldChar w:fldCharType="end"/>
      </w:r>
      <w:r w:rsidRPr="00C94B25">
        <w:t>, ¶ 51.</w:t>
      </w:r>
    </w:p>
  </w:footnote>
  <w:footnote w:id="100">
    <w:p w:rsidR="00B27D37" w:rsidRPr="00C94B25" w:rsidRDefault="00B27D37" w:rsidP="005928DB">
      <w:pPr>
        <w:pStyle w:val="FootnoteText"/>
      </w:pPr>
      <w:r w:rsidRPr="00C94B25">
        <w:rPr>
          <w:rStyle w:val="FootnoteReference"/>
        </w:rPr>
        <w:footnoteRef/>
      </w:r>
      <w:r w:rsidRPr="00C94B25">
        <w:t xml:space="preserve"> </w:t>
      </w:r>
      <w:r w:rsidRPr="00C94B25">
        <w:rPr>
          <w:i/>
          <w:iCs/>
        </w:rPr>
        <w:t>Schalk and Kopf</w:t>
      </w:r>
      <w:r w:rsidRPr="005D29C0">
        <w:rPr>
          <w:i/>
          <w:iCs/>
        </w:rPr>
        <w:fldChar w:fldCharType="begin"/>
      </w:r>
      <w:r w:rsidRPr="005D29C0">
        <w:rPr>
          <w:i/>
          <w:iCs/>
        </w:rPr>
        <w:instrText xml:space="preserve"> TA \l "Case of Schalk and Kopf v. Austria (Judgment)</w:instrText>
      </w:r>
      <w:r w:rsidRPr="005D29C0">
        <w:rPr>
          <w:i/>
          <w:iCs/>
        </w:rPr>
        <w:br/>
        <w:instrText xml:space="preserve">App. No. 30141/04, (24 June 2010)" \s "Schalk and Kopf v. Austria" \c 6 </w:instrText>
      </w:r>
      <w:r w:rsidRPr="005D29C0">
        <w:rPr>
          <w:i/>
          <w:iCs/>
        </w:rPr>
        <w:fldChar w:fldCharType="end"/>
      </w:r>
      <w:r w:rsidRPr="00C94B25">
        <w:t>, ¶ 57.</w:t>
      </w:r>
    </w:p>
  </w:footnote>
  <w:footnote w:id="101">
    <w:p w:rsidR="00B27D37" w:rsidRPr="00C94B25" w:rsidRDefault="00B27D37" w:rsidP="005928DB">
      <w:pPr>
        <w:pStyle w:val="FootnoteText"/>
      </w:pPr>
      <w:r w:rsidRPr="00C94B25">
        <w:rPr>
          <w:rStyle w:val="FootnoteReference"/>
        </w:rPr>
        <w:footnoteRef/>
      </w:r>
      <w:r w:rsidRPr="00C94B25">
        <w:t xml:space="preserve"> </w:t>
      </w:r>
      <w:r w:rsidRPr="00C94B25">
        <w:rPr>
          <w:i/>
          <w:iCs/>
        </w:rPr>
        <w:t>Schalk and Kopf</w:t>
      </w:r>
      <w:r w:rsidRPr="005D29C0">
        <w:rPr>
          <w:i/>
          <w:iCs/>
        </w:rPr>
        <w:fldChar w:fldCharType="begin"/>
      </w:r>
      <w:r w:rsidRPr="005D29C0">
        <w:rPr>
          <w:i/>
          <w:iCs/>
        </w:rPr>
        <w:instrText xml:space="preserve"> TA \l "Case of Schalk and Kopf v. Austria (Judgment)</w:instrText>
      </w:r>
      <w:r w:rsidRPr="005D29C0">
        <w:rPr>
          <w:i/>
          <w:iCs/>
        </w:rPr>
        <w:br/>
        <w:instrText xml:space="preserve">App. No. 30141/04, (24 June 2010)" \s "Schalk and Kopf v. Austria" \c 6 </w:instrText>
      </w:r>
      <w:r w:rsidRPr="005D29C0">
        <w:rPr>
          <w:i/>
          <w:iCs/>
        </w:rPr>
        <w:fldChar w:fldCharType="end"/>
      </w:r>
      <w:r w:rsidRPr="00C94B25">
        <w:t>, ¶ 58.</w:t>
      </w:r>
    </w:p>
  </w:footnote>
  <w:footnote w:id="102">
    <w:p w:rsidR="00E206E7" w:rsidRPr="00C94B25" w:rsidRDefault="00E206E7" w:rsidP="005928DB">
      <w:pPr>
        <w:pStyle w:val="FootnoteText"/>
      </w:pPr>
      <w:r w:rsidRPr="00C94B25">
        <w:rPr>
          <w:rStyle w:val="FootnoteReference"/>
        </w:rPr>
        <w:footnoteRef/>
      </w:r>
      <w:r w:rsidRPr="00C94B25">
        <w:t xml:space="preserve"> </w:t>
      </w:r>
      <w:r w:rsidRPr="00C94B25">
        <w:rPr>
          <w:i/>
          <w:iCs/>
        </w:rPr>
        <w:t>Schalk and Kopf</w:t>
      </w:r>
      <w:r w:rsidRPr="005D29C0">
        <w:rPr>
          <w:i/>
          <w:iCs/>
        </w:rPr>
        <w:fldChar w:fldCharType="begin"/>
      </w:r>
      <w:r w:rsidRPr="005D29C0">
        <w:rPr>
          <w:i/>
          <w:iCs/>
        </w:rPr>
        <w:instrText xml:space="preserve"> TA \l "Case of Schalk and Kopf v. Austria (Judgment)</w:instrText>
      </w:r>
      <w:r w:rsidRPr="005D29C0">
        <w:rPr>
          <w:i/>
          <w:iCs/>
        </w:rPr>
        <w:br/>
        <w:instrText xml:space="preserve">App. No. 30141/04, (24 June 2010)" \s "Schalk and Kopf v. Austria" \c 6 </w:instrText>
      </w:r>
      <w:r w:rsidRPr="005D29C0">
        <w:rPr>
          <w:i/>
          <w:iCs/>
        </w:rPr>
        <w:fldChar w:fldCharType="end"/>
      </w:r>
      <w:r w:rsidRPr="00C94B25">
        <w:t>, ¶ 58.</w:t>
      </w:r>
    </w:p>
  </w:footnote>
  <w:footnote w:id="103">
    <w:p w:rsidR="00B27D37" w:rsidRPr="00C94B25" w:rsidRDefault="00B27D37" w:rsidP="005928DB">
      <w:pPr>
        <w:pStyle w:val="FootnoteText"/>
      </w:pPr>
      <w:r w:rsidRPr="00C94B25">
        <w:rPr>
          <w:rStyle w:val="FootnoteReference"/>
        </w:rPr>
        <w:footnoteRef/>
      </w:r>
      <w:r w:rsidRPr="00C94B25">
        <w:t xml:space="preserve"> </w:t>
      </w:r>
      <w:r w:rsidRPr="00C94B25">
        <w:rPr>
          <w:i/>
          <w:iCs/>
        </w:rPr>
        <w:t>Schalk and Kopf</w:t>
      </w:r>
      <w:r w:rsidRPr="005D29C0">
        <w:rPr>
          <w:i/>
          <w:iCs/>
        </w:rPr>
        <w:fldChar w:fldCharType="begin"/>
      </w:r>
      <w:r w:rsidRPr="005D29C0">
        <w:rPr>
          <w:i/>
          <w:iCs/>
        </w:rPr>
        <w:instrText xml:space="preserve"> TA \l "Case of Schalk and Kopf v. Austria (Judgment)</w:instrText>
      </w:r>
      <w:r w:rsidRPr="005D29C0">
        <w:rPr>
          <w:i/>
          <w:iCs/>
        </w:rPr>
        <w:br/>
        <w:instrText xml:space="preserve">App. No. 30141/04, (24 June 2010)" \s "Schalk and Kopf v. Austria" \c 6 </w:instrText>
      </w:r>
      <w:r w:rsidRPr="005D29C0">
        <w:rPr>
          <w:i/>
          <w:iCs/>
        </w:rPr>
        <w:fldChar w:fldCharType="end"/>
      </w:r>
      <w:r w:rsidRPr="00C94B25">
        <w:t>, ¶ 62.</w:t>
      </w:r>
    </w:p>
  </w:footnote>
  <w:footnote w:id="104">
    <w:p w:rsidR="00B27D37" w:rsidRPr="00C94B25" w:rsidRDefault="00B27D37" w:rsidP="00B943EA">
      <w:pPr>
        <w:pStyle w:val="FootnoteText"/>
      </w:pPr>
      <w:r w:rsidRPr="00C94B25">
        <w:rPr>
          <w:rStyle w:val="FootnoteReference"/>
        </w:rPr>
        <w:footnoteRef/>
      </w:r>
      <w:r w:rsidRPr="00C94B25">
        <w:t xml:space="preserve"> Hypo ¶ 12.</w:t>
      </w:r>
    </w:p>
  </w:footnote>
  <w:footnote w:id="105">
    <w:p w:rsidR="00B27D37" w:rsidRPr="00C94B25" w:rsidRDefault="00B27D37" w:rsidP="00B943EA">
      <w:pPr>
        <w:pStyle w:val="FootnoteText"/>
      </w:pPr>
      <w:r w:rsidRPr="00C94B25">
        <w:rPr>
          <w:rStyle w:val="FootnoteReference"/>
        </w:rPr>
        <w:footnoteRef/>
      </w:r>
      <w:r w:rsidRPr="00C94B25">
        <w:t xml:space="preserve"> </w:t>
      </w:r>
      <w:r w:rsidRPr="00EA127F">
        <w:t>Hypo</w:t>
      </w:r>
      <w:r w:rsidRPr="00C94B25">
        <w:t xml:space="preserve"> ¶ 17.</w:t>
      </w:r>
    </w:p>
  </w:footnote>
  <w:footnote w:id="106">
    <w:p w:rsidR="00B27D37" w:rsidRPr="00B35591" w:rsidRDefault="00B27D37">
      <w:pPr>
        <w:pStyle w:val="FootnoteText"/>
      </w:pPr>
      <w:r>
        <w:rPr>
          <w:rStyle w:val="FootnoteReference"/>
        </w:rPr>
        <w:footnoteRef/>
      </w:r>
      <w:r>
        <w:t xml:space="preserve"> </w:t>
      </w:r>
      <w:r>
        <w:rPr>
          <w:i/>
        </w:rPr>
        <w:t>Id</w:t>
      </w:r>
      <w:r>
        <w:t>.</w:t>
      </w:r>
    </w:p>
  </w:footnote>
  <w:footnote w:id="107">
    <w:p w:rsidR="00B27D37" w:rsidRPr="00C94B25" w:rsidRDefault="00B27D37" w:rsidP="005928DB">
      <w:pPr>
        <w:pStyle w:val="FootnoteText"/>
      </w:pPr>
      <w:r w:rsidRPr="00C94B25">
        <w:rPr>
          <w:rStyle w:val="FootnoteReference"/>
        </w:rPr>
        <w:footnoteRef/>
      </w:r>
      <w:r w:rsidRPr="00C94B25">
        <w:t xml:space="preserve"> Clarification Question 36.</w:t>
      </w:r>
    </w:p>
  </w:footnote>
  <w:footnote w:id="108">
    <w:p w:rsidR="00B27D37" w:rsidRPr="00C94B25" w:rsidRDefault="00B27D37" w:rsidP="005928DB">
      <w:pPr>
        <w:pStyle w:val="FootnoteText"/>
      </w:pPr>
      <w:r w:rsidRPr="00C94B25">
        <w:rPr>
          <w:rStyle w:val="FootnoteReference"/>
        </w:rPr>
        <w:footnoteRef/>
      </w:r>
      <w:r w:rsidRPr="00C94B25">
        <w:t xml:space="preserve"> </w:t>
      </w:r>
      <w:r w:rsidR="004B76FF">
        <w:t xml:space="preserve">Hypo ¶ 17; </w:t>
      </w:r>
      <w:r w:rsidRPr="00C94B25">
        <w:t>Clarification Question 36.</w:t>
      </w:r>
    </w:p>
  </w:footnote>
  <w:footnote w:id="109">
    <w:p w:rsidR="00B27D37" w:rsidRPr="00C94B25" w:rsidRDefault="00B27D37" w:rsidP="00B35591">
      <w:pPr>
        <w:pStyle w:val="FootnoteText"/>
      </w:pPr>
      <w:r w:rsidRPr="00C94B25">
        <w:rPr>
          <w:rStyle w:val="FootnoteReference"/>
        </w:rPr>
        <w:footnoteRef/>
      </w:r>
      <w:r w:rsidRPr="00C94B25">
        <w:t xml:space="preserve"> Hypo ¶ 17.</w:t>
      </w:r>
    </w:p>
  </w:footnote>
  <w:footnote w:id="110">
    <w:p w:rsidR="00B27D37" w:rsidRPr="00C94B25" w:rsidRDefault="00B27D37" w:rsidP="00B35591">
      <w:pPr>
        <w:pStyle w:val="FootnoteText"/>
      </w:pPr>
      <w:r w:rsidRPr="00C94B25">
        <w:rPr>
          <w:rStyle w:val="FootnoteReference"/>
        </w:rPr>
        <w:footnoteRef/>
      </w:r>
      <w:r w:rsidRPr="00C94B25">
        <w:t xml:space="preserve"> Clarification Question 36.</w:t>
      </w:r>
    </w:p>
  </w:footnote>
  <w:footnote w:id="111">
    <w:p w:rsidR="00B27D37" w:rsidRPr="00C94B25" w:rsidRDefault="00B27D37" w:rsidP="00B35591">
      <w:pPr>
        <w:pStyle w:val="FootnoteText"/>
      </w:pPr>
      <w:r w:rsidRPr="00C94B25">
        <w:rPr>
          <w:rStyle w:val="FootnoteReference"/>
        </w:rPr>
        <w:footnoteRef/>
      </w:r>
      <w:r w:rsidRPr="00C94B25">
        <w:t xml:space="preserve"> Hypo ¶ 17.</w:t>
      </w:r>
    </w:p>
  </w:footnote>
  <w:footnote w:id="112">
    <w:p w:rsidR="00B27D37" w:rsidRPr="00C94B25" w:rsidRDefault="00B27D37" w:rsidP="00B35591">
      <w:pPr>
        <w:pStyle w:val="FootnoteText"/>
      </w:pPr>
      <w:r w:rsidRPr="00C94B25">
        <w:rPr>
          <w:rStyle w:val="FootnoteReference"/>
        </w:rPr>
        <w:footnoteRef/>
      </w:r>
      <w:r w:rsidRPr="00C94B25">
        <w:t xml:space="preserve"> Charter of the Organization of American States art</w:t>
      </w:r>
      <w:r>
        <w:t>s</w:t>
      </w:r>
      <w:r w:rsidRPr="00C94B25">
        <w:t>. 3</w:t>
      </w:r>
      <w:r w:rsidRPr="00C94B25">
        <w:fldChar w:fldCharType="begin"/>
      </w:r>
      <w:r w:rsidRPr="00C94B25">
        <w:instrText xml:space="preserve"> TA \s "Charter of the Organization of American States art. 3" </w:instrText>
      </w:r>
      <w:r w:rsidRPr="00C94B25">
        <w:fldChar w:fldCharType="end"/>
      </w:r>
      <w:r w:rsidRPr="00C94B25">
        <w:t>(e) &amp;17</w:t>
      </w:r>
      <w:r w:rsidRPr="00C94B25">
        <w:fldChar w:fldCharType="begin"/>
      </w:r>
      <w:r w:rsidRPr="00C94B25">
        <w:instrText xml:space="preserve"> TA \s "17" </w:instrText>
      </w:r>
      <w:r w:rsidRPr="00C94B25">
        <w:fldChar w:fldCharType="end"/>
      </w:r>
      <w:r w:rsidRPr="00C94B25">
        <w:t>.</w:t>
      </w:r>
    </w:p>
  </w:footnote>
  <w:footnote w:id="113">
    <w:p w:rsidR="00B27D37" w:rsidRPr="00C94B25" w:rsidRDefault="00B27D37" w:rsidP="00B35591">
      <w:pPr>
        <w:pStyle w:val="FootnoteText"/>
      </w:pPr>
      <w:r w:rsidRPr="00C94B25">
        <w:rPr>
          <w:rStyle w:val="FootnoteReference"/>
        </w:rPr>
        <w:footnoteRef/>
      </w:r>
      <w:r w:rsidRPr="00C94B25">
        <w:t xml:space="preserve"> American Convention art. 32</w:t>
      </w:r>
      <w:r w:rsidRPr="00C94B25">
        <w:fldChar w:fldCharType="begin"/>
      </w:r>
      <w:r w:rsidRPr="00C94B25">
        <w:instrText xml:space="preserve"> TA \s "American Convention art. 32" </w:instrText>
      </w:r>
      <w:r w:rsidRPr="00C94B25">
        <w:fldChar w:fldCharType="end"/>
      </w:r>
      <w:r w:rsidRPr="00C94B25">
        <w:t>; American Declaration of the Rights and Duties of Man art.</w:t>
      </w:r>
      <w:r w:rsidRPr="00C94B25">
        <w:fldChar w:fldCharType="begin"/>
      </w:r>
      <w:r w:rsidRPr="00C94B25">
        <w:instrText xml:space="preserve"> TA \s "American Declaration of the Rights and Duties of Man art. 28" </w:instrText>
      </w:r>
      <w:r w:rsidRPr="00C94B25">
        <w:fldChar w:fldCharType="end"/>
      </w:r>
      <w:r w:rsidRPr="00C94B25">
        <w:t xml:space="preserve"> 28.</w:t>
      </w:r>
    </w:p>
  </w:footnote>
  <w:footnote w:id="114">
    <w:p w:rsidR="00B27D37" w:rsidRPr="00C94B25" w:rsidRDefault="00B27D37" w:rsidP="00B35591">
      <w:pPr>
        <w:pStyle w:val="FootnoteText"/>
      </w:pPr>
      <w:r w:rsidRPr="00C94B25">
        <w:rPr>
          <w:rStyle w:val="FootnoteReference"/>
        </w:rPr>
        <w:footnoteRef/>
      </w:r>
      <w:r w:rsidRPr="00C94B25">
        <w:t xml:space="preserve"> Only Argentina and </w:t>
      </w:r>
      <w:r w:rsidR="00990BA6" w:rsidRPr="00C94B25">
        <w:t>Uruguay</w:t>
      </w:r>
      <w:r w:rsidRPr="00C94B25">
        <w:t xml:space="preserve"> </w:t>
      </w:r>
      <w:r>
        <w:t>gives same sex couples marriage,</w:t>
      </w:r>
      <w:r w:rsidRPr="00C94B25">
        <w:t xml:space="preserve"> </w:t>
      </w:r>
      <w:r w:rsidRPr="00015FB4">
        <w:t xml:space="preserve">British Broadcasting Corporation, </w:t>
      </w:r>
      <w:r w:rsidRPr="00015FB4">
        <w:rPr>
          <w:i/>
        </w:rPr>
        <w:t xml:space="preserve">Uruguay Gay Marriage Bill Approved in Lower House </w:t>
      </w:r>
      <w:r w:rsidRPr="00015FB4">
        <w:t>(12 Dec. 2012)</w:t>
      </w:r>
      <w:r>
        <w:t xml:space="preserve"> </w:t>
      </w:r>
      <w:r w:rsidRPr="00C94B25">
        <w:t>http://www.bbc.co.uk/news/world-latin-america-20691378</w:t>
      </w:r>
      <w:r>
        <w:fldChar w:fldCharType="begin"/>
      </w:r>
      <w:r>
        <w:instrText xml:space="preserve"> TA \l "</w:instrText>
      </w:r>
      <w:r w:rsidRPr="00A01F9E">
        <w:instrText xml:space="preserve">British Broadcasting Corporation, </w:instrText>
      </w:r>
      <w:r w:rsidRPr="00A01F9E">
        <w:rPr>
          <w:i/>
        </w:rPr>
        <w:instrText xml:space="preserve">Uruguay Gay Marriage Bill Approved in Lower House </w:instrText>
      </w:r>
      <w:r w:rsidRPr="00A01F9E">
        <w:instrText>(12 Dec. 2012)</w:instrText>
      </w:r>
      <w:r>
        <w:instrText xml:space="preserve">" \s "http://www.bbc.co.uk/news/world-latin-america-20691378" \c 14 </w:instrText>
      </w:r>
      <w:r>
        <w:fldChar w:fldCharType="end"/>
      </w:r>
      <w:r w:rsidRPr="00C94B25">
        <w:t>.</w:t>
      </w:r>
    </w:p>
  </w:footnote>
  <w:footnote w:id="115">
    <w:p w:rsidR="00B27D37" w:rsidRPr="00C94B25" w:rsidRDefault="00B27D37" w:rsidP="005928DB">
      <w:pPr>
        <w:pStyle w:val="FootnoteText"/>
      </w:pPr>
      <w:r w:rsidRPr="00C94B25">
        <w:rPr>
          <w:rStyle w:val="FootnoteReference"/>
        </w:rPr>
        <w:footnoteRef/>
      </w:r>
      <w:r w:rsidRPr="00C94B25">
        <w:t xml:space="preserve"> </w:t>
      </w:r>
      <w:r w:rsidRPr="00C94B25">
        <w:rPr>
          <w:i/>
        </w:rPr>
        <w:t>Atala Riffo</w:t>
      </w:r>
      <w:r>
        <w:rPr>
          <w:i/>
        </w:rPr>
        <w:fldChar w:fldCharType="begin"/>
      </w:r>
      <w:r>
        <w:rPr>
          <w:i/>
        </w:rPr>
        <w:instrText xml:space="preserve"> TA \s "Atala Riffo" </w:instrText>
      </w:r>
      <w:r>
        <w:rPr>
          <w:i/>
        </w:rPr>
        <w:fldChar w:fldCharType="end"/>
      </w:r>
      <w:r w:rsidRPr="00C94B25">
        <w:rPr>
          <w:i/>
        </w:rPr>
        <w:t xml:space="preserve"> and Daughters</w:t>
      </w:r>
      <w:r w:rsidRPr="00C94B25">
        <w:t>, ¶ 29.</w:t>
      </w:r>
    </w:p>
  </w:footnote>
  <w:footnote w:id="116">
    <w:p w:rsidR="00B27D37" w:rsidRPr="00C94B25" w:rsidRDefault="00B27D37" w:rsidP="005928DB">
      <w:pPr>
        <w:pStyle w:val="FootnoteText"/>
      </w:pPr>
      <w:r w:rsidRPr="00C94B25">
        <w:rPr>
          <w:rStyle w:val="FootnoteReference"/>
        </w:rPr>
        <w:footnoteRef/>
      </w:r>
      <w:r w:rsidRPr="00C94B25">
        <w:t xml:space="preserve"> Hypo ¶ 40.</w:t>
      </w:r>
    </w:p>
  </w:footnote>
  <w:footnote w:id="117">
    <w:p w:rsidR="00B27D37" w:rsidRPr="00C94B25" w:rsidRDefault="00B27D37" w:rsidP="005928DB">
      <w:pPr>
        <w:pStyle w:val="FootnoteText"/>
      </w:pPr>
      <w:r w:rsidRPr="00C94B25">
        <w:rPr>
          <w:rStyle w:val="FootnoteReference"/>
        </w:rPr>
        <w:footnoteRef/>
      </w:r>
      <w:r w:rsidRPr="00C94B25">
        <w:t xml:space="preserve"> Charter of the Organization of American States art</w:t>
      </w:r>
      <w:r>
        <w:t>s</w:t>
      </w:r>
      <w:r w:rsidRPr="00C94B25">
        <w:t>. 3</w:t>
      </w:r>
      <w:r w:rsidRPr="00C94B25">
        <w:fldChar w:fldCharType="begin"/>
      </w:r>
      <w:r w:rsidRPr="00C94B25">
        <w:instrText xml:space="preserve"> TA \s "Charter of the Organization of American States art. 3" </w:instrText>
      </w:r>
      <w:r w:rsidRPr="00C94B25">
        <w:fldChar w:fldCharType="end"/>
      </w:r>
      <w:r w:rsidRPr="00C94B25">
        <w:t>(e) &amp; 17</w:t>
      </w:r>
      <w:r w:rsidRPr="00C94B25">
        <w:fldChar w:fldCharType="begin"/>
      </w:r>
      <w:r w:rsidRPr="00C94B25">
        <w:instrText xml:space="preserve"> TA \s "17" </w:instrText>
      </w:r>
      <w:r w:rsidRPr="00C94B25">
        <w:fldChar w:fldCharType="end"/>
      </w:r>
      <w:r w:rsidRPr="00C94B25">
        <w:t>.</w:t>
      </w:r>
    </w:p>
  </w:footnote>
  <w:footnote w:id="118">
    <w:p w:rsidR="00B27D37" w:rsidRPr="00C94B25" w:rsidRDefault="00B27D37" w:rsidP="005928DB">
      <w:pPr>
        <w:pStyle w:val="FootnoteText"/>
      </w:pPr>
      <w:r w:rsidRPr="00C94B25">
        <w:rPr>
          <w:rStyle w:val="FootnoteReference"/>
        </w:rPr>
        <w:footnoteRef/>
      </w:r>
      <w:r w:rsidRPr="00C94B25">
        <w:t xml:space="preserve"> Hypo ¶ 17.</w:t>
      </w:r>
    </w:p>
  </w:footnote>
  <w:footnote w:id="119">
    <w:p w:rsidR="00B27D37" w:rsidRPr="00C94B25" w:rsidRDefault="00B27D37" w:rsidP="005928DB">
      <w:pPr>
        <w:pStyle w:val="FootnoteText"/>
      </w:pPr>
      <w:r w:rsidRPr="00C94B25">
        <w:rPr>
          <w:rStyle w:val="FootnoteReference"/>
        </w:rPr>
        <w:footnoteRef/>
      </w:r>
      <w:r w:rsidRPr="00C94B25">
        <w:t xml:space="preserve"> American Convention art. 23</w:t>
      </w:r>
      <w:r>
        <w:fldChar w:fldCharType="begin"/>
      </w:r>
      <w:r>
        <w:instrText xml:space="preserve"> TA \l "</w:instrText>
      </w:r>
      <w:r w:rsidRPr="00A24686">
        <w:instrText>Article 23</w:instrText>
      </w:r>
      <w:r>
        <w:instrText xml:space="preserve">" \s "American Convention art. 23" \c 8 </w:instrText>
      </w:r>
      <w:r>
        <w:fldChar w:fldCharType="end"/>
      </w:r>
      <w:r w:rsidRPr="00C94B25">
        <w:t>; Universal Declaration of Human Rights art. 21</w:t>
      </w:r>
      <w:r w:rsidR="007430C8">
        <w:fldChar w:fldCharType="begin"/>
      </w:r>
      <w:r w:rsidR="007430C8">
        <w:instrText xml:space="preserve"> TA \l "</w:instrText>
      </w:r>
      <w:r w:rsidR="007430C8" w:rsidRPr="007403DA">
        <w:instrText>Article 21</w:instrText>
      </w:r>
      <w:r w:rsidR="007430C8">
        <w:instrText xml:space="preserve">" \s "Universal Declaration of Human Rights art. 21" \c 1 </w:instrText>
      </w:r>
      <w:r w:rsidR="007430C8">
        <w:fldChar w:fldCharType="end"/>
      </w:r>
      <w:r w:rsidRPr="00C94B25">
        <w:t>; Charter of the Organization of American States art. 2</w:t>
      </w:r>
      <w:r>
        <w:fldChar w:fldCharType="begin"/>
      </w:r>
      <w:r>
        <w:instrText xml:space="preserve"> TA \l "</w:instrText>
      </w:r>
      <w:r w:rsidRPr="001B0BE8">
        <w:instrText>Article 2</w:instrText>
      </w:r>
      <w:r>
        <w:instrText xml:space="preserve">" \s "Charter of the Organization of American States art. 2" \c 2 </w:instrText>
      </w:r>
      <w:r>
        <w:fldChar w:fldCharType="end"/>
      </w:r>
      <w:r w:rsidRPr="00C94B25">
        <w:t>(b).</w:t>
      </w:r>
    </w:p>
  </w:footnote>
  <w:footnote w:id="120">
    <w:p w:rsidR="00B27D37" w:rsidRPr="00C94B25" w:rsidRDefault="00B27D37" w:rsidP="005928DB">
      <w:pPr>
        <w:pStyle w:val="FootnoteText"/>
      </w:pPr>
      <w:r w:rsidRPr="00C94B25">
        <w:rPr>
          <w:rStyle w:val="FootnoteReference"/>
        </w:rPr>
        <w:footnoteRef/>
      </w:r>
      <w:r w:rsidRPr="00C94B25">
        <w:t xml:space="preserve"> American Convention art. 32</w:t>
      </w:r>
      <w:r w:rsidRPr="00C94B25">
        <w:fldChar w:fldCharType="begin"/>
      </w:r>
      <w:r w:rsidRPr="00C94B25">
        <w:instrText xml:space="preserve"> TA \s "American Convention art. 32" </w:instrText>
      </w:r>
      <w:r w:rsidRPr="00C94B25">
        <w:fldChar w:fldCharType="end"/>
      </w:r>
      <w:r w:rsidRPr="00C94B25">
        <w:t>.</w:t>
      </w:r>
    </w:p>
  </w:footnote>
  <w:footnote w:id="121">
    <w:p w:rsidR="00B27D37" w:rsidRPr="00D501B4" w:rsidRDefault="00B27D37" w:rsidP="007F206B">
      <w:pPr>
        <w:pStyle w:val="FootnoteText"/>
      </w:pPr>
      <w:r w:rsidRPr="00D501B4">
        <w:rPr>
          <w:rStyle w:val="FootnoteReference"/>
        </w:rPr>
        <w:footnoteRef/>
      </w:r>
      <w:r w:rsidRPr="00D501B4">
        <w:t xml:space="preserve"> </w:t>
      </w:r>
      <w:r>
        <w:rPr>
          <w:i/>
        </w:rPr>
        <w:t>Id</w:t>
      </w:r>
      <w:r w:rsidRPr="00D501B4">
        <w:t>.</w:t>
      </w:r>
    </w:p>
  </w:footnote>
  <w:footnote w:id="122">
    <w:p w:rsidR="00B27D37" w:rsidRPr="00D501B4" w:rsidRDefault="00B27D37" w:rsidP="007F206B">
      <w:pPr>
        <w:pStyle w:val="FootnoteText"/>
      </w:pPr>
      <w:r w:rsidRPr="00D501B4">
        <w:rPr>
          <w:rStyle w:val="FootnoteReference"/>
        </w:rPr>
        <w:footnoteRef/>
      </w:r>
      <w:r w:rsidRPr="00D501B4">
        <w:t xml:space="preserve"> Hypo </w:t>
      </w:r>
      <w:r>
        <w:t>¶</w:t>
      </w:r>
      <w:r w:rsidRPr="00D501B4">
        <w:t>¶ 39-40.</w:t>
      </w:r>
    </w:p>
  </w:footnote>
  <w:footnote w:id="123">
    <w:p w:rsidR="00B27D37" w:rsidRPr="00D501B4" w:rsidRDefault="00B27D37" w:rsidP="005928DB">
      <w:pPr>
        <w:pStyle w:val="FootnoteText"/>
      </w:pPr>
      <w:r w:rsidRPr="00D501B4">
        <w:rPr>
          <w:rStyle w:val="FootnoteReference"/>
        </w:rPr>
        <w:footnoteRef/>
      </w:r>
      <w:r w:rsidRPr="00D501B4">
        <w:t xml:space="preserve"> </w:t>
      </w:r>
      <w:r w:rsidRPr="00D501B4">
        <w:rPr>
          <w:i/>
        </w:rPr>
        <w:t>Atala Riffo</w:t>
      </w:r>
      <w:r w:rsidRPr="00D501B4">
        <w:rPr>
          <w:i/>
        </w:rPr>
        <w:fldChar w:fldCharType="begin"/>
      </w:r>
      <w:r w:rsidRPr="00D501B4">
        <w:rPr>
          <w:i/>
        </w:rPr>
        <w:instrText xml:space="preserve"> TA \s "Atala Riffo" </w:instrText>
      </w:r>
      <w:r w:rsidRPr="00D501B4">
        <w:rPr>
          <w:i/>
        </w:rPr>
        <w:fldChar w:fldCharType="end"/>
      </w:r>
      <w:r w:rsidRPr="00D501B4">
        <w:rPr>
          <w:i/>
        </w:rPr>
        <w:t xml:space="preserve"> and </w:t>
      </w:r>
      <w:r>
        <w:rPr>
          <w:i/>
        </w:rPr>
        <w:t>Daughters</w:t>
      </w:r>
      <w:r w:rsidRPr="00D501B4">
        <w:t>, ¶ 164.</w:t>
      </w:r>
    </w:p>
  </w:footnote>
  <w:footnote w:id="124">
    <w:p w:rsidR="00B27D37" w:rsidRPr="00D501B4" w:rsidRDefault="00B27D37" w:rsidP="005928DB">
      <w:pPr>
        <w:pStyle w:val="FootnoteText"/>
      </w:pPr>
      <w:r w:rsidRPr="00D501B4">
        <w:rPr>
          <w:rStyle w:val="FootnoteReference"/>
        </w:rPr>
        <w:footnoteRef/>
      </w:r>
      <w:r w:rsidRPr="00D501B4">
        <w:t xml:space="preserve"> </w:t>
      </w:r>
      <w:r w:rsidRPr="00D501B4">
        <w:rPr>
          <w:i/>
        </w:rPr>
        <w:t>Case of Van K</w:t>
      </w:r>
      <w:r w:rsidRPr="00D501B4">
        <w:rPr>
          <w:bCs/>
          <w:i/>
        </w:rPr>
        <w:t>ück v. Germany</w:t>
      </w:r>
      <w:r w:rsidRPr="00D501B4">
        <w:rPr>
          <w:bCs/>
          <w:i/>
        </w:rPr>
        <w:fldChar w:fldCharType="begin"/>
      </w:r>
      <w:r w:rsidRPr="00D501B4">
        <w:instrText xml:space="preserve"> TA \l "</w:instrText>
      </w:r>
      <w:r w:rsidRPr="00D501B4">
        <w:rPr>
          <w:i/>
        </w:rPr>
        <w:instrText xml:space="preserve">Case of Van Kück v. Germany </w:instrText>
      </w:r>
      <w:r w:rsidRPr="00D501B4">
        <w:instrText xml:space="preserve">(Judgment) </w:instrText>
      </w:r>
      <w:r w:rsidRPr="00D501B4">
        <w:br/>
        <w:instrText xml:space="preserve">App. No. 35968/97, (12 June, 2003)" \s "Case of Van Kück v. Germany" \c 6 </w:instrText>
      </w:r>
      <w:r w:rsidRPr="00D501B4">
        <w:rPr>
          <w:bCs/>
          <w:i/>
        </w:rPr>
        <w:fldChar w:fldCharType="end"/>
      </w:r>
      <w:r w:rsidRPr="00D501B4">
        <w:rPr>
          <w:bCs/>
        </w:rPr>
        <w:t>,</w:t>
      </w:r>
      <w:r w:rsidRPr="00D501B4">
        <w:t xml:space="preserve"> App. No. 35968/97, Judgment (12 June, 2003), ¶ 71.</w:t>
      </w:r>
    </w:p>
  </w:footnote>
  <w:footnote w:id="125">
    <w:p w:rsidR="00B27D37" w:rsidRPr="00C94B25" w:rsidRDefault="00B27D37" w:rsidP="00006D65">
      <w:pPr>
        <w:autoSpaceDE w:val="0"/>
        <w:autoSpaceDN w:val="0"/>
        <w:adjustRightInd w:val="0"/>
        <w:spacing w:after="0" w:line="240" w:lineRule="auto"/>
        <w:rPr>
          <w:rFonts w:ascii="Times New Roman" w:hAnsi="Times New Roman" w:cs="Times New Roman"/>
          <w:color w:val="0070C0"/>
          <w:sz w:val="20"/>
          <w:szCs w:val="20"/>
        </w:rPr>
      </w:pPr>
      <w:r w:rsidRPr="00D501B4">
        <w:rPr>
          <w:rStyle w:val="FootnoteReference"/>
          <w:rFonts w:ascii="Times New Roman" w:hAnsi="Times New Roman" w:cs="Times New Roman"/>
          <w:sz w:val="20"/>
          <w:szCs w:val="20"/>
        </w:rPr>
        <w:footnoteRef/>
      </w:r>
      <w:r w:rsidRPr="00D501B4">
        <w:rPr>
          <w:rFonts w:ascii="Times New Roman" w:hAnsi="Times New Roman" w:cs="Times New Roman"/>
          <w:sz w:val="20"/>
          <w:szCs w:val="20"/>
        </w:rPr>
        <w:t xml:space="preserve"> </w:t>
      </w:r>
      <w:r w:rsidRPr="00D501B4">
        <w:rPr>
          <w:rFonts w:ascii="Times New Roman" w:hAnsi="Times New Roman" w:cs="Times New Roman"/>
          <w:i/>
          <w:iCs/>
          <w:sz w:val="20"/>
          <w:szCs w:val="20"/>
        </w:rPr>
        <w:t>Case of Tristán Donoso v. Panama</w:t>
      </w:r>
      <w:r w:rsidRPr="00D501B4">
        <w:rPr>
          <w:rFonts w:ascii="Times New Roman" w:hAnsi="Times New Roman" w:cs="Times New Roman"/>
          <w:iCs/>
          <w:sz w:val="20"/>
          <w:szCs w:val="20"/>
        </w:rPr>
        <w:t xml:space="preserve"> (</w:t>
      </w:r>
      <w:r w:rsidRPr="00D501B4">
        <w:rPr>
          <w:rFonts w:ascii="Times New Roman" w:hAnsi="Times New Roman" w:cs="Times New Roman"/>
          <w:sz w:val="20"/>
          <w:szCs w:val="20"/>
        </w:rPr>
        <w:t>Judgment)</w:t>
      </w:r>
      <w:r w:rsidRPr="00D501B4">
        <w:rPr>
          <w:rFonts w:ascii="Times New Roman" w:hAnsi="Times New Roman" w:cs="Times New Roman"/>
          <w:iCs/>
          <w:sz w:val="20"/>
          <w:szCs w:val="20"/>
        </w:rPr>
        <w:t xml:space="preserve"> Inter-Am. Ct. H.R., Ser. C, No. 193, (</w:t>
      </w:r>
      <w:r w:rsidRPr="00D501B4">
        <w:rPr>
          <w:rFonts w:ascii="Times New Roman" w:hAnsi="Times New Roman" w:cs="Times New Roman"/>
          <w:sz w:val="20"/>
          <w:szCs w:val="20"/>
        </w:rPr>
        <w:t>27 Jan., 2009</w:t>
      </w:r>
      <w:r w:rsidRPr="00D501B4">
        <w:rPr>
          <w:rFonts w:ascii="Times New Roman" w:hAnsi="Times New Roman" w:cs="Times New Roman"/>
          <w:sz w:val="20"/>
          <w:szCs w:val="20"/>
        </w:rPr>
        <w:fldChar w:fldCharType="begin"/>
      </w:r>
      <w:r w:rsidRPr="00D501B4">
        <w:rPr>
          <w:rFonts w:ascii="Times New Roman" w:hAnsi="Times New Roman" w:cs="Times New Roman"/>
          <w:sz w:val="20"/>
          <w:szCs w:val="20"/>
        </w:rPr>
        <w:instrText xml:space="preserve"> TA \l "</w:instrText>
      </w:r>
      <w:r w:rsidRPr="00D501B4">
        <w:rPr>
          <w:rFonts w:ascii="Times New Roman" w:hAnsi="Times New Roman" w:cs="Times New Roman"/>
          <w:i/>
          <w:iCs/>
          <w:sz w:val="20"/>
          <w:szCs w:val="20"/>
        </w:rPr>
        <w:instrText>Case of Tristán Donoso v. Panama</w:instrText>
      </w:r>
      <w:r w:rsidRPr="00D501B4">
        <w:rPr>
          <w:rFonts w:ascii="Times New Roman" w:hAnsi="Times New Roman" w:cs="Times New Roman"/>
          <w:iCs/>
          <w:sz w:val="20"/>
          <w:szCs w:val="20"/>
        </w:rPr>
        <w:instrText xml:space="preserve"> (</w:instrText>
      </w:r>
      <w:r w:rsidRPr="00D501B4">
        <w:rPr>
          <w:rFonts w:ascii="Times New Roman" w:hAnsi="Times New Roman" w:cs="Times New Roman"/>
          <w:sz w:val="20"/>
          <w:szCs w:val="20"/>
        </w:rPr>
        <w:instrText>Judgment)</w:instrText>
      </w:r>
      <w:r w:rsidRPr="00D501B4">
        <w:rPr>
          <w:rFonts w:ascii="Times New Roman" w:hAnsi="Times New Roman" w:cs="Times New Roman"/>
          <w:iCs/>
          <w:sz w:val="20"/>
          <w:szCs w:val="20"/>
        </w:rPr>
        <w:instrText xml:space="preserve"> </w:instrText>
      </w:r>
      <w:r w:rsidRPr="00D501B4">
        <w:rPr>
          <w:rFonts w:ascii="Times New Roman" w:hAnsi="Times New Roman" w:cs="Times New Roman"/>
          <w:iCs/>
          <w:sz w:val="20"/>
          <w:szCs w:val="20"/>
        </w:rPr>
        <w:br/>
        <w:instrText>Inter-Am. Ct. H.R., Ser. C, No. 193, (</w:instrText>
      </w:r>
      <w:r w:rsidRPr="00D501B4">
        <w:rPr>
          <w:rFonts w:ascii="Times New Roman" w:hAnsi="Times New Roman" w:cs="Times New Roman"/>
          <w:sz w:val="20"/>
          <w:szCs w:val="20"/>
        </w:rPr>
        <w:instrText>27 Jan., 2009)" \s "C</w:instrText>
      </w:r>
      <w:r>
        <w:rPr>
          <w:rFonts w:ascii="Times New Roman" w:hAnsi="Times New Roman" w:cs="Times New Roman"/>
          <w:sz w:val="20"/>
          <w:szCs w:val="20"/>
        </w:rPr>
        <w:instrText>ase of Tristán Donoso v. Panama</w:instrText>
      </w:r>
      <w:r w:rsidRPr="00D501B4">
        <w:rPr>
          <w:rFonts w:ascii="Times New Roman" w:hAnsi="Times New Roman" w:cs="Times New Roman"/>
          <w:sz w:val="20"/>
          <w:szCs w:val="20"/>
        </w:rPr>
        <w:instrText xml:space="preserve"> (Judgment) Inter-Am. Ct. H.R., Ser. C, No. 193, (27 Jan., 2009" \c 13 </w:instrText>
      </w:r>
      <w:r w:rsidRPr="00D501B4">
        <w:rPr>
          <w:rFonts w:ascii="Times New Roman" w:hAnsi="Times New Roman" w:cs="Times New Roman"/>
          <w:sz w:val="20"/>
          <w:szCs w:val="20"/>
        </w:rPr>
        <w:fldChar w:fldCharType="end"/>
      </w:r>
      <w:r w:rsidRPr="00D501B4">
        <w:rPr>
          <w:rFonts w:ascii="Times New Roman" w:hAnsi="Times New Roman" w:cs="Times New Roman"/>
          <w:sz w:val="20"/>
          <w:szCs w:val="20"/>
        </w:rPr>
        <w:t>), ¶ 56.</w:t>
      </w:r>
    </w:p>
  </w:footnote>
  <w:footnote w:id="126">
    <w:p w:rsidR="00B27D37" w:rsidRPr="00D501B4" w:rsidRDefault="00B27D37" w:rsidP="005928DB">
      <w:pPr>
        <w:pStyle w:val="FootnoteText"/>
      </w:pPr>
      <w:r w:rsidRPr="00D501B4">
        <w:rPr>
          <w:rStyle w:val="FootnoteReference"/>
        </w:rPr>
        <w:footnoteRef/>
      </w:r>
      <w:r w:rsidRPr="00D501B4">
        <w:t xml:space="preserve"> </w:t>
      </w:r>
      <w:r w:rsidRPr="00D501B4">
        <w:rPr>
          <w:i/>
        </w:rPr>
        <w:t>Atala Riffo</w:t>
      </w:r>
      <w:r w:rsidRPr="00D501B4">
        <w:rPr>
          <w:i/>
        </w:rPr>
        <w:fldChar w:fldCharType="begin"/>
      </w:r>
      <w:r w:rsidRPr="00D501B4">
        <w:rPr>
          <w:i/>
        </w:rPr>
        <w:instrText xml:space="preserve"> TA \s "Atala Riffo" </w:instrText>
      </w:r>
      <w:r w:rsidRPr="00D501B4">
        <w:rPr>
          <w:i/>
        </w:rPr>
        <w:fldChar w:fldCharType="end"/>
      </w:r>
      <w:r w:rsidRPr="00D501B4">
        <w:rPr>
          <w:i/>
        </w:rPr>
        <w:t xml:space="preserve"> and </w:t>
      </w:r>
      <w:r>
        <w:rPr>
          <w:i/>
        </w:rPr>
        <w:t>Daughters</w:t>
      </w:r>
      <w:r>
        <w:t xml:space="preserve">, </w:t>
      </w:r>
      <w:r w:rsidRPr="00D501B4">
        <w:t>¶ 165</w:t>
      </w:r>
      <w:r>
        <w:t>.</w:t>
      </w:r>
    </w:p>
  </w:footnote>
  <w:footnote w:id="127">
    <w:p w:rsidR="00B27D37" w:rsidRPr="00D501B4" w:rsidRDefault="00B27D37" w:rsidP="005928DB">
      <w:pPr>
        <w:pStyle w:val="FootnoteText"/>
      </w:pPr>
      <w:r w:rsidRPr="00D501B4">
        <w:rPr>
          <w:rStyle w:val="FootnoteReference"/>
        </w:rPr>
        <w:footnoteRef/>
      </w:r>
      <w:r>
        <w:t xml:space="preserve"> </w:t>
      </w:r>
      <w:r w:rsidRPr="00015FB4">
        <w:rPr>
          <w:i/>
        </w:rPr>
        <w:t>Van K</w:t>
      </w:r>
      <w:r w:rsidRPr="00015FB4">
        <w:rPr>
          <w:bCs/>
          <w:i/>
        </w:rPr>
        <w:t>ück</w:t>
      </w:r>
      <w:r w:rsidRPr="00D501B4">
        <w:t xml:space="preserve">, ¶¶ 74 &amp; 75; </w:t>
      </w:r>
      <w:r w:rsidRPr="00015FB4">
        <w:rPr>
          <w:i/>
          <w:iCs/>
        </w:rPr>
        <w:t>Atala Riffo and Daughters</w:t>
      </w:r>
      <w:r w:rsidRPr="00D501B4">
        <w:rPr>
          <w:iCs/>
        </w:rPr>
        <w:fldChar w:fldCharType="begin"/>
      </w:r>
      <w:r w:rsidRPr="00D501B4">
        <w:rPr>
          <w:iCs/>
        </w:rPr>
        <w:instrText xml:space="preserve"> TA \s "Atala Riffo" </w:instrText>
      </w:r>
      <w:r w:rsidRPr="00D501B4">
        <w:rPr>
          <w:iCs/>
        </w:rPr>
        <w:fldChar w:fldCharType="end"/>
      </w:r>
      <w:r w:rsidRPr="00D501B4">
        <w:rPr>
          <w:iCs/>
        </w:rPr>
        <w:t>, </w:t>
      </w:r>
      <w:r w:rsidRPr="00D501B4">
        <w:t>¶¶</w:t>
      </w:r>
      <w:r w:rsidRPr="00D501B4">
        <w:rPr>
          <w:iCs/>
        </w:rPr>
        <w:t xml:space="preserve"> 166 &amp; 167.</w:t>
      </w:r>
    </w:p>
  </w:footnote>
  <w:footnote w:id="128">
    <w:p w:rsidR="00B27D37" w:rsidRPr="00D501B4" w:rsidRDefault="00B27D37" w:rsidP="005928DB">
      <w:pPr>
        <w:pStyle w:val="FootnoteText"/>
      </w:pPr>
      <w:r w:rsidRPr="00D501B4">
        <w:rPr>
          <w:rStyle w:val="FootnoteReference"/>
        </w:rPr>
        <w:footnoteRef/>
      </w:r>
      <w:r w:rsidRPr="00D501B4">
        <w:t xml:space="preserve"> </w:t>
      </w:r>
      <w:r w:rsidRPr="00D501B4">
        <w:rPr>
          <w:i/>
        </w:rPr>
        <w:t>Atala Riffo</w:t>
      </w:r>
      <w:r w:rsidRPr="00D501B4">
        <w:rPr>
          <w:i/>
        </w:rPr>
        <w:fldChar w:fldCharType="begin"/>
      </w:r>
      <w:r w:rsidRPr="00D501B4">
        <w:rPr>
          <w:i/>
        </w:rPr>
        <w:instrText xml:space="preserve"> TA \s "Atala Riffo" </w:instrText>
      </w:r>
      <w:r w:rsidRPr="00D501B4">
        <w:rPr>
          <w:i/>
        </w:rPr>
        <w:fldChar w:fldCharType="end"/>
      </w:r>
      <w:r w:rsidRPr="00D501B4">
        <w:rPr>
          <w:i/>
        </w:rPr>
        <w:t xml:space="preserve"> and </w:t>
      </w:r>
      <w:r>
        <w:rPr>
          <w:i/>
        </w:rPr>
        <w:t>Daughters</w:t>
      </w:r>
      <w:r w:rsidRPr="00D501B4">
        <w:t>, ¶ 167.</w:t>
      </w:r>
    </w:p>
  </w:footnote>
  <w:footnote w:id="129">
    <w:p w:rsidR="00B27D37" w:rsidRPr="00D501B4" w:rsidRDefault="00B27D37" w:rsidP="005928DB">
      <w:pPr>
        <w:pStyle w:val="FootnoteText"/>
      </w:pPr>
      <w:r w:rsidRPr="00D501B4">
        <w:rPr>
          <w:rStyle w:val="FootnoteReference"/>
        </w:rPr>
        <w:footnoteRef/>
      </w:r>
      <w:r w:rsidRPr="00D501B4">
        <w:t xml:space="preserve"> </w:t>
      </w:r>
      <w:r w:rsidRPr="00D501B4">
        <w:rPr>
          <w:i/>
        </w:rPr>
        <w:t>Atala Riffo</w:t>
      </w:r>
      <w:r w:rsidRPr="00D501B4">
        <w:rPr>
          <w:i/>
        </w:rPr>
        <w:fldChar w:fldCharType="begin"/>
      </w:r>
      <w:r w:rsidRPr="00D501B4">
        <w:rPr>
          <w:i/>
        </w:rPr>
        <w:instrText xml:space="preserve"> TA \s "Atala Riffo" </w:instrText>
      </w:r>
      <w:r w:rsidRPr="00D501B4">
        <w:rPr>
          <w:i/>
        </w:rPr>
        <w:fldChar w:fldCharType="end"/>
      </w:r>
      <w:r w:rsidRPr="00D501B4">
        <w:rPr>
          <w:i/>
        </w:rPr>
        <w:t xml:space="preserve"> and </w:t>
      </w:r>
      <w:r>
        <w:rPr>
          <w:i/>
        </w:rPr>
        <w:t>Daughters</w:t>
      </w:r>
      <w:r w:rsidRPr="00D501B4">
        <w:t>, ¶¶ 167 &amp; 168.</w:t>
      </w:r>
    </w:p>
  </w:footnote>
  <w:footnote w:id="130">
    <w:p w:rsidR="00B27D37" w:rsidRPr="00D501B4" w:rsidRDefault="00B27D37" w:rsidP="005928DB">
      <w:pPr>
        <w:pStyle w:val="FootnoteText"/>
      </w:pPr>
      <w:r w:rsidRPr="00D501B4">
        <w:rPr>
          <w:rStyle w:val="FootnoteReference"/>
        </w:rPr>
        <w:footnoteRef/>
      </w:r>
      <w:r w:rsidRPr="00D501B4">
        <w:t xml:space="preserve"> </w:t>
      </w:r>
      <w:r w:rsidRPr="00015FB4">
        <w:rPr>
          <w:i/>
        </w:rPr>
        <w:t>Van K</w:t>
      </w:r>
      <w:r w:rsidRPr="00015FB4">
        <w:rPr>
          <w:bCs/>
          <w:i/>
        </w:rPr>
        <w:t>ück</w:t>
      </w:r>
      <w:r w:rsidRPr="00D501B4">
        <w:t>, ¶ 82.</w:t>
      </w:r>
    </w:p>
  </w:footnote>
  <w:footnote w:id="131">
    <w:p w:rsidR="00B27D37" w:rsidRPr="00C94B25" w:rsidRDefault="00B27D37" w:rsidP="005928DB">
      <w:pPr>
        <w:pStyle w:val="FootnoteText"/>
      </w:pPr>
      <w:r w:rsidRPr="00D501B4">
        <w:rPr>
          <w:rStyle w:val="FootnoteReference"/>
        </w:rPr>
        <w:footnoteRef/>
      </w:r>
      <w:r w:rsidRPr="00D501B4">
        <w:t xml:space="preserve"> </w:t>
      </w:r>
      <w:r w:rsidRPr="00D501B4">
        <w:rPr>
          <w:i/>
        </w:rPr>
        <w:t>Van K</w:t>
      </w:r>
      <w:r w:rsidRPr="00D501B4">
        <w:rPr>
          <w:bCs/>
          <w:i/>
        </w:rPr>
        <w:t>ück</w:t>
      </w:r>
      <w:r w:rsidRPr="00D501B4">
        <w:rPr>
          <w:bCs/>
          <w:i/>
        </w:rPr>
        <w:fldChar w:fldCharType="begin"/>
      </w:r>
      <w:r w:rsidRPr="00D501B4">
        <w:instrText xml:space="preserve"> TA \s "Case of Van Kück v. Germany" </w:instrText>
      </w:r>
      <w:r w:rsidRPr="00D501B4">
        <w:rPr>
          <w:bCs/>
          <w:i/>
        </w:rPr>
        <w:fldChar w:fldCharType="end"/>
      </w:r>
      <w:r w:rsidRPr="00D501B4">
        <w:rPr>
          <w:bCs/>
        </w:rPr>
        <w:t>,</w:t>
      </w:r>
      <w:r w:rsidRPr="00D501B4">
        <w:rPr>
          <w:bCs/>
          <w:i/>
        </w:rPr>
        <w:t xml:space="preserve"> </w:t>
      </w:r>
      <w:r w:rsidRPr="00D501B4">
        <w:t>¶¶ 75 &amp; 80.</w:t>
      </w:r>
    </w:p>
  </w:footnote>
  <w:footnote w:id="132">
    <w:p w:rsidR="00B27D37" w:rsidRPr="00D501B4" w:rsidRDefault="00B27D37" w:rsidP="005928DB">
      <w:pPr>
        <w:pStyle w:val="FootnoteText"/>
      </w:pPr>
      <w:r w:rsidRPr="00D501B4">
        <w:rPr>
          <w:rStyle w:val="FootnoteReference"/>
        </w:rPr>
        <w:footnoteRef/>
      </w:r>
      <w:r w:rsidRPr="00D501B4">
        <w:t xml:space="preserve"> Hypo ¶ 15</w:t>
      </w:r>
      <w:r>
        <w:t>.</w:t>
      </w:r>
    </w:p>
  </w:footnote>
  <w:footnote w:id="133">
    <w:p w:rsidR="00B27D37" w:rsidRPr="00D501B4" w:rsidRDefault="00B27D37" w:rsidP="005928DB">
      <w:pPr>
        <w:pStyle w:val="FootnoteText"/>
      </w:pPr>
      <w:r w:rsidRPr="00D501B4">
        <w:rPr>
          <w:rStyle w:val="FootnoteReference"/>
        </w:rPr>
        <w:footnoteRef/>
      </w:r>
      <w:r w:rsidRPr="00D501B4">
        <w:t xml:space="preserve"> Hypo ¶¶ 37 &amp; 38.</w:t>
      </w:r>
    </w:p>
  </w:footnote>
  <w:footnote w:id="134">
    <w:p w:rsidR="00B27D37" w:rsidRPr="00C94B25" w:rsidRDefault="00B27D37" w:rsidP="005928DB">
      <w:pPr>
        <w:pStyle w:val="FootnoteText"/>
      </w:pPr>
      <w:r w:rsidRPr="00D501B4">
        <w:rPr>
          <w:rStyle w:val="FootnoteReference"/>
        </w:rPr>
        <w:footnoteRef/>
      </w:r>
      <w:r w:rsidRPr="00D501B4">
        <w:t xml:space="preserve"> Hypo ¶ 17.</w:t>
      </w:r>
    </w:p>
  </w:footnote>
  <w:footnote w:id="135">
    <w:p w:rsidR="00B27D37" w:rsidRPr="00D501B4" w:rsidRDefault="00B27D37" w:rsidP="005928DB">
      <w:pPr>
        <w:pStyle w:val="FootnoteText"/>
      </w:pPr>
      <w:r w:rsidRPr="00D501B4">
        <w:rPr>
          <w:rStyle w:val="FootnoteReference"/>
        </w:rPr>
        <w:footnoteRef/>
      </w:r>
      <w:r w:rsidRPr="00D501B4">
        <w:t xml:space="preserve"> American Convention art. 25</w:t>
      </w:r>
      <w:r>
        <w:t>.</w:t>
      </w:r>
      <w:r w:rsidRPr="00D501B4">
        <w:fldChar w:fldCharType="begin"/>
      </w:r>
      <w:r w:rsidRPr="00D501B4">
        <w:instrText xml:space="preserve"> TA \s "25" </w:instrText>
      </w:r>
      <w:r w:rsidRPr="00D501B4">
        <w:fldChar w:fldCharType="end"/>
      </w:r>
    </w:p>
  </w:footnote>
  <w:footnote w:id="136">
    <w:p w:rsidR="00B27D37" w:rsidRPr="00D501B4" w:rsidRDefault="00B27D37" w:rsidP="005928DB">
      <w:pPr>
        <w:pStyle w:val="FootnoteText"/>
      </w:pPr>
      <w:r w:rsidRPr="00D501B4">
        <w:rPr>
          <w:rStyle w:val="FootnoteReference"/>
        </w:rPr>
        <w:footnoteRef/>
      </w:r>
      <w:r w:rsidRPr="00D501B4">
        <w:t xml:space="preserve"> L. Burgorgue-Larson </w:t>
      </w:r>
      <w:r>
        <w:t>&amp;</w:t>
      </w:r>
      <w:r w:rsidRPr="00D501B4">
        <w:t xml:space="preserve"> A. Úbeda de Torres, </w:t>
      </w:r>
      <w:r w:rsidRPr="004F2587">
        <w:rPr>
          <w:u w:val="single"/>
        </w:rPr>
        <w:t xml:space="preserve">The Inter-American Court of Human Rights: Case Law and Commentary </w:t>
      </w:r>
      <w:r w:rsidRPr="00D501B4">
        <w:t>(Oxford 2011)</w:t>
      </w:r>
      <w:r>
        <w:fldChar w:fldCharType="begin"/>
      </w:r>
      <w:r>
        <w:instrText xml:space="preserve"> TA \l "</w:instrText>
      </w:r>
      <w:r w:rsidRPr="00616B0E">
        <w:instrText xml:space="preserve">L. Burgorgue-Larson </w:instrText>
      </w:r>
      <w:r>
        <w:instrText>&amp;</w:instrText>
      </w:r>
      <w:r w:rsidRPr="00616B0E">
        <w:instrText xml:space="preserve"> A. Úbeda de Torres, </w:instrText>
      </w:r>
      <w:r w:rsidRPr="00616B0E">
        <w:rPr>
          <w:u w:val="single"/>
        </w:rPr>
        <w:instrText xml:space="preserve">The Inter-American Court of Human Rights: Case Law and Commentary </w:instrText>
      </w:r>
      <w:r w:rsidRPr="00616B0E">
        <w:instrText>(Oxford 2011)</w:instrText>
      </w:r>
      <w:r>
        <w:instrText xml:space="preserve">" \s "L. Burgorgue-Larson and A. Úbeda de Torres, The Inter-American Court of Human Rights: Case Law and Commentary (Oxford 2011)" \c 14 </w:instrText>
      </w:r>
      <w:r>
        <w:fldChar w:fldCharType="end"/>
      </w:r>
      <w:r w:rsidRPr="00D501B4">
        <w:t xml:space="preserve"> 645, ¶25.01. </w:t>
      </w:r>
    </w:p>
  </w:footnote>
  <w:footnote w:id="137">
    <w:p w:rsidR="00B27D37" w:rsidRPr="00A7760B" w:rsidRDefault="00B27D37" w:rsidP="005928DB">
      <w:pPr>
        <w:pStyle w:val="FootnoteText"/>
      </w:pPr>
      <w:r w:rsidRPr="00A7760B">
        <w:rPr>
          <w:rStyle w:val="FootnoteReference"/>
        </w:rPr>
        <w:footnoteRef/>
      </w:r>
      <w:r w:rsidRPr="00A7760B">
        <w:t xml:space="preserve"> </w:t>
      </w:r>
      <w:r w:rsidRPr="00A7760B">
        <w:rPr>
          <w:i/>
        </w:rPr>
        <w:t>Atala Riffo</w:t>
      </w:r>
      <w:r w:rsidRPr="00A7760B">
        <w:rPr>
          <w:i/>
        </w:rPr>
        <w:fldChar w:fldCharType="begin"/>
      </w:r>
      <w:r w:rsidRPr="00A7760B">
        <w:rPr>
          <w:i/>
        </w:rPr>
        <w:instrText xml:space="preserve"> TA \s "Atala Riffo" </w:instrText>
      </w:r>
      <w:r w:rsidRPr="00A7760B">
        <w:rPr>
          <w:i/>
        </w:rPr>
        <w:fldChar w:fldCharType="end"/>
      </w:r>
      <w:r w:rsidRPr="00A7760B">
        <w:rPr>
          <w:i/>
        </w:rPr>
        <w:t xml:space="preserve"> and Daughters</w:t>
      </w:r>
      <w:r w:rsidRPr="00A7760B">
        <w:t>, ¶ 190.</w:t>
      </w:r>
    </w:p>
  </w:footnote>
  <w:footnote w:id="138">
    <w:p w:rsidR="00B27D37" w:rsidRPr="00A7760B" w:rsidRDefault="00B27D37" w:rsidP="005928DB">
      <w:pPr>
        <w:pStyle w:val="FootnoteText"/>
      </w:pPr>
      <w:r w:rsidRPr="00A7760B">
        <w:rPr>
          <w:rStyle w:val="FootnoteReference"/>
        </w:rPr>
        <w:footnoteRef/>
      </w:r>
      <w:r w:rsidRPr="00A7760B">
        <w:t xml:space="preserve"> </w:t>
      </w:r>
      <w:r w:rsidRPr="00A7760B">
        <w:rPr>
          <w:i/>
        </w:rPr>
        <w:t>Atala Riffo</w:t>
      </w:r>
      <w:r w:rsidRPr="00A7760B">
        <w:rPr>
          <w:i/>
        </w:rPr>
        <w:fldChar w:fldCharType="begin"/>
      </w:r>
      <w:r w:rsidRPr="00A7760B">
        <w:rPr>
          <w:i/>
        </w:rPr>
        <w:instrText xml:space="preserve"> TA \s "Atala Riffo" </w:instrText>
      </w:r>
      <w:r w:rsidRPr="00A7760B">
        <w:rPr>
          <w:i/>
        </w:rPr>
        <w:fldChar w:fldCharType="end"/>
      </w:r>
      <w:r w:rsidRPr="00A7760B">
        <w:rPr>
          <w:i/>
        </w:rPr>
        <w:t xml:space="preserve"> and Daughters</w:t>
      </w:r>
      <w:r w:rsidRPr="00A7760B">
        <w:t>, ¶ 186.</w:t>
      </w:r>
    </w:p>
  </w:footnote>
  <w:footnote w:id="139">
    <w:p w:rsidR="00B27D37" w:rsidRPr="00A7760B" w:rsidRDefault="00B27D37" w:rsidP="005928DB">
      <w:pPr>
        <w:pStyle w:val="FootnoteText"/>
      </w:pPr>
      <w:r w:rsidRPr="00A7760B">
        <w:rPr>
          <w:rStyle w:val="FootnoteReference"/>
        </w:rPr>
        <w:footnoteRef/>
      </w:r>
      <w:r w:rsidRPr="00A7760B">
        <w:t xml:space="preserve"> </w:t>
      </w:r>
      <w:r w:rsidRPr="00A7760B">
        <w:rPr>
          <w:i/>
        </w:rPr>
        <w:t>Case of Apitz Barbera et al. (“First Court of Administrative Disputes”) v. Venezuela</w:t>
      </w:r>
      <w:r w:rsidRPr="00A7760B">
        <w:t>, (Judgment) Inter-Am. Ct. H.R., Ser. C, No. 182, (5 Aug., 2008)</w:t>
      </w:r>
      <w:r w:rsidRPr="00A7760B">
        <w:fldChar w:fldCharType="begin"/>
      </w:r>
      <w:r w:rsidRPr="00A7760B">
        <w:instrText xml:space="preserve"> TA \l "</w:instrText>
      </w:r>
      <w:r w:rsidRPr="00A7760B">
        <w:rPr>
          <w:i/>
        </w:rPr>
        <w:instrText>Case of Apitz Barbera et al. (\“First Court of Administrative Disputes\”) v. Venezuela</w:instrText>
      </w:r>
      <w:r w:rsidRPr="00A7760B">
        <w:instrText xml:space="preserve"> (Judgment)</w:instrText>
      </w:r>
      <w:r w:rsidRPr="00A7760B">
        <w:br/>
        <w:instrText xml:space="preserve">Inter-Am. Ct. H.R., Ser. C, No. 182, (5 Aug., 2008)" \s "Case of Apitz Barbera et al. (\"First Court of Administrative Disputes\") v. Venezuela, (Judgment) Inter-Am. Ct. H.R., Ser. C, No. 182, (5 Aug., 2008)" \c 13 </w:instrText>
      </w:r>
      <w:r w:rsidRPr="00A7760B">
        <w:fldChar w:fldCharType="end"/>
      </w:r>
      <w:r w:rsidRPr="00A7760B">
        <w:t>, ¶ 56.</w:t>
      </w:r>
    </w:p>
  </w:footnote>
  <w:footnote w:id="140">
    <w:p w:rsidR="00B27D37" w:rsidRPr="00A7760B" w:rsidRDefault="00B27D37" w:rsidP="005928DB">
      <w:pPr>
        <w:pStyle w:val="FootnoteText"/>
      </w:pPr>
      <w:r w:rsidRPr="00A7760B">
        <w:rPr>
          <w:rStyle w:val="FootnoteReference"/>
        </w:rPr>
        <w:footnoteRef/>
      </w:r>
      <w:r w:rsidRPr="00A7760B">
        <w:t xml:space="preserve"> </w:t>
      </w:r>
      <w:r w:rsidRPr="00A7760B">
        <w:rPr>
          <w:i/>
        </w:rPr>
        <w:t>Atala Riffo</w:t>
      </w:r>
      <w:r w:rsidRPr="00A7760B">
        <w:rPr>
          <w:i/>
        </w:rPr>
        <w:fldChar w:fldCharType="begin"/>
      </w:r>
      <w:r w:rsidRPr="00A7760B">
        <w:rPr>
          <w:i/>
        </w:rPr>
        <w:instrText xml:space="preserve"> TA \s "Atala Riffo" </w:instrText>
      </w:r>
      <w:r w:rsidRPr="00A7760B">
        <w:rPr>
          <w:i/>
        </w:rPr>
        <w:fldChar w:fldCharType="end"/>
      </w:r>
      <w:r w:rsidRPr="00A7760B">
        <w:rPr>
          <w:i/>
        </w:rPr>
        <w:t xml:space="preserve"> and Daughters</w:t>
      </w:r>
      <w:r w:rsidRPr="00A7760B">
        <w:t>, ¶ 189.</w:t>
      </w:r>
    </w:p>
  </w:footnote>
  <w:footnote w:id="141">
    <w:p w:rsidR="00B27D37" w:rsidRPr="00A7760B" w:rsidRDefault="00B27D37" w:rsidP="005928DB">
      <w:pPr>
        <w:pStyle w:val="FootnoteText"/>
      </w:pPr>
      <w:r w:rsidRPr="00A7760B">
        <w:rPr>
          <w:rStyle w:val="FootnoteReference"/>
        </w:rPr>
        <w:footnoteRef/>
      </w:r>
      <w:r w:rsidRPr="00A7760B">
        <w:t xml:space="preserve"> </w:t>
      </w:r>
      <w:r w:rsidRPr="00A7760B">
        <w:rPr>
          <w:i/>
        </w:rPr>
        <w:t>Atala Riffo</w:t>
      </w:r>
      <w:r w:rsidRPr="00A7760B">
        <w:rPr>
          <w:i/>
        </w:rPr>
        <w:fldChar w:fldCharType="begin"/>
      </w:r>
      <w:r w:rsidRPr="00A7760B">
        <w:rPr>
          <w:i/>
        </w:rPr>
        <w:instrText xml:space="preserve"> TA \s "Atala Riffo" </w:instrText>
      </w:r>
      <w:r w:rsidRPr="00A7760B">
        <w:rPr>
          <w:i/>
        </w:rPr>
        <w:fldChar w:fldCharType="end"/>
      </w:r>
      <w:r w:rsidRPr="00A7760B">
        <w:rPr>
          <w:i/>
        </w:rPr>
        <w:t xml:space="preserve"> and Daughters</w:t>
      </w:r>
      <w:r w:rsidRPr="00A7760B">
        <w:t>, ¶ 191.</w:t>
      </w:r>
    </w:p>
  </w:footnote>
  <w:footnote w:id="142">
    <w:p w:rsidR="00B27D37" w:rsidRPr="00A7760B" w:rsidRDefault="00B27D37" w:rsidP="005928DB">
      <w:pPr>
        <w:pStyle w:val="FootnoteText"/>
      </w:pPr>
      <w:r w:rsidRPr="00A7760B">
        <w:rPr>
          <w:rStyle w:val="FootnoteReference"/>
        </w:rPr>
        <w:footnoteRef/>
      </w:r>
      <w:r w:rsidRPr="00A7760B">
        <w:t xml:space="preserve"> </w:t>
      </w:r>
      <w:r w:rsidRPr="00A7760B">
        <w:rPr>
          <w:i/>
        </w:rPr>
        <w:t>Case of</w:t>
      </w:r>
      <w:r w:rsidRPr="00A7760B">
        <w:t xml:space="preserve"> </w:t>
      </w:r>
      <w:r w:rsidRPr="00A7760B">
        <w:rPr>
          <w:i/>
        </w:rPr>
        <w:t>Palamara Iribarne v. Chile</w:t>
      </w:r>
      <w:r w:rsidRPr="00A7760B">
        <w:t xml:space="preserve"> (Judgment) Inter-Am. Ct. H.R., Ser. C, No. 135, (22 Nov., 2005)</w:t>
      </w:r>
      <w:r w:rsidRPr="00A7760B">
        <w:fldChar w:fldCharType="begin"/>
      </w:r>
      <w:r w:rsidRPr="00A7760B">
        <w:instrText xml:space="preserve"> TA \l "</w:instrText>
      </w:r>
      <w:r w:rsidRPr="00A7760B">
        <w:rPr>
          <w:i/>
        </w:rPr>
        <w:instrText>Case of</w:instrText>
      </w:r>
      <w:r w:rsidRPr="00A7760B">
        <w:instrText xml:space="preserve"> </w:instrText>
      </w:r>
      <w:r w:rsidRPr="00A7760B">
        <w:rPr>
          <w:i/>
        </w:rPr>
        <w:instrText>Palamara Iribarne v. Chile</w:instrText>
      </w:r>
      <w:r w:rsidRPr="00A7760B">
        <w:instrText xml:space="preserve"> (Judgment) </w:instrText>
      </w:r>
      <w:r w:rsidRPr="00A7760B">
        <w:br/>
        <w:instrText xml:space="preserve">Inter-Am. Ct. H.R., Ser. C, No. 135, (22 Nov., 2005)" \s "Palamara Iribarne v. Chile (Judgment) Inter-Am. Ct. H.R., Ser. C, No. 135, (22 Nov., 2005)" \c 13 </w:instrText>
      </w:r>
      <w:r w:rsidRPr="00A7760B">
        <w:fldChar w:fldCharType="end"/>
      </w:r>
      <w:r w:rsidRPr="00A7760B">
        <w:t>, ¶ 146.</w:t>
      </w:r>
    </w:p>
  </w:footnote>
  <w:footnote w:id="143">
    <w:p w:rsidR="00B27D37" w:rsidRPr="00A7760B" w:rsidRDefault="00B27D37" w:rsidP="005928DB">
      <w:pPr>
        <w:pStyle w:val="FootnoteText"/>
      </w:pPr>
      <w:r w:rsidRPr="00A7760B">
        <w:rPr>
          <w:rStyle w:val="FootnoteReference"/>
        </w:rPr>
        <w:footnoteRef/>
      </w:r>
      <w:r w:rsidRPr="00A7760B">
        <w:t xml:space="preserve"> </w:t>
      </w:r>
      <w:r w:rsidRPr="00A7760B">
        <w:rPr>
          <w:i/>
        </w:rPr>
        <w:t>Atala Riffo</w:t>
      </w:r>
      <w:r w:rsidRPr="00A7760B">
        <w:rPr>
          <w:i/>
        </w:rPr>
        <w:fldChar w:fldCharType="begin"/>
      </w:r>
      <w:r w:rsidRPr="00A7760B">
        <w:rPr>
          <w:i/>
        </w:rPr>
        <w:instrText xml:space="preserve"> TA \s "Atala Riffo" </w:instrText>
      </w:r>
      <w:r w:rsidRPr="00A7760B">
        <w:rPr>
          <w:i/>
        </w:rPr>
        <w:fldChar w:fldCharType="end"/>
      </w:r>
      <w:r w:rsidRPr="00A7760B">
        <w:rPr>
          <w:i/>
        </w:rPr>
        <w:t xml:space="preserve"> and Daughters</w:t>
      </w:r>
      <w:r w:rsidRPr="00A7760B">
        <w:t>, ¶ 185.</w:t>
      </w:r>
    </w:p>
  </w:footnote>
  <w:footnote w:id="144">
    <w:p w:rsidR="00B27D37" w:rsidRPr="00D501B4" w:rsidRDefault="00B27D37" w:rsidP="005928DB">
      <w:pPr>
        <w:pStyle w:val="FootnoteText"/>
      </w:pPr>
      <w:r w:rsidRPr="00A7760B">
        <w:rPr>
          <w:rStyle w:val="FootnoteReference"/>
        </w:rPr>
        <w:footnoteRef/>
      </w:r>
      <w:r w:rsidRPr="00A7760B">
        <w:t xml:space="preserve"> </w:t>
      </w:r>
      <w:r w:rsidRPr="00A7760B">
        <w:rPr>
          <w:i/>
        </w:rPr>
        <w:t>Atala Riffo</w:t>
      </w:r>
      <w:r w:rsidRPr="00A7760B">
        <w:rPr>
          <w:i/>
        </w:rPr>
        <w:fldChar w:fldCharType="begin"/>
      </w:r>
      <w:r w:rsidRPr="00A7760B">
        <w:rPr>
          <w:i/>
        </w:rPr>
        <w:instrText xml:space="preserve"> TA \s "Atala Riffo" </w:instrText>
      </w:r>
      <w:r w:rsidRPr="00A7760B">
        <w:rPr>
          <w:i/>
        </w:rPr>
        <w:fldChar w:fldCharType="end"/>
      </w:r>
      <w:r w:rsidRPr="00A7760B">
        <w:rPr>
          <w:i/>
        </w:rPr>
        <w:t xml:space="preserve"> and Daughters</w:t>
      </w:r>
      <w:r w:rsidRPr="00A7760B">
        <w:t>, ¶¶ 186 &amp; 187.</w:t>
      </w:r>
    </w:p>
  </w:footnote>
  <w:footnote w:id="145">
    <w:p w:rsidR="00B27D37" w:rsidRPr="00D501B4" w:rsidRDefault="00B27D37" w:rsidP="005928DB">
      <w:pPr>
        <w:pStyle w:val="FootnoteText"/>
      </w:pPr>
      <w:r w:rsidRPr="00D501B4">
        <w:rPr>
          <w:rStyle w:val="FootnoteReference"/>
        </w:rPr>
        <w:footnoteRef/>
      </w:r>
      <w:r w:rsidRPr="00D501B4">
        <w:t xml:space="preserve"> Hypo ¶ 48.</w:t>
      </w:r>
    </w:p>
  </w:footnote>
  <w:footnote w:id="146">
    <w:p w:rsidR="00B27D37" w:rsidRPr="00D501B4" w:rsidRDefault="00B27D37" w:rsidP="005928DB">
      <w:pPr>
        <w:pStyle w:val="FootnoteText"/>
      </w:pPr>
      <w:r w:rsidRPr="00D501B4">
        <w:rPr>
          <w:rStyle w:val="FootnoteReference"/>
        </w:rPr>
        <w:footnoteRef/>
      </w:r>
      <w:r w:rsidRPr="00D501B4">
        <w:t xml:space="preserve"> Hypo ¶¶ 45-48</w:t>
      </w:r>
      <w:r>
        <w:t>.</w:t>
      </w:r>
    </w:p>
  </w:footnote>
  <w:footnote w:id="147">
    <w:p w:rsidR="00B27D37" w:rsidRPr="00D501B4" w:rsidRDefault="00B27D37" w:rsidP="005928DB">
      <w:pPr>
        <w:pStyle w:val="FootnoteText"/>
      </w:pPr>
      <w:r w:rsidRPr="00D501B4">
        <w:rPr>
          <w:rStyle w:val="FootnoteReference"/>
        </w:rPr>
        <w:footnoteRef/>
      </w:r>
      <w:r w:rsidRPr="00D501B4">
        <w:t xml:space="preserve"> Hypo ¶¶ 43-45, 48.</w:t>
      </w:r>
    </w:p>
  </w:footnote>
  <w:footnote w:id="148">
    <w:p w:rsidR="00B27D37" w:rsidRPr="00C94B25" w:rsidRDefault="00B27D37" w:rsidP="005928DB">
      <w:pPr>
        <w:pStyle w:val="FootnoteText"/>
      </w:pPr>
      <w:r w:rsidRPr="00D501B4">
        <w:rPr>
          <w:rStyle w:val="FootnoteReference"/>
        </w:rPr>
        <w:footnoteRef/>
      </w:r>
      <w:r>
        <w:rPr>
          <w:i/>
        </w:rPr>
        <w:t xml:space="preserve"> </w:t>
      </w:r>
      <w:r w:rsidRPr="00D501B4">
        <w:rPr>
          <w:i/>
        </w:rPr>
        <w:t>Calogero Diana v. Italy</w:t>
      </w:r>
      <w:r w:rsidRPr="00D501B4">
        <w:t xml:space="preserve"> App. No. 56/1995/562/648, Judgment (15 Nov., 1996)</w:t>
      </w:r>
      <w:r w:rsidRPr="00D501B4">
        <w:fldChar w:fldCharType="begin"/>
      </w:r>
      <w:r w:rsidRPr="00D501B4">
        <w:instrText xml:space="preserve"> TA \l "</w:instrText>
      </w:r>
      <w:r w:rsidRPr="00D501B4">
        <w:rPr>
          <w:i/>
        </w:rPr>
        <w:instrText>Calogero Diana v. Italy</w:instrText>
      </w:r>
      <w:r w:rsidRPr="00D501B4">
        <w:instrText xml:space="preserve"> (Judgment)</w:instrText>
      </w:r>
      <w:r w:rsidRPr="00D501B4">
        <w:br/>
        <w:instrText>App. No. 56/1995/562/648</w:instrText>
      </w:r>
      <w:r>
        <w:instrText>,</w:instrText>
      </w:r>
      <w:r w:rsidRPr="00D501B4">
        <w:instrText xml:space="preserve"> (15 Nov., 1996)" \s "Calogero Diana v. Italy App. No. 56/1995/562/648, Judgment (15 Nov., 1996)" \c 6 </w:instrText>
      </w:r>
      <w:r w:rsidRPr="00D501B4">
        <w:fldChar w:fldCharType="end"/>
      </w:r>
      <w:r w:rsidRPr="00D501B4">
        <w:t xml:space="preserve">, ¶¶ 39-40; </w:t>
      </w:r>
      <w:r w:rsidRPr="00D501B4">
        <w:rPr>
          <w:i/>
        </w:rPr>
        <w:t xml:space="preserve">Case of Klass and Others v. </w:t>
      </w:r>
      <w:r w:rsidRPr="00C94B25">
        <w:rPr>
          <w:i/>
        </w:rPr>
        <w:t>Germany</w:t>
      </w:r>
      <w:r w:rsidRPr="00C94B25">
        <w:t>, App. No. 5029/71, Judgment (6 Sept., 1978)</w:t>
      </w:r>
      <w:r>
        <w:fldChar w:fldCharType="begin"/>
      </w:r>
      <w:r>
        <w:instrText xml:space="preserve"> TA \l "</w:instrText>
      </w:r>
      <w:r w:rsidRPr="00FE010E">
        <w:rPr>
          <w:i/>
        </w:rPr>
        <w:instrText>Case of Klass and Others v. Germany</w:instrText>
      </w:r>
      <w:r w:rsidRPr="00FE010E">
        <w:instrText xml:space="preserve"> (Judgment) </w:instrText>
      </w:r>
      <w:r w:rsidRPr="00FE010E">
        <w:br/>
        <w:instrText>App. No. 5029/71, (6 Sept., 1978)</w:instrText>
      </w:r>
      <w:r>
        <w:instrText xml:space="preserve">" \s "Case of Klass and Others v. Germany, App. No. 5029/71, Judgment (6 Sept., 1978)" \c 6 </w:instrText>
      </w:r>
      <w:r>
        <w:fldChar w:fldCharType="end"/>
      </w:r>
      <w:r w:rsidRPr="00C94B25">
        <w:t>, ¶ 67.</w:t>
      </w:r>
    </w:p>
  </w:footnote>
  <w:footnote w:id="149">
    <w:p w:rsidR="00B27D37" w:rsidRPr="00D501B4" w:rsidRDefault="00B27D37" w:rsidP="005928DB">
      <w:pPr>
        <w:pStyle w:val="FootnoteText"/>
      </w:pPr>
      <w:r w:rsidRPr="00D501B4">
        <w:rPr>
          <w:rStyle w:val="FootnoteReference"/>
        </w:rPr>
        <w:footnoteRef/>
      </w:r>
      <w:r w:rsidRPr="00D501B4">
        <w:t xml:space="preserve"> </w:t>
      </w:r>
      <w:r>
        <w:rPr>
          <w:i/>
        </w:rPr>
        <w:t xml:space="preserve">Case of </w:t>
      </w:r>
      <w:r w:rsidRPr="00D501B4">
        <w:rPr>
          <w:i/>
          <w:iCs/>
        </w:rPr>
        <w:t xml:space="preserve">Velásquez Rodríguez v. Honduras </w:t>
      </w:r>
      <w:r w:rsidRPr="00D501B4">
        <w:t>(Judgment) Inter-Am. Ct. H.R., Ser. C, No. 4, (29 July, 1988</w:t>
      </w:r>
      <w:r>
        <w:t>)</w:t>
      </w:r>
      <w:r>
        <w:fldChar w:fldCharType="begin"/>
      </w:r>
      <w:r>
        <w:instrText xml:space="preserve"> TA \l "</w:instrText>
      </w:r>
      <w:r w:rsidRPr="00772651">
        <w:rPr>
          <w:i/>
        </w:rPr>
        <w:instrText xml:space="preserve">Case of </w:instrText>
      </w:r>
      <w:r w:rsidRPr="00772651">
        <w:rPr>
          <w:i/>
          <w:iCs/>
        </w:rPr>
        <w:instrText xml:space="preserve">Velásquez Rodríguez v. Honduras </w:instrText>
      </w:r>
      <w:r w:rsidRPr="00772651">
        <w:instrText>(Judgment)</w:instrText>
      </w:r>
      <w:r w:rsidRPr="009C6A08">
        <w:instrText xml:space="preserve"> </w:instrText>
      </w:r>
      <w:r w:rsidRPr="00D501B4">
        <w:br/>
      </w:r>
      <w:r w:rsidRPr="00772651">
        <w:instrText>Inter-Am. Ct. H.R., Ser. C, No. 4, (29 July, 1988)</w:instrText>
      </w:r>
      <w:r>
        <w:instrText xml:space="preserve">" \s "Case of Velásquez Rodríguez v. Honduras (Judgment) Inter-Am. Ct. H.R., Ser. C, No. 4, (29 July, 1988)" \c 13 </w:instrText>
      </w:r>
      <w:r>
        <w:fldChar w:fldCharType="end"/>
      </w:r>
      <w:r w:rsidRPr="00D501B4">
        <w:t>, ¶ 66.</w:t>
      </w:r>
    </w:p>
  </w:footnote>
  <w:footnote w:id="150">
    <w:p w:rsidR="00B27D37" w:rsidRPr="00D501B4" w:rsidRDefault="00B27D37" w:rsidP="005928DB">
      <w:pPr>
        <w:pStyle w:val="FootnoteText"/>
      </w:pPr>
      <w:r w:rsidRPr="00D501B4">
        <w:rPr>
          <w:rStyle w:val="FootnoteReference"/>
        </w:rPr>
        <w:footnoteRef/>
      </w:r>
      <w:r w:rsidRPr="00D501B4">
        <w:t xml:space="preserve"> </w:t>
      </w:r>
      <w:r w:rsidRPr="00D501B4">
        <w:rPr>
          <w:i/>
        </w:rPr>
        <w:t>Santiago Marzioni</w:t>
      </w:r>
      <w:r>
        <w:t>,</w:t>
      </w:r>
      <w:r w:rsidRPr="00D501B4">
        <w:rPr>
          <w:i/>
        </w:rPr>
        <w:fldChar w:fldCharType="begin"/>
      </w:r>
      <w:r w:rsidRPr="00D501B4">
        <w:rPr>
          <w:i/>
        </w:rPr>
        <w:instrText xml:space="preserve"> TA \s "Santiago Marzioni" </w:instrText>
      </w:r>
      <w:r w:rsidRPr="00D501B4">
        <w:rPr>
          <w:i/>
        </w:rPr>
        <w:fldChar w:fldCharType="end"/>
      </w:r>
      <w:r w:rsidRPr="00D501B4">
        <w:rPr>
          <w:i/>
        </w:rPr>
        <w:t xml:space="preserve"> </w:t>
      </w:r>
      <w:r w:rsidRPr="00D501B4">
        <w:t>¶ 52.</w:t>
      </w:r>
    </w:p>
  </w:footnote>
  <w:footnote w:id="151">
    <w:p w:rsidR="00B27D37" w:rsidRPr="00D501B4" w:rsidRDefault="00B27D37" w:rsidP="005928DB">
      <w:pPr>
        <w:pStyle w:val="FootnoteText"/>
      </w:pPr>
      <w:r w:rsidRPr="00D501B4">
        <w:rPr>
          <w:rStyle w:val="FootnoteReference"/>
        </w:rPr>
        <w:footnoteRef/>
      </w:r>
      <w:r w:rsidRPr="00D501B4">
        <w:t xml:space="preserve"> </w:t>
      </w:r>
      <w:r w:rsidRPr="0079408C">
        <w:rPr>
          <w:i/>
        </w:rPr>
        <w:t>Santiago Marzioni</w:t>
      </w:r>
      <w:r w:rsidRPr="00D501B4">
        <w:fldChar w:fldCharType="begin"/>
      </w:r>
      <w:r w:rsidRPr="00D501B4">
        <w:instrText xml:space="preserve"> TA \s "Santiago Marzioni" </w:instrText>
      </w:r>
      <w:r w:rsidRPr="00D501B4">
        <w:fldChar w:fldCharType="end"/>
      </w:r>
      <w:r w:rsidRPr="00D501B4">
        <w:t>, ¶ 28.</w:t>
      </w:r>
    </w:p>
  </w:footnote>
  <w:footnote w:id="152">
    <w:p w:rsidR="00B27D37" w:rsidRPr="00D501B4" w:rsidRDefault="00B27D37" w:rsidP="005928DB">
      <w:pPr>
        <w:pStyle w:val="FootnoteText"/>
      </w:pPr>
      <w:r w:rsidRPr="00D501B4">
        <w:rPr>
          <w:rStyle w:val="FootnoteReference"/>
        </w:rPr>
        <w:footnoteRef/>
      </w:r>
      <w:r w:rsidRPr="00D501B4">
        <w:t xml:space="preserve"> Hypo ¶¶ 43-45</w:t>
      </w:r>
      <w:r w:rsidR="00A7760B">
        <w:t>.</w:t>
      </w:r>
    </w:p>
  </w:footnote>
  <w:footnote w:id="153">
    <w:p w:rsidR="00B27D37" w:rsidRPr="00D501B4" w:rsidRDefault="00B27D37" w:rsidP="005928DB">
      <w:pPr>
        <w:pStyle w:val="FootnoteText"/>
      </w:pPr>
      <w:r w:rsidRPr="00D501B4">
        <w:rPr>
          <w:rStyle w:val="FootnoteReference"/>
        </w:rPr>
        <w:footnoteRef/>
      </w:r>
      <w:r>
        <w:t xml:space="preserve"> Hypo ¶¶ 14 &amp;</w:t>
      </w:r>
      <w:r w:rsidRPr="00D501B4">
        <w:t xml:space="preserve"> 16</w:t>
      </w:r>
      <w:r w:rsidR="00A7760B">
        <w:t>.</w:t>
      </w:r>
    </w:p>
  </w:footnote>
  <w:footnote w:id="154">
    <w:p w:rsidR="00B27D37" w:rsidRPr="00D501B4" w:rsidRDefault="00B27D37" w:rsidP="005928DB">
      <w:pPr>
        <w:pStyle w:val="FootnoteText"/>
        <w:rPr>
          <w:b/>
        </w:rPr>
      </w:pPr>
      <w:r w:rsidRPr="00D501B4">
        <w:rPr>
          <w:rStyle w:val="FootnoteReference"/>
        </w:rPr>
        <w:footnoteRef/>
      </w:r>
      <w:r w:rsidRPr="00D501B4">
        <w:t xml:space="preserve"> </w:t>
      </w:r>
      <w:r w:rsidRPr="00ED4BEE">
        <w:rPr>
          <w:i/>
        </w:rPr>
        <w:t>The Right to Information on Consular Assistance in the Framework of the Guarantees of the Due Process of Law</w:t>
      </w:r>
      <w:r w:rsidRPr="00D501B4">
        <w:t xml:space="preserve"> Advisory Opinion OC-16/99, Inter-Am. Ct. H.R., Ser. A, No. 16 (1 Oct., 1999)</w:t>
      </w:r>
      <w:r w:rsidRPr="00D501B4">
        <w:fldChar w:fldCharType="begin"/>
      </w:r>
      <w:r w:rsidRPr="00D501B4">
        <w:instrText xml:space="preserve"> TA \l "</w:instrText>
      </w:r>
      <w:r w:rsidRPr="00ED4BEE">
        <w:rPr>
          <w:i/>
        </w:rPr>
        <w:instrText>The Right to Information on Consular Assistance in the Framework of the Guarantees of the Due Process of Law</w:instrText>
      </w:r>
      <w:r w:rsidRPr="00D501B4">
        <w:instrText xml:space="preserve"> </w:instrText>
      </w:r>
      <w:r w:rsidRPr="00D501B4">
        <w:br/>
        <w:instrText xml:space="preserve">Advisory Opinion OC-16/99, Inter-Am. Ct. H.R., Ser. A, No. 16 (1 Oct., 1999)" \s "The Right to Information on Consular Assistance in the Framework of the Guarantees of the Due Process of Law Advisory Opinion OC-16/99, Inter-Am. Ct. H.R., Ser. A, No. 16 (1 Oct., 1999)" \c 9 </w:instrText>
      </w:r>
      <w:r w:rsidRPr="00D501B4">
        <w:fldChar w:fldCharType="end"/>
      </w:r>
      <w:r w:rsidRPr="00D501B4">
        <w:t>, ¶¶ 117 &amp; 119.</w:t>
      </w:r>
    </w:p>
  </w:footnote>
  <w:footnote w:id="155">
    <w:p w:rsidR="00B27D37" w:rsidRPr="00C94B25" w:rsidRDefault="00B27D37" w:rsidP="005928DB">
      <w:pPr>
        <w:pStyle w:val="FootnoteText"/>
      </w:pPr>
      <w:r w:rsidRPr="00D501B4">
        <w:rPr>
          <w:rStyle w:val="FootnoteReference"/>
        </w:rPr>
        <w:footnoteRef/>
      </w:r>
      <w:r w:rsidRPr="00D501B4">
        <w:t xml:space="preserve"> </w:t>
      </w:r>
      <w:r w:rsidRPr="00D501B4">
        <w:rPr>
          <w:i/>
        </w:rPr>
        <w:t xml:space="preserve">Case of Barabani Duarte </w:t>
      </w:r>
      <w:r>
        <w:rPr>
          <w:i/>
          <w:iCs/>
        </w:rPr>
        <w:t>et al</w:t>
      </w:r>
      <w:r w:rsidRPr="00D501B4">
        <w:rPr>
          <w:i/>
          <w:iCs/>
        </w:rPr>
        <w:t>.</w:t>
      </w:r>
      <w:r>
        <w:rPr>
          <w:i/>
          <w:iCs/>
        </w:rPr>
        <w:t xml:space="preserve"> </w:t>
      </w:r>
      <w:r w:rsidRPr="00D501B4">
        <w:rPr>
          <w:i/>
          <w:iCs/>
        </w:rPr>
        <w:t xml:space="preserve">v. </w:t>
      </w:r>
      <w:r w:rsidRPr="00D501B4">
        <w:rPr>
          <w:i/>
        </w:rPr>
        <w:t>Uraguay</w:t>
      </w:r>
      <w:r w:rsidRPr="00D501B4">
        <w:t xml:space="preserve"> (Judgment) Inter-Am. Ct. H.R.</w:t>
      </w:r>
      <w:r>
        <w:t>,</w:t>
      </w:r>
      <w:r w:rsidRPr="00D501B4">
        <w:t xml:space="preserve"> Ser. C, No.234 (13</w:t>
      </w:r>
      <w:r w:rsidRPr="00D501B4">
        <w:fldChar w:fldCharType="begin"/>
      </w:r>
      <w:r w:rsidRPr="00D501B4">
        <w:instrText xml:space="preserve"> TA \s "13" </w:instrText>
      </w:r>
      <w:r w:rsidRPr="00D501B4">
        <w:fldChar w:fldCharType="end"/>
      </w:r>
      <w:r w:rsidRPr="00D501B4">
        <w:t xml:space="preserve"> Oct., 2011</w:t>
      </w:r>
      <w:r w:rsidRPr="00C94B25">
        <w:t>)</w:t>
      </w:r>
      <w:r>
        <w:fldChar w:fldCharType="begin"/>
      </w:r>
      <w:r>
        <w:instrText xml:space="preserve"> TA \l "</w:instrText>
      </w:r>
      <w:r w:rsidRPr="00FE010E">
        <w:rPr>
          <w:i/>
        </w:rPr>
        <w:instrText xml:space="preserve">Case of Barabani Duarte </w:instrText>
      </w:r>
      <w:r>
        <w:rPr>
          <w:i/>
          <w:iCs/>
        </w:rPr>
        <w:instrText>et al</w:instrText>
      </w:r>
      <w:r w:rsidRPr="00FE010E">
        <w:rPr>
          <w:i/>
          <w:iCs/>
        </w:rPr>
        <w:instrText>.</w:instrText>
      </w:r>
      <w:r>
        <w:rPr>
          <w:i/>
          <w:iCs/>
        </w:rPr>
        <w:instrText xml:space="preserve"> </w:instrText>
      </w:r>
      <w:r w:rsidRPr="00FE010E">
        <w:rPr>
          <w:i/>
          <w:iCs/>
        </w:rPr>
        <w:instrText xml:space="preserve">v. </w:instrText>
      </w:r>
      <w:r w:rsidRPr="00FE010E">
        <w:rPr>
          <w:i/>
        </w:rPr>
        <w:instrText>Uraguay</w:instrText>
      </w:r>
      <w:r w:rsidRPr="00FE010E">
        <w:instrText xml:space="preserve"> (Judgment) </w:instrText>
      </w:r>
      <w:r w:rsidRPr="00FE010E">
        <w:br/>
        <w:instrText>Inter-Am. Ct. H.R.</w:instrText>
      </w:r>
      <w:r>
        <w:instrText>,</w:instrText>
      </w:r>
      <w:r w:rsidRPr="00FE010E">
        <w:instrText xml:space="preserve"> Ser. C, No.234, (13 Oct., 2011)</w:instrText>
      </w:r>
      <w:r>
        <w:instrText xml:space="preserve">" \s "Case of Barabani Duarte et al.v. Uraguay (Judgment) Inter-Am. Ct. H.R., Ser. C, No.234 (13 Oct., 2011)" \c 13 </w:instrText>
      </w:r>
      <w:r>
        <w:fldChar w:fldCharType="end"/>
      </w:r>
      <w:r w:rsidRPr="00C94B25">
        <w:t>, ¶ 118.</w:t>
      </w:r>
    </w:p>
  </w:footnote>
  <w:footnote w:id="156">
    <w:p w:rsidR="00B27D37" w:rsidRPr="00D501B4" w:rsidRDefault="00B27D37" w:rsidP="005928DB">
      <w:pPr>
        <w:pStyle w:val="FootnoteText"/>
      </w:pPr>
      <w:r w:rsidRPr="00D501B4">
        <w:rPr>
          <w:rStyle w:val="FootnoteReference"/>
        </w:rPr>
        <w:footnoteRef/>
      </w:r>
      <w:r w:rsidRPr="00D501B4">
        <w:t xml:space="preserve"> </w:t>
      </w:r>
      <w:r w:rsidRPr="00D501B4">
        <w:rPr>
          <w:i/>
        </w:rPr>
        <w:t>Santiago Marzioni</w:t>
      </w:r>
      <w:r w:rsidRPr="00D501B4">
        <w:rPr>
          <w:i/>
        </w:rPr>
        <w:fldChar w:fldCharType="begin"/>
      </w:r>
      <w:r w:rsidRPr="00D501B4">
        <w:rPr>
          <w:i/>
        </w:rPr>
        <w:instrText xml:space="preserve"> TA \s "Santiago Marzioni" </w:instrText>
      </w:r>
      <w:r w:rsidRPr="00D501B4">
        <w:rPr>
          <w:i/>
        </w:rPr>
        <w:fldChar w:fldCharType="end"/>
      </w:r>
      <w:r w:rsidRPr="00D501B4">
        <w:t>, ¶ 46.</w:t>
      </w:r>
    </w:p>
  </w:footnote>
  <w:footnote w:id="157">
    <w:p w:rsidR="00B27D37" w:rsidRPr="00D501B4" w:rsidRDefault="00B27D37" w:rsidP="005928DB">
      <w:pPr>
        <w:pStyle w:val="FootnoteText"/>
      </w:pPr>
      <w:r w:rsidRPr="00D501B4">
        <w:rPr>
          <w:rStyle w:val="FootnoteReference"/>
        </w:rPr>
        <w:footnoteRef/>
      </w:r>
      <w:r w:rsidRPr="00D501B4">
        <w:t xml:space="preserve"> </w:t>
      </w:r>
      <w:r w:rsidRPr="00D501B4">
        <w:rPr>
          <w:i/>
        </w:rPr>
        <w:t>Santiago Marzioni</w:t>
      </w:r>
      <w:r w:rsidRPr="00D501B4">
        <w:rPr>
          <w:i/>
        </w:rPr>
        <w:fldChar w:fldCharType="begin"/>
      </w:r>
      <w:r w:rsidRPr="00D501B4">
        <w:rPr>
          <w:i/>
        </w:rPr>
        <w:instrText xml:space="preserve"> TA \s "Santiago Marzioni" </w:instrText>
      </w:r>
      <w:r w:rsidRPr="00D501B4">
        <w:rPr>
          <w:i/>
        </w:rPr>
        <w:fldChar w:fldCharType="end"/>
      </w:r>
      <w:r w:rsidRPr="00D501B4">
        <w:t>, ¶ 46.</w:t>
      </w:r>
    </w:p>
  </w:footnote>
  <w:footnote w:id="158">
    <w:p w:rsidR="00B27D37" w:rsidRPr="00D501B4" w:rsidRDefault="00B27D37" w:rsidP="005928DB">
      <w:pPr>
        <w:pStyle w:val="FootnoteText"/>
      </w:pPr>
      <w:r w:rsidRPr="00D501B4">
        <w:rPr>
          <w:rStyle w:val="FootnoteReference"/>
        </w:rPr>
        <w:footnoteRef/>
      </w:r>
      <w:r w:rsidRPr="00D501B4">
        <w:t xml:space="preserve"> </w:t>
      </w:r>
      <w:r w:rsidRPr="0079408C">
        <w:rPr>
          <w:i/>
        </w:rPr>
        <w:t>Santiago Marzioni</w:t>
      </w:r>
      <w:r w:rsidRPr="00D501B4">
        <w:fldChar w:fldCharType="begin"/>
      </w:r>
      <w:r w:rsidRPr="00D501B4">
        <w:instrText xml:space="preserve"> TA \s "Santiago Marzioni" </w:instrText>
      </w:r>
      <w:r w:rsidRPr="00D501B4">
        <w:fldChar w:fldCharType="end"/>
      </w:r>
      <w:r w:rsidRPr="00D501B4">
        <w:t>,</w:t>
      </w:r>
      <w:r>
        <w:t xml:space="preserve"> </w:t>
      </w:r>
      <w:r w:rsidRPr="00D501B4">
        <w:t>¶ 46.</w:t>
      </w:r>
    </w:p>
  </w:footnote>
  <w:footnote w:id="159">
    <w:p w:rsidR="00B27D37" w:rsidRPr="00D501B4" w:rsidRDefault="00B27D37" w:rsidP="005928DB">
      <w:pPr>
        <w:pStyle w:val="FootnoteText"/>
      </w:pPr>
      <w:r w:rsidRPr="00D501B4">
        <w:rPr>
          <w:rStyle w:val="FootnoteReference"/>
        </w:rPr>
        <w:footnoteRef/>
      </w:r>
      <w:r w:rsidRPr="00D501B4">
        <w:t xml:space="preserve"> </w:t>
      </w:r>
      <w:r w:rsidRPr="00D501B4">
        <w:rPr>
          <w:i/>
        </w:rPr>
        <w:t>Santiago Marzioni</w:t>
      </w:r>
      <w:r w:rsidRPr="00D501B4">
        <w:rPr>
          <w:i/>
        </w:rPr>
        <w:fldChar w:fldCharType="begin"/>
      </w:r>
      <w:r w:rsidRPr="00D501B4">
        <w:rPr>
          <w:i/>
        </w:rPr>
        <w:instrText xml:space="preserve"> TA \s "Santiago Marzioni" </w:instrText>
      </w:r>
      <w:r w:rsidRPr="00D501B4">
        <w:rPr>
          <w:i/>
        </w:rPr>
        <w:fldChar w:fldCharType="end"/>
      </w:r>
      <w:r>
        <w:t xml:space="preserve">, </w:t>
      </w:r>
      <w:r w:rsidRPr="00D501B4">
        <w:t>¶ 47.</w:t>
      </w:r>
    </w:p>
  </w:footnote>
  <w:footnote w:id="160">
    <w:p w:rsidR="00B27D37" w:rsidRPr="00D501B4" w:rsidRDefault="00B27D37" w:rsidP="005928DB">
      <w:pPr>
        <w:pStyle w:val="FootnoteText"/>
      </w:pPr>
      <w:r w:rsidRPr="00D501B4">
        <w:rPr>
          <w:rStyle w:val="FootnoteReference"/>
        </w:rPr>
        <w:footnoteRef/>
      </w:r>
      <w:r w:rsidRPr="00D501B4">
        <w:t xml:space="preserve"> Hypo ¶ 45</w:t>
      </w:r>
      <w:r>
        <w:t>.</w:t>
      </w:r>
    </w:p>
  </w:footnote>
  <w:footnote w:id="161">
    <w:p w:rsidR="00B27D37" w:rsidRPr="00C94B25" w:rsidRDefault="00B27D37" w:rsidP="005928DB">
      <w:pPr>
        <w:pStyle w:val="FootnoteText"/>
      </w:pPr>
      <w:r w:rsidRPr="00D501B4">
        <w:rPr>
          <w:rStyle w:val="FootnoteReference"/>
        </w:rPr>
        <w:footnoteRef/>
      </w:r>
      <w:r w:rsidRPr="00D501B4">
        <w:t xml:space="preserve"> Hypo ¶ 42</w:t>
      </w:r>
      <w:r>
        <w:t>.</w:t>
      </w:r>
    </w:p>
  </w:footnote>
  <w:footnote w:id="162">
    <w:p w:rsidR="00B27D37" w:rsidRPr="00D501B4" w:rsidRDefault="00B27D37" w:rsidP="005928DB">
      <w:pPr>
        <w:pStyle w:val="FootnoteText"/>
      </w:pPr>
      <w:r w:rsidRPr="00D501B4">
        <w:rPr>
          <w:rStyle w:val="FootnoteReference"/>
        </w:rPr>
        <w:footnoteRef/>
      </w:r>
      <w:r w:rsidRPr="00D501B4">
        <w:t xml:space="preserve"> American Convention</w:t>
      </w:r>
      <w:r w:rsidRPr="00D501B4">
        <w:fldChar w:fldCharType="begin"/>
      </w:r>
      <w:r w:rsidRPr="00D501B4">
        <w:instrText xml:space="preserve"> TA \l "Preamble" \s "American Convention" \c 8 </w:instrText>
      </w:r>
      <w:r w:rsidRPr="00D501B4">
        <w:fldChar w:fldCharType="end"/>
      </w:r>
      <w:r w:rsidRPr="00D501B4">
        <w:t>, Preamble.</w:t>
      </w:r>
    </w:p>
  </w:footnote>
  <w:footnote w:id="163">
    <w:p w:rsidR="00B27D37" w:rsidRPr="00D501B4" w:rsidRDefault="00B27D37" w:rsidP="005928DB">
      <w:pPr>
        <w:pStyle w:val="FootnoteText"/>
      </w:pPr>
      <w:r w:rsidRPr="00D501B4">
        <w:rPr>
          <w:rStyle w:val="FootnoteReference"/>
        </w:rPr>
        <w:footnoteRef/>
      </w:r>
      <w:r w:rsidRPr="00D501B4">
        <w:t xml:space="preserve"> </w:t>
      </w:r>
      <w:r w:rsidRPr="0079408C">
        <w:rPr>
          <w:i/>
        </w:rPr>
        <w:t>Santiago Marzioni</w:t>
      </w:r>
      <w:r w:rsidRPr="00D501B4">
        <w:fldChar w:fldCharType="begin"/>
      </w:r>
      <w:r w:rsidRPr="00D501B4">
        <w:instrText xml:space="preserve"> TA \s "Santiago Marzioni" </w:instrText>
      </w:r>
      <w:r w:rsidRPr="00D501B4">
        <w:fldChar w:fldCharType="end"/>
      </w:r>
      <w:r w:rsidRPr="00D501B4">
        <w:t>, ¶ 49</w:t>
      </w:r>
      <w:r>
        <w:t>.</w:t>
      </w:r>
    </w:p>
  </w:footnote>
  <w:footnote w:id="164">
    <w:p w:rsidR="00B27D37" w:rsidRPr="00D501B4" w:rsidRDefault="00B27D37" w:rsidP="005928DB">
      <w:pPr>
        <w:pStyle w:val="FootnoteText"/>
      </w:pPr>
      <w:r w:rsidRPr="00D501B4">
        <w:rPr>
          <w:rStyle w:val="FootnoteReference"/>
        </w:rPr>
        <w:footnoteRef/>
      </w:r>
      <w:r w:rsidRPr="00D501B4">
        <w:t xml:space="preserve"> </w:t>
      </w:r>
      <w:r w:rsidRPr="00D501B4">
        <w:rPr>
          <w:i/>
        </w:rPr>
        <w:t>Santiago Marzioni</w:t>
      </w:r>
      <w:r w:rsidRPr="00D501B4">
        <w:rPr>
          <w:i/>
        </w:rPr>
        <w:fldChar w:fldCharType="begin"/>
      </w:r>
      <w:r w:rsidRPr="00D501B4">
        <w:rPr>
          <w:i/>
        </w:rPr>
        <w:instrText xml:space="preserve"> TA \s "Santiago Marzioni" </w:instrText>
      </w:r>
      <w:r w:rsidRPr="00D501B4">
        <w:rPr>
          <w:i/>
        </w:rPr>
        <w:fldChar w:fldCharType="end"/>
      </w:r>
      <w:r w:rsidRPr="00D501B4">
        <w:t>,</w:t>
      </w:r>
      <w:r w:rsidRPr="00D501B4">
        <w:rPr>
          <w:i/>
        </w:rPr>
        <w:t xml:space="preserve"> </w:t>
      </w:r>
      <w:r w:rsidRPr="00D501B4">
        <w:t xml:space="preserve">¶¶ 48-50; </w:t>
      </w:r>
      <w:r w:rsidRPr="00D501B4">
        <w:rPr>
          <w:i/>
          <w:iCs/>
        </w:rPr>
        <w:t>Velásquez Rodríguez</w:t>
      </w:r>
      <w:r>
        <w:fldChar w:fldCharType="begin"/>
      </w:r>
      <w:r>
        <w:instrText xml:space="preserve"> TA \s "Case of Velásquez Rodríguez v. Honduras (Judgment) Inter-Am. Ct. H.R., Ser. C, No. 4, (29 July, 1988)" </w:instrText>
      </w:r>
      <w:r>
        <w:fldChar w:fldCharType="end"/>
      </w:r>
      <w:r w:rsidRPr="00D501B4">
        <w:t>, ¶ 61.</w:t>
      </w:r>
    </w:p>
  </w:footnote>
  <w:footnote w:id="165">
    <w:p w:rsidR="00B27D37" w:rsidRPr="00D501B4" w:rsidRDefault="00B27D37" w:rsidP="005928DB">
      <w:pPr>
        <w:pStyle w:val="FootnoteText"/>
      </w:pPr>
      <w:r w:rsidRPr="00D501B4">
        <w:rPr>
          <w:rStyle w:val="FootnoteReference"/>
        </w:rPr>
        <w:footnoteRef/>
      </w:r>
      <w:r w:rsidRPr="00D501B4">
        <w:t xml:space="preserve"> American Convention, art. 30</w:t>
      </w:r>
      <w:r w:rsidRPr="00D501B4">
        <w:fldChar w:fldCharType="begin"/>
      </w:r>
      <w:r w:rsidRPr="00D501B4">
        <w:instrText xml:space="preserve"> TA \l "Article 30" \s "American Convention, art. 30" \c 8 </w:instrText>
      </w:r>
      <w:r w:rsidRPr="00D501B4">
        <w:fldChar w:fldCharType="end"/>
      </w:r>
      <w:r w:rsidRPr="00D501B4">
        <w:t xml:space="preserve">; Aaron Xavier Fellmeth, </w:t>
      </w:r>
      <w:r w:rsidRPr="00D501B4">
        <w:rPr>
          <w:i/>
        </w:rPr>
        <w:t>State Regulation of Sexuality in International Human Rights Law and Theory</w:t>
      </w:r>
      <w:r w:rsidRPr="00D501B4">
        <w:t>, 50 Wm. &amp; Mary L. Rev, 797, 806 (2008).</w:t>
      </w:r>
    </w:p>
  </w:footnote>
  <w:footnote w:id="166">
    <w:p w:rsidR="00B27D37" w:rsidRPr="00C94B25" w:rsidRDefault="00B27D37" w:rsidP="005928DB">
      <w:pPr>
        <w:pStyle w:val="FootnoteText"/>
      </w:pPr>
      <w:r w:rsidRPr="00D501B4">
        <w:rPr>
          <w:rStyle w:val="FootnoteReference"/>
        </w:rPr>
        <w:footnoteRef/>
      </w:r>
      <w:r w:rsidRPr="00D501B4">
        <w:t xml:space="preserve"> American Convention, art. 30</w:t>
      </w:r>
      <w:r w:rsidRPr="00D501B4">
        <w:fldChar w:fldCharType="begin"/>
      </w:r>
      <w:r w:rsidRPr="00D501B4">
        <w:instrText xml:space="preserve"> TA \s "American Convention, art. 30" </w:instrText>
      </w:r>
      <w:r w:rsidRPr="00D501B4">
        <w:fldChar w:fldCharType="end"/>
      </w:r>
      <w:r>
        <w:t xml:space="preserve">; </w:t>
      </w:r>
      <w:r w:rsidRPr="00D501B4">
        <w:t>Fellmeth, 50 Wm. &amp; Mary L. Rev 797</w:t>
      </w:r>
      <w:r>
        <w:fldChar w:fldCharType="begin"/>
      </w:r>
      <w:r>
        <w:instrText xml:space="preserve"> TA \l "</w:instrText>
      </w:r>
      <w:r w:rsidRPr="00080D1A">
        <w:instrText xml:space="preserve">Aaron Xavier Fellmeth, </w:instrText>
      </w:r>
      <w:r w:rsidRPr="00080D1A">
        <w:rPr>
          <w:i/>
        </w:rPr>
        <w:instrText>State Regulation of Sexuality in International Human Rights Law and Theory</w:instrText>
      </w:r>
      <w:r w:rsidRPr="00080D1A">
        <w:instrText>, 50 Wm. &amp; Mary L. Rev 797 (2008).</w:instrText>
      </w:r>
      <w:r>
        <w:instrText xml:space="preserve">" \s "Aaron Xavier Fellmeth, State Regulation of Sexuality in International Human Rights Law and Theory, 50 Wm. &amp; Mary L. Rev 797" \c 14 </w:instrText>
      </w:r>
      <w:r>
        <w:fldChar w:fldCharType="end"/>
      </w:r>
      <w:r>
        <w:t>, 806</w:t>
      </w:r>
      <w:r w:rsidRPr="00D501B4">
        <w:t>.</w:t>
      </w:r>
    </w:p>
  </w:footnote>
  <w:footnote w:id="167">
    <w:p w:rsidR="00B27D37" w:rsidRPr="00D501B4" w:rsidRDefault="00B27D37" w:rsidP="005928DB">
      <w:pPr>
        <w:pStyle w:val="FootnoteText"/>
      </w:pPr>
      <w:r w:rsidRPr="00D501B4">
        <w:rPr>
          <w:rStyle w:val="FootnoteReference"/>
        </w:rPr>
        <w:footnoteRef/>
      </w:r>
      <w:r w:rsidRPr="00D501B4">
        <w:t xml:space="preserve"> Organization of American States, Article 13</w:t>
      </w:r>
      <w:r w:rsidR="00A7760B">
        <w:t>.</w:t>
      </w:r>
      <w:r w:rsidRPr="00D501B4">
        <w:fldChar w:fldCharType="begin"/>
      </w:r>
      <w:r w:rsidRPr="00D501B4">
        <w:instrText xml:space="preserve"> TA \s "13" </w:instrText>
      </w:r>
      <w:r w:rsidRPr="00D501B4">
        <w:fldChar w:fldCharType="end"/>
      </w:r>
    </w:p>
  </w:footnote>
  <w:footnote w:id="168">
    <w:p w:rsidR="00B27D37" w:rsidRPr="00D501B4" w:rsidRDefault="00B27D37" w:rsidP="005928DB">
      <w:pPr>
        <w:pStyle w:val="FootnoteText"/>
      </w:pPr>
      <w:r w:rsidRPr="00D501B4">
        <w:rPr>
          <w:rStyle w:val="FootnoteReference"/>
        </w:rPr>
        <w:footnoteRef/>
      </w:r>
      <w:r w:rsidRPr="00D501B4">
        <w:t xml:space="preserve"> Dinah Shelton, </w:t>
      </w:r>
      <w:r w:rsidRPr="00D501B4">
        <w:rPr>
          <w:i/>
        </w:rPr>
        <w:t>The Jurisprudence of the Inter-American Court of Human Rights</w:t>
      </w:r>
      <w:r w:rsidRPr="00D501B4">
        <w:t>, Am. U. J. Int’l L. &amp; Pol’y 10, no. 1, 335 (1994)</w:t>
      </w:r>
      <w:r w:rsidRPr="00D501B4">
        <w:fldChar w:fldCharType="begin"/>
      </w:r>
      <w:r w:rsidRPr="00D501B4">
        <w:instrText xml:space="preserve"> TA \l "Dinah Shelton, </w:instrText>
      </w:r>
      <w:r w:rsidRPr="00D501B4">
        <w:rPr>
          <w:i/>
        </w:rPr>
        <w:instrText>The Jurisprudence of the Inter-American Court of Human Rights</w:instrText>
      </w:r>
      <w:r w:rsidRPr="00D501B4">
        <w:instrText xml:space="preserve">, Am. U. J. Int’l L. &amp; Pol’y 10, no. 1, 335 (1994)" \s "Dinah Shelton, The Jurisprudence of the Inter-American Court of Human Rights, Am. U. J. Int’l L. &amp; Pol’y 10, no. 1, 335 (1994)" \c 14 </w:instrText>
      </w:r>
      <w:r w:rsidRPr="00D501B4">
        <w:fldChar w:fldCharType="end"/>
      </w:r>
      <w:r w:rsidRPr="00D501B4">
        <w:t>.</w:t>
      </w:r>
    </w:p>
  </w:footnote>
  <w:footnote w:id="169">
    <w:p w:rsidR="00B27D37" w:rsidRPr="00ED4BEE" w:rsidRDefault="00B27D37" w:rsidP="008B6A40">
      <w:pPr>
        <w:autoSpaceDE w:val="0"/>
        <w:autoSpaceDN w:val="0"/>
        <w:adjustRightInd w:val="0"/>
        <w:spacing w:after="0" w:line="240" w:lineRule="auto"/>
        <w:rPr>
          <w:rFonts w:ascii="Times New Roman" w:hAnsi="Times New Roman" w:cs="Times New Roman"/>
          <w:sz w:val="20"/>
          <w:szCs w:val="20"/>
        </w:rPr>
      </w:pPr>
      <w:r w:rsidRPr="00ED4BEE">
        <w:rPr>
          <w:rStyle w:val="FootnoteReference"/>
          <w:rFonts w:ascii="Times New Roman" w:hAnsi="Times New Roman" w:cs="Times New Roman"/>
          <w:sz w:val="20"/>
          <w:szCs w:val="20"/>
        </w:rPr>
        <w:footnoteRef/>
      </w:r>
      <w:r w:rsidRPr="00ED4BEE">
        <w:rPr>
          <w:rFonts w:ascii="Times New Roman" w:hAnsi="Times New Roman" w:cs="Times New Roman"/>
          <w:sz w:val="20"/>
          <w:szCs w:val="20"/>
        </w:rPr>
        <w:t xml:space="preserve"> American Convention, art. 29</w:t>
      </w:r>
      <w:r w:rsidRPr="00ED4BEE">
        <w:rPr>
          <w:rFonts w:ascii="Times New Roman" w:hAnsi="Times New Roman" w:cs="Times New Roman"/>
          <w:sz w:val="20"/>
          <w:szCs w:val="20"/>
        </w:rPr>
        <w:fldChar w:fldCharType="begin"/>
      </w:r>
      <w:r w:rsidRPr="00ED4BEE">
        <w:rPr>
          <w:rFonts w:ascii="Times New Roman" w:hAnsi="Times New Roman" w:cs="Times New Roman"/>
          <w:sz w:val="20"/>
          <w:szCs w:val="20"/>
        </w:rPr>
        <w:instrText xml:space="preserve"> TA \l "Article 29" \s "American Convention, art. 29" \c 8 </w:instrText>
      </w:r>
      <w:r w:rsidRPr="00ED4BEE">
        <w:rPr>
          <w:rFonts w:ascii="Times New Roman" w:hAnsi="Times New Roman" w:cs="Times New Roman"/>
          <w:sz w:val="20"/>
          <w:szCs w:val="20"/>
        </w:rPr>
        <w:fldChar w:fldCharType="end"/>
      </w:r>
      <w:r w:rsidRPr="00ED4BEE">
        <w:rPr>
          <w:rFonts w:ascii="Times New Roman" w:hAnsi="Times New Roman" w:cs="Times New Roman"/>
          <w:sz w:val="20"/>
          <w:szCs w:val="20"/>
        </w:rPr>
        <w:t>(d).</w:t>
      </w:r>
      <w:r>
        <w:rPr>
          <w:rFonts w:ascii="Times New Roman" w:hAnsi="Times New Roman" w:cs="Times New Roman"/>
          <w:sz w:val="20"/>
          <w:szCs w:val="20"/>
        </w:rPr>
        <w:t xml:space="preserve">  </w:t>
      </w:r>
    </w:p>
  </w:footnote>
  <w:footnote w:id="170">
    <w:p w:rsidR="00B27D37" w:rsidRPr="00C94B25" w:rsidRDefault="00B27D37" w:rsidP="005928DB">
      <w:pPr>
        <w:pStyle w:val="FootnoteText"/>
      </w:pPr>
      <w:r w:rsidRPr="00D501B4">
        <w:rPr>
          <w:rStyle w:val="FootnoteReference"/>
        </w:rPr>
        <w:footnoteRef/>
      </w:r>
      <w:r w:rsidRPr="00D501B4">
        <w:t xml:space="preserve"> Hypo ¶ 40</w:t>
      </w:r>
      <w:r>
        <w:t>.</w:t>
      </w:r>
    </w:p>
  </w:footnote>
  <w:footnote w:id="171">
    <w:p w:rsidR="00B27D37" w:rsidRPr="00D501B4" w:rsidRDefault="00B27D37" w:rsidP="005928DB">
      <w:pPr>
        <w:pStyle w:val="FootnoteText"/>
      </w:pPr>
      <w:r w:rsidRPr="00D501B4">
        <w:rPr>
          <w:rStyle w:val="FootnoteReference"/>
        </w:rPr>
        <w:footnoteRef/>
      </w:r>
      <w:r w:rsidRPr="00D501B4">
        <w:t xml:space="preserve"> </w:t>
      </w:r>
      <w:r w:rsidRPr="00210D3C">
        <w:rPr>
          <w:i/>
        </w:rPr>
        <w:t>Case of</w:t>
      </w:r>
      <w:r>
        <w:t xml:space="preserve"> </w:t>
      </w:r>
      <w:r w:rsidRPr="00D501B4">
        <w:rPr>
          <w:i/>
        </w:rPr>
        <w:t>Valle Jaramillo v. Columbia</w:t>
      </w:r>
      <w:r w:rsidRPr="00D501B4">
        <w:t>, (Judgment) Inter-Am. Ct. H.R. Ser. C, No. 192, (27 Nov., 2008)</w:t>
      </w:r>
      <w:r w:rsidRPr="00D501B4">
        <w:fldChar w:fldCharType="begin"/>
      </w:r>
      <w:r w:rsidRPr="00D501B4">
        <w:instrText xml:space="preserve"> TA \l "</w:instrText>
      </w:r>
      <w:r w:rsidRPr="00210D3C">
        <w:rPr>
          <w:i/>
        </w:rPr>
        <w:instrText>Case of</w:instrText>
      </w:r>
      <w:r>
        <w:instrText xml:space="preserve"> </w:instrText>
      </w:r>
      <w:r w:rsidRPr="00D501B4">
        <w:rPr>
          <w:i/>
        </w:rPr>
        <w:instrText>Valle Jaramillo v. Columbia</w:instrText>
      </w:r>
      <w:r w:rsidRPr="00D501B4">
        <w:instrText xml:space="preserve"> (Judgment) </w:instrText>
      </w:r>
      <w:r w:rsidRPr="00D501B4">
        <w:br/>
        <w:instrText>Inter-Am. Ct. H.R.</w:instrText>
      </w:r>
      <w:r>
        <w:instrText>,</w:instrText>
      </w:r>
      <w:r w:rsidRPr="00D501B4">
        <w:instrText xml:space="preserve"> Ser. C, No. 192, (27 Nov., 2008)" \s "Valle Jaramillo v. Columbia, (Judgment) Inter-Am. Ct. H.R. Ser. C, No. 192, (27 Nov., 2008)" \c 13 </w:instrText>
      </w:r>
      <w:r w:rsidRPr="00D501B4">
        <w:fldChar w:fldCharType="end"/>
      </w:r>
      <w:r w:rsidRPr="00D501B4">
        <w:t>, ¶ 155.</w:t>
      </w:r>
    </w:p>
  </w:footnote>
  <w:footnote w:id="172">
    <w:p w:rsidR="00B27D37" w:rsidRPr="00D501B4" w:rsidRDefault="00B27D37" w:rsidP="005928DB">
      <w:pPr>
        <w:pStyle w:val="FootnoteText"/>
      </w:pPr>
      <w:r w:rsidRPr="00D501B4">
        <w:rPr>
          <w:rStyle w:val="FootnoteReference"/>
        </w:rPr>
        <w:footnoteRef/>
      </w:r>
      <w:r w:rsidRPr="00D501B4">
        <w:t xml:space="preserve"> Hypo ¶ 44</w:t>
      </w:r>
      <w:r>
        <w:t>.</w:t>
      </w:r>
    </w:p>
  </w:footnote>
  <w:footnote w:id="173">
    <w:p w:rsidR="00B27D37" w:rsidRPr="00D501B4" w:rsidRDefault="00B27D37" w:rsidP="005928DB">
      <w:pPr>
        <w:pStyle w:val="FootnoteText"/>
      </w:pPr>
      <w:r w:rsidRPr="00D501B4">
        <w:rPr>
          <w:rStyle w:val="FootnoteReference"/>
        </w:rPr>
        <w:footnoteRef/>
      </w:r>
      <w:r w:rsidRPr="00D501B4">
        <w:t xml:space="preserve"> Hypo ¶¶ 14 &amp; 15</w:t>
      </w:r>
      <w:r>
        <w:t>.</w:t>
      </w:r>
    </w:p>
  </w:footnote>
  <w:footnote w:id="174">
    <w:p w:rsidR="00B27D37" w:rsidRPr="00D501B4" w:rsidRDefault="00B27D37" w:rsidP="005928DB">
      <w:pPr>
        <w:pStyle w:val="FootnoteText"/>
      </w:pPr>
      <w:r w:rsidRPr="00D501B4">
        <w:rPr>
          <w:rStyle w:val="FootnoteReference"/>
        </w:rPr>
        <w:footnoteRef/>
      </w:r>
      <w:r w:rsidRPr="00D501B4">
        <w:t xml:space="preserve"> </w:t>
      </w:r>
      <w:r w:rsidRPr="00A7760B">
        <w:rPr>
          <w:i/>
        </w:rPr>
        <w:t>Id</w:t>
      </w:r>
      <w:r w:rsidRPr="00D501B4">
        <w:t>.</w:t>
      </w:r>
    </w:p>
  </w:footnote>
  <w:footnote w:id="175">
    <w:p w:rsidR="00B27D37" w:rsidRPr="00D501B4" w:rsidRDefault="00B27D37" w:rsidP="005928DB">
      <w:pPr>
        <w:pStyle w:val="FootnoteText"/>
      </w:pPr>
      <w:r w:rsidRPr="00D501B4">
        <w:rPr>
          <w:rStyle w:val="FootnoteReference"/>
        </w:rPr>
        <w:footnoteRef/>
      </w:r>
      <w:r w:rsidRPr="00D501B4">
        <w:t xml:space="preserve"> Hypo ¶¶ 42 &amp; 45</w:t>
      </w:r>
      <w:r>
        <w:t>.</w:t>
      </w:r>
    </w:p>
  </w:footnote>
  <w:footnote w:id="176">
    <w:p w:rsidR="00B27D37" w:rsidRPr="00C94B25" w:rsidRDefault="00B27D37" w:rsidP="005928DB">
      <w:pPr>
        <w:pStyle w:val="FootnoteText"/>
      </w:pPr>
      <w:r w:rsidRPr="00D501B4">
        <w:rPr>
          <w:rStyle w:val="FootnoteReference"/>
        </w:rPr>
        <w:footnoteRef/>
      </w:r>
      <w:r>
        <w:t xml:space="preserve"> </w:t>
      </w:r>
      <w:r w:rsidRPr="00D501B4">
        <w:t xml:space="preserve">Brown, </w:t>
      </w:r>
      <w:r w:rsidRPr="00C94B25">
        <w:t>31 Mich. J. Int’l L. 821</w:t>
      </w:r>
      <w:r>
        <w:fldChar w:fldCharType="begin"/>
      </w:r>
      <w:r>
        <w:instrText xml:space="preserve"> TA \s "David Brown, Making Room for Sexual Orientation and Gender Identity in International Human Rights Law: An Introduction to the Yogyakarta Principles, 31 Mich. J. Int’l L. 821" </w:instrText>
      </w:r>
      <w:r>
        <w:fldChar w:fldCharType="end"/>
      </w:r>
      <w:r>
        <w:t>, 856</w:t>
      </w:r>
      <w:r w:rsidRPr="00C94B25">
        <w:t>.</w:t>
      </w:r>
    </w:p>
  </w:footnote>
  <w:footnote w:id="177">
    <w:p w:rsidR="00B27D37" w:rsidRPr="00D501B4" w:rsidRDefault="00B27D37" w:rsidP="005928DB">
      <w:pPr>
        <w:pStyle w:val="FootnoteText"/>
      </w:pPr>
      <w:r w:rsidRPr="00D501B4">
        <w:rPr>
          <w:rStyle w:val="FootnoteReference"/>
          <w:i/>
        </w:rPr>
        <w:footnoteRef/>
      </w:r>
      <w:r w:rsidRPr="00D501B4">
        <w:t xml:space="preserve"> </w:t>
      </w:r>
      <w:r w:rsidRPr="0079408C">
        <w:rPr>
          <w:i/>
        </w:rPr>
        <w:t>Joslin</w:t>
      </w:r>
      <w:r w:rsidRPr="00D501B4">
        <w:t>, ¶ 8.3.</w:t>
      </w:r>
    </w:p>
  </w:footnote>
  <w:footnote w:id="178">
    <w:p w:rsidR="00B27D37" w:rsidRPr="00D501B4" w:rsidRDefault="00B27D37" w:rsidP="005928DB">
      <w:pPr>
        <w:pStyle w:val="FootnoteText"/>
      </w:pPr>
      <w:r w:rsidRPr="00D501B4">
        <w:rPr>
          <w:rStyle w:val="FootnoteReference"/>
        </w:rPr>
        <w:footnoteRef/>
      </w:r>
      <w:r w:rsidRPr="00D501B4">
        <w:t xml:space="preserve"> </w:t>
      </w:r>
      <w:r w:rsidRPr="0079408C">
        <w:rPr>
          <w:i/>
        </w:rPr>
        <w:t>Joslin</w:t>
      </w:r>
      <w:r w:rsidRPr="00D501B4">
        <w:t>, ¶ 4.5; American Convention, art. 17</w:t>
      </w:r>
      <w:r w:rsidRPr="00D501B4">
        <w:fldChar w:fldCharType="begin"/>
      </w:r>
      <w:r w:rsidRPr="00D501B4">
        <w:instrText xml:space="preserve"> TA \s "American Convention art. 17" </w:instrText>
      </w:r>
      <w:r w:rsidRPr="00D501B4">
        <w:fldChar w:fldCharType="end"/>
      </w:r>
      <w:r w:rsidRPr="00D501B4">
        <w:t>(2).</w:t>
      </w:r>
    </w:p>
  </w:footnote>
  <w:footnote w:id="179">
    <w:p w:rsidR="00B27D37" w:rsidRPr="00D501B4" w:rsidRDefault="00B27D37" w:rsidP="005928DB">
      <w:pPr>
        <w:pStyle w:val="FootnoteText"/>
        <w:rPr>
          <w:bCs/>
        </w:rPr>
      </w:pPr>
      <w:r w:rsidRPr="00D501B4">
        <w:rPr>
          <w:rStyle w:val="FootnoteReference"/>
        </w:rPr>
        <w:footnoteRef/>
      </w:r>
      <w:r w:rsidRPr="00D501B4">
        <w:t xml:space="preserve"> </w:t>
      </w:r>
      <w:r w:rsidRPr="0079408C">
        <w:rPr>
          <w:i/>
        </w:rPr>
        <w:t>Joslin</w:t>
      </w:r>
      <w:r w:rsidRPr="00D501B4">
        <w:t xml:space="preserve">, ¶ 8.2; </w:t>
      </w:r>
      <w:r w:rsidRPr="00D501B4">
        <w:rPr>
          <w:bCs/>
        </w:rPr>
        <w:t xml:space="preserve">Anna C. Forgie, </w:t>
      </w:r>
      <w:r w:rsidRPr="008F46B6">
        <w:rPr>
          <w:bCs/>
          <w:i/>
        </w:rPr>
        <w:t>El Derecho A Amar (The Right to Love): Same-Sex Relationships in Spain and El Salvador</w:t>
      </w:r>
      <w:r w:rsidRPr="00D501B4">
        <w:rPr>
          <w:bCs/>
        </w:rPr>
        <w:t>,</w:t>
      </w:r>
      <w:r w:rsidRPr="00D501B4">
        <w:t xml:space="preserve"> </w:t>
      </w:r>
      <w:r w:rsidRPr="00D501B4">
        <w:rPr>
          <w:rStyle w:val="apple-style-span"/>
        </w:rPr>
        <w:t>9 Nw. U. J. Int'l Hum. Rts. 185</w:t>
      </w:r>
      <w:r w:rsidRPr="00D501B4">
        <w:rPr>
          <w:bCs/>
        </w:rPr>
        <w:t xml:space="preserve"> (2011)</w:t>
      </w:r>
      <w:r>
        <w:rPr>
          <w:bCs/>
        </w:rPr>
        <w:fldChar w:fldCharType="begin"/>
      </w:r>
      <w:r>
        <w:instrText xml:space="preserve"> TA \l "</w:instrText>
      </w:r>
      <w:r w:rsidRPr="00BF1756">
        <w:rPr>
          <w:bCs/>
        </w:rPr>
        <w:instrText xml:space="preserve">Anna C. Forgie, </w:instrText>
      </w:r>
      <w:r w:rsidRPr="00BF1756">
        <w:rPr>
          <w:bCs/>
          <w:i/>
        </w:rPr>
        <w:instrText>El Derecho A Amar (The Right to Love): Same-Sex Relationships in Spain and El Salvador</w:instrText>
      </w:r>
      <w:r w:rsidRPr="00BF1756">
        <w:rPr>
          <w:bCs/>
        </w:rPr>
        <w:instrText>,</w:instrText>
      </w:r>
      <w:r w:rsidRPr="00BF1756">
        <w:instrText xml:space="preserve"> </w:instrText>
      </w:r>
      <w:r w:rsidRPr="00BF1756">
        <w:rPr>
          <w:rStyle w:val="apple-style-span"/>
        </w:rPr>
        <w:instrText>9 Nw. U. J. Int'l Hum. Rts. 185</w:instrText>
      </w:r>
      <w:r w:rsidRPr="00BF1756">
        <w:rPr>
          <w:bCs/>
        </w:rPr>
        <w:instrText xml:space="preserve"> (2011)</w:instrText>
      </w:r>
      <w:r>
        <w:instrText xml:space="preserve">" \s "Anna C. Forgie, El Derecho A Amar (The Right to Love): Same-Sex Relationships in Spain and El Salvador, 9 Nw. U. J. Int'l Hum. Rts. 185 (2011)" \c 14 </w:instrText>
      </w:r>
      <w:r>
        <w:rPr>
          <w:bCs/>
        </w:rPr>
        <w:fldChar w:fldCharType="end"/>
      </w:r>
      <w:r>
        <w:rPr>
          <w:bCs/>
        </w:rPr>
        <w:t>,</w:t>
      </w:r>
      <w:r w:rsidRPr="00D501B4">
        <w:t xml:space="preserve"> ¶ 14.</w:t>
      </w:r>
    </w:p>
  </w:footnote>
  <w:footnote w:id="180">
    <w:p w:rsidR="00B27D37" w:rsidRPr="00D501B4" w:rsidRDefault="00B27D37" w:rsidP="005928DB">
      <w:pPr>
        <w:pStyle w:val="FootnoteText"/>
      </w:pPr>
      <w:r w:rsidRPr="00D501B4">
        <w:rPr>
          <w:rStyle w:val="FootnoteReference"/>
        </w:rPr>
        <w:footnoteRef/>
      </w:r>
      <w:r w:rsidRPr="00D501B4">
        <w:t xml:space="preserve"> </w:t>
      </w:r>
      <w:r w:rsidRPr="0079408C">
        <w:rPr>
          <w:i/>
        </w:rPr>
        <w:t>Joslin</w:t>
      </w:r>
      <w:r>
        <w:t>,</w:t>
      </w:r>
      <w:r w:rsidRPr="00D501B4">
        <w:t xml:space="preserve"> ¶ 2.2</w:t>
      </w:r>
      <w:r>
        <w:t>.</w:t>
      </w:r>
    </w:p>
  </w:footnote>
  <w:footnote w:id="181">
    <w:p w:rsidR="00B27D37" w:rsidRDefault="00B27D37">
      <w:pPr>
        <w:pStyle w:val="FootnoteText"/>
      </w:pPr>
      <w:r>
        <w:rPr>
          <w:rStyle w:val="FootnoteReference"/>
        </w:rPr>
        <w:footnoteRef/>
      </w:r>
      <w:r>
        <w:t xml:space="preserve"> </w:t>
      </w:r>
      <w:r w:rsidRPr="0079408C">
        <w:rPr>
          <w:i/>
        </w:rPr>
        <w:t>Joslin</w:t>
      </w:r>
      <w:r>
        <w:t xml:space="preserve">, ¶¶ 4.13 &amp; </w:t>
      </w:r>
      <w:r w:rsidRPr="00FF5A92">
        <w:t>8.3.</w:t>
      </w:r>
    </w:p>
  </w:footnote>
  <w:footnote w:id="182">
    <w:p w:rsidR="00B27D37" w:rsidRPr="00D501B4" w:rsidRDefault="00B27D37" w:rsidP="005928DB">
      <w:pPr>
        <w:pStyle w:val="FootnoteText"/>
      </w:pPr>
      <w:r w:rsidRPr="00D501B4">
        <w:rPr>
          <w:rStyle w:val="FootnoteReference"/>
        </w:rPr>
        <w:footnoteRef/>
      </w:r>
      <w:r w:rsidRPr="00D501B4">
        <w:t xml:space="preserve"> </w:t>
      </w:r>
      <w:r w:rsidRPr="0079408C">
        <w:rPr>
          <w:i/>
        </w:rPr>
        <w:t>Joslin</w:t>
      </w:r>
      <w:r>
        <w:t>,</w:t>
      </w:r>
      <w:r w:rsidRPr="00D501B4">
        <w:t xml:space="preserve"> ¶ 4.12</w:t>
      </w:r>
      <w:r>
        <w:t>.</w:t>
      </w:r>
    </w:p>
  </w:footnote>
  <w:footnote w:id="183">
    <w:p w:rsidR="00B27D37" w:rsidRPr="00C94B25" w:rsidRDefault="00B27D37" w:rsidP="005928DB">
      <w:pPr>
        <w:pStyle w:val="FootnoteText"/>
      </w:pPr>
      <w:r w:rsidRPr="00D501B4">
        <w:rPr>
          <w:rStyle w:val="FootnoteReference"/>
        </w:rPr>
        <w:footnoteRef/>
      </w:r>
      <w:r w:rsidRPr="00D501B4">
        <w:t xml:space="preserve"> </w:t>
      </w:r>
      <w:r w:rsidRPr="0079408C">
        <w:rPr>
          <w:i/>
        </w:rPr>
        <w:t>Atala Riffo and Daughters</w:t>
      </w:r>
      <w:r w:rsidRPr="00D501B4">
        <w:fldChar w:fldCharType="begin"/>
      </w:r>
      <w:r w:rsidRPr="00D501B4">
        <w:instrText xml:space="preserve"> TA \s "Atala Riffo" </w:instrText>
      </w:r>
      <w:r w:rsidRPr="00D501B4">
        <w:fldChar w:fldCharType="end"/>
      </w:r>
      <w:r w:rsidRPr="00D501B4">
        <w:t>, ¶ 82</w:t>
      </w:r>
      <w:r>
        <w:t>.</w:t>
      </w:r>
    </w:p>
  </w:footnote>
  <w:footnote w:id="184">
    <w:p w:rsidR="00B27D37" w:rsidRPr="00C94B25" w:rsidRDefault="00B27D37" w:rsidP="005928DB">
      <w:pPr>
        <w:pStyle w:val="FootnoteText"/>
      </w:pPr>
      <w:r w:rsidRPr="00D501B4">
        <w:rPr>
          <w:rStyle w:val="FootnoteReference"/>
        </w:rPr>
        <w:footnoteRef/>
      </w:r>
      <w:r w:rsidRPr="00D501B4">
        <w:t xml:space="preserve"> </w:t>
      </w:r>
      <w:r w:rsidRPr="0079408C">
        <w:rPr>
          <w:i/>
        </w:rPr>
        <w:t>Atala Riffo and Daughters</w:t>
      </w:r>
      <w:r>
        <w:fldChar w:fldCharType="begin"/>
      </w:r>
      <w:r>
        <w:instrText xml:space="preserve"> TA \s "Atala Riffo" </w:instrText>
      </w:r>
      <w:r>
        <w:fldChar w:fldCharType="end"/>
      </w:r>
      <w:r w:rsidRPr="00C94B25">
        <w:t>, ¶ 82</w:t>
      </w:r>
      <w:r>
        <w:t>.</w:t>
      </w:r>
    </w:p>
  </w:footnote>
  <w:footnote w:id="185">
    <w:p w:rsidR="00B27D37" w:rsidRPr="00C94B25" w:rsidRDefault="00B27D37" w:rsidP="005928DB">
      <w:pPr>
        <w:pStyle w:val="FootnoteText"/>
      </w:pPr>
      <w:r w:rsidRPr="00C94B25">
        <w:rPr>
          <w:rStyle w:val="FootnoteReference"/>
        </w:rPr>
        <w:footnoteRef/>
      </w:r>
      <w:r w:rsidRPr="00C94B25">
        <w:t xml:space="preserve"> </w:t>
      </w:r>
      <w:r w:rsidRPr="00D501B4">
        <w:t>Fellmeth, 50 Wm. &amp; Mary L. Rev 797</w:t>
      </w:r>
      <w:r>
        <w:fldChar w:fldCharType="begin"/>
      </w:r>
      <w:r>
        <w:instrText xml:space="preserve"> TA \l "</w:instrText>
      </w:r>
      <w:r w:rsidRPr="00080D1A">
        <w:instrText xml:space="preserve">Aaron Xavier Fellmeth, </w:instrText>
      </w:r>
      <w:r w:rsidRPr="00080D1A">
        <w:rPr>
          <w:i/>
        </w:rPr>
        <w:instrText>State Regulation of Sexuality in International Human Rights Law and Theory</w:instrText>
      </w:r>
      <w:r w:rsidRPr="00080D1A">
        <w:instrText>, 50 Wm. &amp; Mary L. Rev 797 (2008).</w:instrText>
      </w:r>
      <w:r>
        <w:instrText xml:space="preserve">" \s "Aaron Xavier Fellmeth, State Regulation of Sexuality in International Human Rights Law and Theory, 50 Wm. &amp; Mary L. Rev 797" \c 14 </w:instrText>
      </w:r>
      <w:r>
        <w:fldChar w:fldCharType="end"/>
      </w:r>
      <w:r>
        <w:t>, 851.</w:t>
      </w:r>
    </w:p>
  </w:footnote>
  <w:footnote w:id="186">
    <w:p w:rsidR="00B27D37" w:rsidRPr="00D501B4" w:rsidRDefault="00B27D37" w:rsidP="005928DB">
      <w:pPr>
        <w:pStyle w:val="FootnoteText"/>
      </w:pPr>
      <w:r w:rsidRPr="00D501B4">
        <w:rPr>
          <w:rStyle w:val="FootnoteReference"/>
        </w:rPr>
        <w:footnoteRef/>
      </w:r>
      <w:r w:rsidRPr="00D501B4">
        <w:t xml:space="preserve"> </w:t>
      </w:r>
      <w:r w:rsidRPr="00D501B4">
        <w:rPr>
          <w:i/>
        </w:rPr>
        <w:t>Case of Christine Goodwin v. United Kingdom</w:t>
      </w:r>
      <w:r w:rsidRPr="00D501B4">
        <w:t>, App. No. 28957/95, Judgment (11 July, 2002)</w:t>
      </w:r>
      <w:r w:rsidRPr="00D501B4">
        <w:fldChar w:fldCharType="begin"/>
      </w:r>
      <w:r w:rsidRPr="00D501B4">
        <w:instrText xml:space="preserve"> TA \l "</w:instrText>
      </w:r>
      <w:r w:rsidRPr="00D501B4">
        <w:rPr>
          <w:i/>
        </w:rPr>
        <w:instrText>Case of Christine Goodwin v. United Kingdom</w:instrText>
      </w:r>
      <w:r w:rsidRPr="00D501B4">
        <w:instrText xml:space="preserve"> (Judgment)</w:instrText>
      </w:r>
      <w:r w:rsidRPr="00D501B4">
        <w:br/>
        <w:instrText xml:space="preserve">App. No. 28957/95, (11 July, 2002)" \s "Case of Christine Goodwin v. United Kingdom, App. No. 28957/95, Judgment (11 July, 2002)" \c 6 </w:instrText>
      </w:r>
      <w:r w:rsidRPr="00D501B4">
        <w:fldChar w:fldCharType="end"/>
      </w:r>
      <w:r w:rsidRPr="00D501B4">
        <w:t>, ¶ 101.</w:t>
      </w:r>
    </w:p>
  </w:footnote>
  <w:footnote w:id="187">
    <w:p w:rsidR="00B27D37" w:rsidRPr="00D501B4" w:rsidRDefault="00B27D37" w:rsidP="005928DB">
      <w:pPr>
        <w:pStyle w:val="FootnoteText"/>
      </w:pPr>
      <w:r w:rsidRPr="00D501B4">
        <w:rPr>
          <w:rStyle w:val="FootnoteReference"/>
        </w:rPr>
        <w:footnoteRef/>
      </w:r>
      <w:r w:rsidRPr="00D501B4">
        <w:t xml:space="preserve"> Fellmeth, 50 Wm. &amp; Mary L. Rev 797</w:t>
      </w:r>
      <w:r>
        <w:fldChar w:fldCharType="begin"/>
      </w:r>
      <w:r>
        <w:instrText xml:space="preserve"> TA \l "</w:instrText>
      </w:r>
      <w:r w:rsidRPr="00080D1A">
        <w:instrText xml:space="preserve">Aaron Xavier Fellmeth, </w:instrText>
      </w:r>
      <w:r w:rsidRPr="00080D1A">
        <w:rPr>
          <w:i/>
        </w:rPr>
        <w:instrText>State Regulation of Sexuality in International Human Rights Law and Theory</w:instrText>
      </w:r>
      <w:r w:rsidRPr="00080D1A">
        <w:instrText>, 50 Wm. &amp; Mary L. Rev 797 (2008).</w:instrText>
      </w:r>
      <w:r>
        <w:instrText xml:space="preserve">" \s "Aaron Xavier Fellmeth, State Regulation of Sexuality in International Human Rights Law and Theory, 50 Wm. &amp; Mary L. Rev 797" \c 14 </w:instrText>
      </w:r>
      <w:r>
        <w:fldChar w:fldCharType="end"/>
      </w:r>
      <w:r>
        <w:t>, 852</w:t>
      </w:r>
      <w:r w:rsidRPr="00D501B4">
        <w:t>.</w:t>
      </w:r>
    </w:p>
  </w:footnote>
  <w:footnote w:id="188">
    <w:p w:rsidR="00B27D37" w:rsidRPr="00D501B4" w:rsidRDefault="00B27D37" w:rsidP="005928DB">
      <w:pPr>
        <w:pStyle w:val="FootnoteText"/>
      </w:pPr>
      <w:r w:rsidRPr="00D501B4">
        <w:rPr>
          <w:rStyle w:val="FootnoteReference"/>
        </w:rPr>
        <w:footnoteRef/>
      </w:r>
      <w:r w:rsidRPr="00D501B4">
        <w:t xml:space="preserve"> Hypo ¶ 15.</w:t>
      </w:r>
    </w:p>
  </w:footnote>
  <w:footnote w:id="189">
    <w:p w:rsidR="00B27D37" w:rsidRPr="00C94B25" w:rsidRDefault="00B27D37" w:rsidP="005928DB">
      <w:pPr>
        <w:pStyle w:val="FootnoteText"/>
      </w:pPr>
      <w:r w:rsidRPr="00D501B4">
        <w:rPr>
          <w:rStyle w:val="FootnoteReference"/>
        </w:rPr>
        <w:footnoteRef/>
      </w:r>
      <w:r w:rsidRPr="00D501B4">
        <w:t xml:space="preserve"> </w:t>
      </w:r>
      <w:r w:rsidRPr="00667F6A">
        <w:rPr>
          <w:i/>
        </w:rPr>
        <w:t>Joslin</w:t>
      </w:r>
      <w:r w:rsidRPr="00C94B25">
        <w:fldChar w:fldCharType="begin"/>
      </w:r>
      <w:r w:rsidRPr="00C94B25">
        <w:instrText xml:space="preserve"> TA \s "Joslin v. New Zealand" </w:instrText>
      </w:r>
      <w:r w:rsidRPr="00C94B25">
        <w:fldChar w:fldCharType="end"/>
      </w:r>
      <w:r w:rsidRPr="00C94B25">
        <w:t>, ¶ 2.2; Hypo ¶ 45.</w:t>
      </w:r>
    </w:p>
  </w:footnote>
  <w:footnote w:id="190">
    <w:p w:rsidR="00B27D37" w:rsidRPr="00C94B25" w:rsidRDefault="00B27D37" w:rsidP="005928DB">
      <w:pPr>
        <w:pStyle w:val="FootnoteText"/>
      </w:pPr>
      <w:r w:rsidRPr="00C94B25">
        <w:rPr>
          <w:rStyle w:val="FootnoteReference"/>
        </w:rPr>
        <w:footnoteRef/>
      </w:r>
      <w:r w:rsidRPr="00C94B25">
        <w:t xml:space="preserve"> American Convention art. 1</w:t>
      </w:r>
      <w:r>
        <w:fldChar w:fldCharType="begin"/>
      </w:r>
      <w:r>
        <w:instrText xml:space="preserve"> TA \l "</w:instrText>
      </w:r>
      <w:r w:rsidRPr="00FE010E">
        <w:instrText>Article 1</w:instrText>
      </w:r>
      <w:r>
        <w:instrText xml:space="preserve">" \s "American Convention art. 1" \c 8 </w:instrText>
      </w:r>
      <w:r>
        <w:fldChar w:fldCharType="end"/>
      </w:r>
      <w:r w:rsidRPr="00C94B25">
        <w:t xml:space="preserve"> &amp; 2</w:t>
      </w:r>
      <w:r>
        <w:fldChar w:fldCharType="begin"/>
      </w:r>
      <w:r>
        <w:instrText xml:space="preserve"> TA \l "</w:instrText>
      </w:r>
      <w:r w:rsidRPr="00FE010E">
        <w:instrText>Article 2</w:instrText>
      </w:r>
      <w:r>
        <w:instrText xml:space="preserve">" \s "2" \c 8 </w:instrText>
      </w:r>
      <w:r>
        <w:fldChar w:fldCharType="end"/>
      </w:r>
      <w:r w:rsidRPr="00C94B25">
        <w:t>.</w:t>
      </w:r>
    </w:p>
  </w:footnote>
  <w:footnote w:id="191">
    <w:p w:rsidR="00B27D37" w:rsidRPr="00C94B25" w:rsidRDefault="00B27D37" w:rsidP="005928DB">
      <w:pPr>
        <w:pStyle w:val="FootnoteText"/>
      </w:pPr>
      <w:r w:rsidRPr="00C94B25">
        <w:rPr>
          <w:rStyle w:val="FootnoteReference"/>
        </w:rPr>
        <w:footnoteRef/>
      </w:r>
      <w:r w:rsidRPr="00C94B25">
        <w:t xml:space="preserve"> Hypo ¶ 37.</w:t>
      </w:r>
    </w:p>
  </w:footnote>
  <w:footnote w:id="192">
    <w:p w:rsidR="00B27D37" w:rsidRPr="00C94B25" w:rsidRDefault="00B27D37" w:rsidP="005928DB">
      <w:pPr>
        <w:pStyle w:val="FootnoteText"/>
      </w:pPr>
      <w:r w:rsidRPr="00C94B25">
        <w:rPr>
          <w:rStyle w:val="FootnoteReference"/>
        </w:rPr>
        <w:footnoteRef/>
      </w:r>
      <w:r w:rsidRPr="00C94B25">
        <w:t xml:space="preserve"> Hypo ¶ 17.</w:t>
      </w:r>
    </w:p>
  </w:footnote>
  <w:footnote w:id="193">
    <w:p w:rsidR="00B27D37" w:rsidRPr="00C94B25" w:rsidRDefault="00B27D37" w:rsidP="005928DB">
      <w:pPr>
        <w:pStyle w:val="FootnoteText"/>
      </w:pPr>
      <w:r w:rsidRPr="00C94B25">
        <w:rPr>
          <w:rStyle w:val="FootnoteReference"/>
        </w:rPr>
        <w:footnoteRef/>
      </w:r>
      <w:r w:rsidRPr="00C94B25">
        <w:t xml:space="preserve"> American Convention art. 24</w:t>
      </w:r>
      <w:r>
        <w:fldChar w:fldCharType="begin"/>
      </w:r>
      <w:r>
        <w:instrText xml:space="preserve"> TA \s "24" </w:instrText>
      </w:r>
      <w:r>
        <w:fldChar w:fldCharType="end"/>
      </w:r>
      <w:r w:rsidRPr="00C94B25">
        <w:t>.</w:t>
      </w:r>
    </w:p>
  </w:footnote>
  <w:footnote w:id="194">
    <w:p w:rsidR="00B27D37" w:rsidRPr="00C94B25" w:rsidRDefault="00B27D37" w:rsidP="005928DB">
      <w:pPr>
        <w:pStyle w:val="FootnoteText"/>
      </w:pPr>
      <w:r w:rsidRPr="00C94B25">
        <w:rPr>
          <w:rStyle w:val="FootnoteReference"/>
        </w:rPr>
        <w:footnoteRef/>
      </w:r>
      <w:r w:rsidRPr="00C94B25">
        <w:t xml:space="preserve"> American Convention art. 63</w:t>
      </w:r>
      <w:r>
        <w:fldChar w:fldCharType="begin"/>
      </w:r>
      <w:r>
        <w:instrText xml:space="preserve"> TA \l "</w:instrText>
      </w:r>
      <w:r w:rsidRPr="00FE010E">
        <w:instrText>Article 63</w:instrText>
      </w:r>
      <w:r>
        <w:instrText xml:space="preserve">" \s "American Convention art. 63" \c 8 </w:instrText>
      </w:r>
      <w:r>
        <w:fldChar w:fldCharType="end"/>
      </w:r>
      <w:r w:rsidRPr="00C94B25">
        <w:t>(2).</w:t>
      </w:r>
    </w:p>
  </w:footnote>
  <w:footnote w:id="195">
    <w:p w:rsidR="00B27D37" w:rsidRPr="00C94B25" w:rsidRDefault="00B27D37" w:rsidP="005928DB">
      <w:pPr>
        <w:pStyle w:val="FootnoteText"/>
      </w:pPr>
      <w:r w:rsidRPr="00C94B25">
        <w:rPr>
          <w:rStyle w:val="FootnoteReference"/>
        </w:rPr>
        <w:footnoteRef/>
      </w:r>
      <w:r>
        <w:t xml:space="preserve"> </w:t>
      </w:r>
      <w:r w:rsidRPr="00C94B25">
        <w:t xml:space="preserve">Burgorgue-Larson </w:t>
      </w:r>
      <w:r>
        <w:t xml:space="preserve">&amp; </w:t>
      </w:r>
      <w:r w:rsidRPr="00C94B25">
        <w:t xml:space="preserve">Úbeda de Torres, </w:t>
      </w:r>
      <w:r>
        <w:t>206, ¶ 9.22</w:t>
      </w:r>
      <w:r w:rsidRPr="00C94B25">
        <w:t>.</w:t>
      </w:r>
    </w:p>
  </w:footnote>
  <w:footnote w:id="196">
    <w:p w:rsidR="00B27D37" w:rsidRPr="00C94B25" w:rsidRDefault="00B27D37" w:rsidP="005928DB">
      <w:pPr>
        <w:pStyle w:val="FootnoteText"/>
      </w:pPr>
      <w:r w:rsidRPr="00C94B25">
        <w:rPr>
          <w:rStyle w:val="FootnoteReference"/>
        </w:rPr>
        <w:footnoteRef/>
      </w:r>
      <w:r>
        <w:t xml:space="preserve"> </w:t>
      </w:r>
      <w:r w:rsidRPr="00C94B25">
        <w:t xml:space="preserve">Burgorgue-Larson </w:t>
      </w:r>
      <w:r>
        <w:t xml:space="preserve">&amp; </w:t>
      </w:r>
      <w:r w:rsidRPr="00C94B25">
        <w:t xml:space="preserve">Úbeda de Torres, </w:t>
      </w:r>
      <w:r>
        <w:t>206, ¶ 9.22</w:t>
      </w:r>
      <w:r w:rsidRPr="00C94B25">
        <w:t>.</w:t>
      </w:r>
    </w:p>
  </w:footnote>
  <w:footnote w:id="197">
    <w:p w:rsidR="00B27D37" w:rsidRPr="00C94B25" w:rsidRDefault="00B27D37" w:rsidP="005928DB">
      <w:pPr>
        <w:pStyle w:val="FootnoteText"/>
      </w:pPr>
      <w:r w:rsidRPr="00C94B25">
        <w:rPr>
          <w:rStyle w:val="FootnoteReference"/>
        </w:rPr>
        <w:footnoteRef/>
      </w:r>
      <w:r>
        <w:t xml:space="preserve"> </w:t>
      </w:r>
      <w:r w:rsidRPr="00C94B25">
        <w:t xml:space="preserve">Burgorgue-Larson </w:t>
      </w:r>
      <w:r>
        <w:t xml:space="preserve">&amp; </w:t>
      </w:r>
      <w:r w:rsidRPr="00C94B25">
        <w:t xml:space="preserve">Úbeda de Torres, </w:t>
      </w:r>
      <w:r>
        <w:t xml:space="preserve">206, ¶ 9.23 (citing the </w:t>
      </w:r>
      <w:r w:rsidRPr="008E2C1D">
        <w:rPr>
          <w:i/>
        </w:rPr>
        <w:t>Acevedo Jaramillo</w:t>
      </w:r>
      <w:r>
        <w:t xml:space="preserve"> petition)</w:t>
      </w:r>
      <w:r w:rsidRPr="00C94B25">
        <w:t>.</w:t>
      </w:r>
    </w:p>
  </w:footnote>
  <w:footnote w:id="198">
    <w:p w:rsidR="00B27D37" w:rsidRPr="00C94B25" w:rsidRDefault="00B27D37" w:rsidP="00AB2980">
      <w:pPr>
        <w:pStyle w:val="FootnoteText"/>
      </w:pPr>
      <w:r w:rsidRPr="00C94B25">
        <w:rPr>
          <w:rStyle w:val="FootnoteReference"/>
        </w:rPr>
        <w:footnoteRef/>
      </w:r>
      <w:r w:rsidRPr="00C94B25">
        <w:t xml:space="preserve"> Burgorgue-Larson </w:t>
      </w:r>
      <w:r>
        <w:t xml:space="preserve">&amp; </w:t>
      </w:r>
      <w:r w:rsidRPr="00C94B25">
        <w:t xml:space="preserve">Úbeda de Torres, </w:t>
      </w:r>
      <w:r>
        <w:t>206, ¶ 9.23</w:t>
      </w:r>
      <w:r w:rsidRPr="00C94B25">
        <w:t>.</w:t>
      </w:r>
    </w:p>
  </w:footnote>
  <w:footnote w:id="199">
    <w:p w:rsidR="00B27D37" w:rsidRPr="00C94B25" w:rsidRDefault="00B27D37" w:rsidP="005928DB">
      <w:pPr>
        <w:pStyle w:val="FootnoteText"/>
      </w:pPr>
      <w:r w:rsidRPr="005928DB">
        <w:rPr>
          <w:rStyle w:val="FootnoteReference"/>
        </w:rPr>
        <w:footnoteRef/>
      </w:r>
      <w:r>
        <w:t xml:space="preserve"> </w:t>
      </w:r>
      <w:r w:rsidRPr="005928DB">
        <w:t xml:space="preserve">Burgorgue-Larson </w:t>
      </w:r>
      <w:r>
        <w:t xml:space="preserve">&amp; </w:t>
      </w:r>
      <w:r w:rsidRPr="005928DB">
        <w:t>Úbeda de Torres, 206, ¶ 9.23</w:t>
      </w:r>
      <w:r>
        <w:t xml:space="preserve"> (citing the </w:t>
      </w:r>
      <w:r w:rsidRPr="008E2C1D">
        <w:rPr>
          <w:i/>
        </w:rPr>
        <w:t>Acevedo Jaramillo</w:t>
      </w:r>
      <w:r>
        <w:t xml:space="preserve"> petition).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DB" w:rsidRDefault="00231A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37" w:rsidRPr="00EA4F73" w:rsidRDefault="00B27D37" w:rsidP="00EA4F73">
    <w:pPr>
      <w:pStyle w:val="Header"/>
      <w:ind w:left="3240" w:firstLine="4680"/>
      <w:rPr>
        <w:rFonts w:ascii="Times New Roman" w:hAnsi="Times New Roman" w:cs="Times New Roman"/>
        <w:sz w:val="24"/>
        <w:szCs w:val="24"/>
      </w:rPr>
    </w:pPr>
    <w:r w:rsidRPr="00EA4F73">
      <w:rPr>
        <w:rFonts w:ascii="Times New Roman" w:hAnsi="Times New Roman" w:cs="Times New Roman"/>
        <w:sz w:val="24"/>
        <w:szCs w:val="24"/>
      </w:rPr>
      <w:t>Team #209</w:t>
    </w:r>
  </w:p>
  <w:p w:rsidR="00B27D37" w:rsidRDefault="00B2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DB" w:rsidRDefault="00231A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69A7"/>
    <w:multiLevelType w:val="hybridMultilevel"/>
    <w:tmpl w:val="D43C81B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826AF9"/>
    <w:multiLevelType w:val="hybridMultilevel"/>
    <w:tmpl w:val="468CC448"/>
    <w:lvl w:ilvl="0" w:tplc="04090013">
      <w:start w:val="1"/>
      <w:numFmt w:val="upperRoman"/>
      <w:lvlText w:val="%1."/>
      <w:lvlJc w:val="right"/>
      <w:pPr>
        <w:ind w:left="2160" w:hanging="360"/>
      </w:pPr>
    </w:lvl>
    <w:lvl w:ilvl="1" w:tplc="F198EC88">
      <w:start w:val="1"/>
      <w:numFmt w:val="upp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6D6D61"/>
    <w:multiLevelType w:val="hybridMultilevel"/>
    <w:tmpl w:val="1E1C923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54BE8"/>
    <w:multiLevelType w:val="hybridMultilevel"/>
    <w:tmpl w:val="E77C14EC"/>
    <w:lvl w:ilvl="0" w:tplc="E0BC47C2">
      <w:start w:val="1"/>
      <w:numFmt w:val="decimal"/>
      <w:lvlText w:val="%1."/>
      <w:lvlJc w:val="left"/>
      <w:pPr>
        <w:ind w:left="1260" w:hanging="360"/>
      </w:pPr>
      <w:rPr>
        <w:rFonts w:ascii="Times New Roman" w:eastAsiaTheme="minorHAnsi" w:hAnsi="Times New Roman" w:cs="Times New Roman" w:hint="default"/>
        <w:color w:val="auto"/>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8F0498A"/>
    <w:multiLevelType w:val="hybridMultilevel"/>
    <w:tmpl w:val="BF465FB4"/>
    <w:lvl w:ilvl="0" w:tplc="FC004F6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094643"/>
    <w:multiLevelType w:val="hybridMultilevel"/>
    <w:tmpl w:val="7276BD42"/>
    <w:lvl w:ilvl="0" w:tplc="70ECA52C">
      <w:start w:val="1"/>
      <w:numFmt w:val="upp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597E69"/>
    <w:multiLevelType w:val="hybridMultilevel"/>
    <w:tmpl w:val="30B0526A"/>
    <w:lvl w:ilvl="0" w:tplc="E402DC5E">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52D2F"/>
    <w:multiLevelType w:val="hybridMultilevel"/>
    <w:tmpl w:val="CA2E0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02233"/>
    <w:multiLevelType w:val="hybridMultilevel"/>
    <w:tmpl w:val="71BA7A0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278E2"/>
    <w:multiLevelType w:val="hybridMultilevel"/>
    <w:tmpl w:val="6D88779E"/>
    <w:lvl w:ilvl="0" w:tplc="70F6101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C42CF"/>
    <w:multiLevelType w:val="hybridMultilevel"/>
    <w:tmpl w:val="1DFCD60A"/>
    <w:lvl w:ilvl="0" w:tplc="E6F041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B3026"/>
    <w:multiLevelType w:val="hybridMultilevel"/>
    <w:tmpl w:val="D6AE8C76"/>
    <w:lvl w:ilvl="0" w:tplc="E402DC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D42BD"/>
    <w:multiLevelType w:val="hybridMultilevel"/>
    <w:tmpl w:val="3710C992"/>
    <w:lvl w:ilvl="0" w:tplc="7B6080E2">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114C8F"/>
    <w:multiLevelType w:val="hybridMultilevel"/>
    <w:tmpl w:val="DF72DA3C"/>
    <w:lvl w:ilvl="0" w:tplc="B72C91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986158"/>
    <w:multiLevelType w:val="hybridMultilevel"/>
    <w:tmpl w:val="61C2A332"/>
    <w:lvl w:ilvl="0" w:tplc="6748BDB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A62EC4"/>
    <w:multiLevelType w:val="hybridMultilevel"/>
    <w:tmpl w:val="22465F5E"/>
    <w:lvl w:ilvl="0" w:tplc="04090015">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5"/>
  </w:num>
  <w:num w:numId="3">
    <w:abstractNumId w:val="1"/>
  </w:num>
  <w:num w:numId="4">
    <w:abstractNumId w:val="4"/>
  </w:num>
  <w:num w:numId="5">
    <w:abstractNumId w:val="8"/>
  </w:num>
  <w:num w:numId="6">
    <w:abstractNumId w:val="2"/>
  </w:num>
  <w:num w:numId="7">
    <w:abstractNumId w:val="12"/>
  </w:num>
  <w:num w:numId="8">
    <w:abstractNumId w:val="5"/>
  </w:num>
  <w:num w:numId="9">
    <w:abstractNumId w:val="0"/>
  </w:num>
  <w:num w:numId="10">
    <w:abstractNumId w:val="11"/>
  </w:num>
  <w:num w:numId="11">
    <w:abstractNumId w:val="9"/>
  </w:num>
  <w:num w:numId="12">
    <w:abstractNumId w:val="13"/>
  </w:num>
  <w:num w:numId="13">
    <w:abstractNumId w:val="7"/>
  </w:num>
  <w:num w:numId="14">
    <w:abstractNumId w:val="14"/>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4E7"/>
    <w:rsid w:val="00006D65"/>
    <w:rsid w:val="00007B0B"/>
    <w:rsid w:val="00015DFB"/>
    <w:rsid w:val="00015FB4"/>
    <w:rsid w:val="00096090"/>
    <w:rsid w:val="000960CD"/>
    <w:rsid w:val="000D1014"/>
    <w:rsid w:val="000E71F3"/>
    <w:rsid w:val="000F0BD5"/>
    <w:rsid w:val="000F2775"/>
    <w:rsid w:val="00107181"/>
    <w:rsid w:val="001101A7"/>
    <w:rsid w:val="00113EC1"/>
    <w:rsid w:val="00131828"/>
    <w:rsid w:val="001643E9"/>
    <w:rsid w:val="00166F74"/>
    <w:rsid w:val="00175106"/>
    <w:rsid w:val="00175E03"/>
    <w:rsid w:val="001A512B"/>
    <w:rsid w:val="001B2737"/>
    <w:rsid w:val="001C36E8"/>
    <w:rsid w:val="001D778C"/>
    <w:rsid w:val="001F1F24"/>
    <w:rsid w:val="00210D3C"/>
    <w:rsid w:val="00210F9A"/>
    <w:rsid w:val="00231ADB"/>
    <w:rsid w:val="00254B14"/>
    <w:rsid w:val="00265244"/>
    <w:rsid w:val="00276FD2"/>
    <w:rsid w:val="00283209"/>
    <w:rsid w:val="00286F8E"/>
    <w:rsid w:val="002A0C2B"/>
    <w:rsid w:val="002A26A1"/>
    <w:rsid w:val="002F5449"/>
    <w:rsid w:val="002F68CA"/>
    <w:rsid w:val="00300A59"/>
    <w:rsid w:val="00373F1E"/>
    <w:rsid w:val="00391EA8"/>
    <w:rsid w:val="0039203A"/>
    <w:rsid w:val="003B64FB"/>
    <w:rsid w:val="003B6FDD"/>
    <w:rsid w:val="003C1F2F"/>
    <w:rsid w:val="003D1F38"/>
    <w:rsid w:val="00400655"/>
    <w:rsid w:val="00404E23"/>
    <w:rsid w:val="00422E7E"/>
    <w:rsid w:val="004325AB"/>
    <w:rsid w:val="00444CA0"/>
    <w:rsid w:val="00473CED"/>
    <w:rsid w:val="004908B8"/>
    <w:rsid w:val="00491B2A"/>
    <w:rsid w:val="004B5ECF"/>
    <w:rsid w:val="004B76FF"/>
    <w:rsid w:val="004C07B6"/>
    <w:rsid w:val="004C3EFD"/>
    <w:rsid w:val="004E2F52"/>
    <w:rsid w:val="004E57C2"/>
    <w:rsid w:val="004F1E44"/>
    <w:rsid w:val="004F2587"/>
    <w:rsid w:val="00522E07"/>
    <w:rsid w:val="00530B49"/>
    <w:rsid w:val="005375E4"/>
    <w:rsid w:val="005574B0"/>
    <w:rsid w:val="0055767D"/>
    <w:rsid w:val="00567126"/>
    <w:rsid w:val="0057192B"/>
    <w:rsid w:val="005928DB"/>
    <w:rsid w:val="00593A77"/>
    <w:rsid w:val="005D29C0"/>
    <w:rsid w:val="00617270"/>
    <w:rsid w:val="0061787D"/>
    <w:rsid w:val="00627F3B"/>
    <w:rsid w:val="0063065D"/>
    <w:rsid w:val="006558BD"/>
    <w:rsid w:val="00667F6A"/>
    <w:rsid w:val="00672398"/>
    <w:rsid w:val="00681316"/>
    <w:rsid w:val="006B245E"/>
    <w:rsid w:val="00704614"/>
    <w:rsid w:val="00706568"/>
    <w:rsid w:val="0071238D"/>
    <w:rsid w:val="007430C8"/>
    <w:rsid w:val="007659D6"/>
    <w:rsid w:val="00767AB7"/>
    <w:rsid w:val="007857CF"/>
    <w:rsid w:val="0079408C"/>
    <w:rsid w:val="007B0537"/>
    <w:rsid w:val="007C0F8F"/>
    <w:rsid w:val="007D7629"/>
    <w:rsid w:val="007D78D6"/>
    <w:rsid w:val="007E73FD"/>
    <w:rsid w:val="007E7B0E"/>
    <w:rsid w:val="007F1083"/>
    <w:rsid w:val="007F206B"/>
    <w:rsid w:val="007F7E9A"/>
    <w:rsid w:val="008006CD"/>
    <w:rsid w:val="00803C24"/>
    <w:rsid w:val="008048DC"/>
    <w:rsid w:val="00805CDB"/>
    <w:rsid w:val="00814FA9"/>
    <w:rsid w:val="00827CB3"/>
    <w:rsid w:val="00834185"/>
    <w:rsid w:val="00886043"/>
    <w:rsid w:val="008A5F31"/>
    <w:rsid w:val="008B06D9"/>
    <w:rsid w:val="008B4E7F"/>
    <w:rsid w:val="008B6A40"/>
    <w:rsid w:val="008C083A"/>
    <w:rsid w:val="008D1CC1"/>
    <w:rsid w:val="008E2C1D"/>
    <w:rsid w:val="008F46B6"/>
    <w:rsid w:val="008F5BBD"/>
    <w:rsid w:val="008F7CF4"/>
    <w:rsid w:val="00927733"/>
    <w:rsid w:val="009518A3"/>
    <w:rsid w:val="0095253B"/>
    <w:rsid w:val="00957133"/>
    <w:rsid w:val="00985610"/>
    <w:rsid w:val="00990508"/>
    <w:rsid w:val="00990BA6"/>
    <w:rsid w:val="00992A04"/>
    <w:rsid w:val="009A3404"/>
    <w:rsid w:val="009C6A08"/>
    <w:rsid w:val="009D6BCF"/>
    <w:rsid w:val="00A13BCA"/>
    <w:rsid w:val="00A219A6"/>
    <w:rsid w:val="00A42E7F"/>
    <w:rsid w:val="00A55790"/>
    <w:rsid w:val="00A6486D"/>
    <w:rsid w:val="00A7760B"/>
    <w:rsid w:val="00A82A65"/>
    <w:rsid w:val="00A86BD3"/>
    <w:rsid w:val="00A96A7A"/>
    <w:rsid w:val="00A974E0"/>
    <w:rsid w:val="00AB2980"/>
    <w:rsid w:val="00AD1E63"/>
    <w:rsid w:val="00AE1663"/>
    <w:rsid w:val="00AF5283"/>
    <w:rsid w:val="00AF7472"/>
    <w:rsid w:val="00B11CDC"/>
    <w:rsid w:val="00B25072"/>
    <w:rsid w:val="00B27D37"/>
    <w:rsid w:val="00B317F8"/>
    <w:rsid w:val="00B35591"/>
    <w:rsid w:val="00B42453"/>
    <w:rsid w:val="00B60E93"/>
    <w:rsid w:val="00B65CCF"/>
    <w:rsid w:val="00B805F5"/>
    <w:rsid w:val="00B943EA"/>
    <w:rsid w:val="00BA679C"/>
    <w:rsid w:val="00BC0784"/>
    <w:rsid w:val="00BD0CAA"/>
    <w:rsid w:val="00BE03F5"/>
    <w:rsid w:val="00C07ADB"/>
    <w:rsid w:val="00C22DAD"/>
    <w:rsid w:val="00C31F2C"/>
    <w:rsid w:val="00C450B8"/>
    <w:rsid w:val="00C51C93"/>
    <w:rsid w:val="00C7535B"/>
    <w:rsid w:val="00C85A1F"/>
    <w:rsid w:val="00C94B25"/>
    <w:rsid w:val="00C95F47"/>
    <w:rsid w:val="00CA65A0"/>
    <w:rsid w:val="00CC7A06"/>
    <w:rsid w:val="00CD68F5"/>
    <w:rsid w:val="00CE0D4F"/>
    <w:rsid w:val="00D054ED"/>
    <w:rsid w:val="00D448D4"/>
    <w:rsid w:val="00D501B4"/>
    <w:rsid w:val="00D86FC6"/>
    <w:rsid w:val="00D93A87"/>
    <w:rsid w:val="00D9575A"/>
    <w:rsid w:val="00DA65BB"/>
    <w:rsid w:val="00DB41F1"/>
    <w:rsid w:val="00DB7972"/>
    <w:rsid w:val="00DC5E3A"/>
    <w:rsid w:val="00DC6C97"/>
    <w:rsid w:val="00DF3539"/>
    <w:rsid w:val="00E0555B"/>
    <w:rsid w:val="00E06053"/>
    <w:rsid w:val="00E14C9B"/>
    <w:rsid w:val="00E15F6F"/>
    <w:rsid w:val="00E206E7"/>
    <w:rsid w:val="00E278CF"/>
    <w:rsid w:val="00E37540"/>
    <w:rsid w:val="00E84039"/>
    <w:rsid w:val="00E8771D"/>
    <w:rsid w:val="00E96927"/>
    <w:rsid w:val="00EA127F"/>
    <w:rsid w:val="00EA4F73"/>
    <w:rsid w:val="00ED4BEE"/>
    <w:rsid w:val="00EF4AB3"/>
    <w:rsid w:val="00F20F6F"/>
    <w:rsid w:val="00F21CA1"/>
    <w:rsid w:val="00F816DE"/>
    <w:rsid w:val="00FA44E7"/>
    <w:rsid w:val="00FB5417"/>
    <w:rsid w:val="00FC1B47"/>
    <w:rsid w:val="00FF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03A"/>
  </w:style>
  <w:style w:type="paragraph" w:styleId="Heading1">
    <w:name w:val="heading 1"/>
    <w:basedOn w:val="Normal"/>
    <w:next w:val="Normal"/>
    <w:link w:val="Heading1Char"/>
    <w:uiPriority w:val="9"/>
    <w:qFormat/>
    <w:rsid w:val="00392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2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20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9203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9203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9203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920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203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920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5928DB"/>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5928D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44E7"/>
    <w:rPr>
      <w:vertAlign w:val="superscript"/>
    </w:rPr>
  </w:style>
  <w:style w:type="character" w:styleId="CommentReference">
    <w:name w:val="annotation reference"/>
    <w:basedOn w:val="DefaultParagraphFont"/>
    <w:uiPriority w:val="99"/>
    <w:semiHidden/>
    <w:unhideWhenUsed/>
    <w:rsid w:val="00FA44E7"/>
    <w:rPr>
      <w:sz w:val="16"/>
      <w:szCs w:val="16"/>
    </w:rPr>
  </w:style>
  <w:style w:type="paragraph" w:styleId="CommentText">
    <w:name w:val="annotation text"/>
    <w:basedOn w:val="Normal"/>
    <w:link w:val="CommentTextChar"/>
    <w:uiPriority w:val="99"/>
    <w:unhideWhenUsed/>
    <w:rsid w:val="00FA44E7"/>
    <w:pPr>
      <w:spacing w:line="240" w:lineRule="auto"/>
    </w:pPr>
    <w:rPr>
      <w:sz w:val="20"/>
      <w:szCs w:val="20"/>
    </w:rPr>
  </w:style>
  <w:style w:type="character" w:customStyle="1" w:styleId="CommentTextChar">
    <w:name w:val="Comment Text Char"/>
    <w:basedOn w:val="DefaultParagraphFont"/>
    <w:link w:val="CommentText"/>
    <w:uiPriority w:val="99"/>
    <w:rsid w:val="00FA44E7"/>
    <w:rPr>
      <w:sz w:val="20"/>
      <w:szCs w:val="20"/>
    </w:rPr>
  </w:style>
  <w:style w:type="paragraph" w:styleId="ListParagraph">
    <w:name w:val="List Paragraph"/>
    <w:basedOn w:val="Normal"/>
    <w:uiPriority w:val="34"/>
    <w:qFormat/>
    <w:rsid w:val="0039203A"/>
    <w:pPr>
      <w:ind w:left="720"/>
      <w:contextualSpacing/>
    </w:pPr>
  </w:style>
  <w:style w:type="paragraph" w:styleId="BalloonText">
    <w:name w:val="Balloon Text"/>
    <w:basedOn w:val="Normal"/>
    <w:link w:val="BalloonTextChar"/>
    <w:uiPriority w:val="99"/>
    <w:semiHidden/>
    <w:unhideWhenUsed/>
    <w:rsid w:val="00FA4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4E7"/>
    <w:rPr>
      <w:rFonts w:ascii="Tahoma" w:hAnsi="Tahoma" w:cs="Tahoma"/>
      <w:sz w:val="16"/>
      <w:szCs w:val="16"/>
    </w:rPr>
  </w:style>
  <w:style w:type="character" w:customStyle="1" w:styleId="Heading1Char">
    <w:name w:val="Heading 1 Char"/>
    <w:basedOn w:val="DefaultParagraphFont"/>
    <w:link w:val="Heading1"/>
    <w:uiPriority w:val="9"/>
    <w:rsid w:val="0039203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9203A"/>
    <w:pPr>
      <w:outlineLvl w:val="9"/>
    </w:pPr>
  </w:style>
  <w:style w:type="paragraph" w:styleId="TOC1">
    <w:name w:val="toc 1"/>
    <w:basedOn w:val="Normal"/>
    <w:next w:val="Normal"/>
    <w:autoRedefine/>
    <w:uiPriority w:val="39"/>
    <w:unhideWhenUsed/>
    <w:rsid w:val="00A42E7F"/>
    <w:pPr>
      <w:spacing w:after="100"/>
    </w:pPr>
  </w:style>
  <w:style w:type="character" w:styleId="Hyperlink">
    <w:name w:val="Hyperlink"/>
    <w:basedOn w:val="DefaultParagraphFont"/>
    <w:uiPriority w:val="99"/>
    <w:unhideWhenUsed/>
    <w:rsid w:val="00A42E7F"/>
    <w:rPr>
      <w:color w:val="0000FF" w:themeColor="hyperlink"/>
      <w:u w:val="single"/>
    </w:rPr>
  </w:style>
  <w:style w:type="character" w:customStyle="1" w:styleId="Heading2Char">
    <w:name w:val="Heading 2 Char"/>
    <w:basedOn w:val="DefaultParagraphFont"/>
    <w:link w:val="Heading2"/>
    <w:uiPriority w:val="9"/>
    <w:rsid w:val="003920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203A"/>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63065D"/>
    <w:pPr>
      <w:spacing w:after="100"/>
      <w:ind w:left="220"/>
    </w:pPr>
  </w:style>
  <w:style w:type="paragraph" w:styleId="TOC3">
    <w:name w:val="toc 3"/>
    <w:basedOn w:val="Normal"/>
    <w:next w:val="Normal"/>
    <w:autoRedefine/>
    <w:uiPriority w:val="39"/>
    <w:unhideWhenUsed/>
    <w:rsid w:val="0063065D"/>
    <w:pPr>
      <w:spacing w:after="100"/>
      <w:ind w:left="440"/>
    </w:pPr>
  </w:style>
  <w:style w:type="character" w:styleId="Emphasis">
    <w:name w:val="Emphasis"/>
    <w:basedOn w:val="DefaultParagraphFont"/>
    <w:uiPriority w:val="20"/>
    <w:qFormat/>
    <w:rsid w:val="0039203A"/>
    <w:rPr>
      <w:i/>
      <w:iCs/>
    </w:rPr>
  </w:style>
  <w:style w:type="character" w:customStyle="1" w:styleId="Heading4Char">
    <w:name w:val="Heading 4 Char"/>
    <w:basedOn w:val="DefaultParagraphFont"/>
    <w:link w:val="Heading4"/>
    <w:uiPriority w:val="9"/>
    <w:rsid w:val="0039203A"/>
    <w:rPr>
      <w:rFonts w:asciiTheme="majorHAnsi" w:eastAsiaTheme="majorEastAsia" w:hAnsiTheme="majorHAnsi" w:cstheme="majorBidi"/>
      <w:b/>
      <w:bCs/>
      <w:i/>
      <w:iCs/>
      <w:color w:val="4F81BD" w:themeColor="accent1"/>
    </w:rPr>
  </w:style>
  <w:style w:type="character" w:customStyle="1" w:styleId="apple-style-span">
    <w:name w:val="apple-style-span"/>
    <w:basedOn w:val="DefaultParagraphFont"/>
    <w:rsid w:val="001D778C"/>
  </w:style>
  <w:style w:type="paragraph" w:styleId="NormalWeb">
    <w:name w:val="Normal (Web)"/>
    <w:basedOn w:val="Normal"/>
    <w:uiPriority w:val="99"/>
    <w:unhideWhenUsed/>
    <w:rsid w:val="001D778C"/>
    <w:pPr>
      <w:spacing w:before="100" w:beforeAutospacing="1" w:after="100" w:afterAutospacing="1" w:line="240" w:lineRule="auto"/>
    </w:pPr>
    <w:rPr>
      <w:rFonts w:ascii="Times New Roman" w:eastAsia="Times New Roman" w:hAnsi="Times New Roman" w:cs="Times New Roman"/>
      <w:sz w:val="24"/>
      <w:szCs w:val="24"/>
    </w:rPr>
  </w:style>
  <w:style w:type="paragraph" w:styleId="TOAHeading">
    <w:name w:val="toa heading"/>
    <w:basedOn w:val="Normal"/>
    <w:next w:val="Normal"/>
    <w:uiPriority w:val="99"/>
    <w:unhideWhenUsed/>
    <w:rsid w:val="00D501B4"/>
    <w:pPr>
      <w:spacing w:before="120"/>
    </w:pPr>
    <w:rPr>
      <w:rFonts w:ascii="Times New Roman" w:eastAsiaTheme="majorEastAsia" w:hAnsi="Times New Roman" w:cstheme="majorBidi"/>
      <w:b/>
      <w:bCs/>
      <w:i/>
      <w:sz w:val="24"/>
      <w:szCs w:val="24"/>
    </w:rPr>
  </w:style>
  <w:style w:type="paragraph" w:styleId="TableofAuthorities">
    <w:name w:val="table of authorities"/>
    <w:basedOn w:val="Normal"/>
    <w:next w:val="Normal"/>
    <w:uiPriority w:val="99"/>
    <w:unhideWhenUsed/>
    <w:rsid w:val="008F5BBD"/>
    <w:pPr>
      <w:spacing w:after="0"/>
      <w:ind w:left="220" w:hanging="220"/>
    </w:pPr>
    <w:rPr>
      <w:rFonts w:ascii="Times New Roman" w:hAnsi="Times New Roman"/>
      <w:sz w:val="24"/>
    </w:rPr>
  </w:style>
  <w:style w:type="paragraph" w:styleId="Index1">
    <w:name w:val="index 1"/>
    <w:basedOn w:val="Normal"/>
    <w:next w:val="Normal"/>
    <w:autoRedefine/>
    <w:uiPriority w:val="99"/>
    <w:semiHidden/>
    <w:unhideWhenUsed/>
    <w:rsid w:val="008A5F31"/>
    <w:pPr>
      <w:spacing w:after="0" w:line="240" w:lineRule="auto"/>
      <w:ind w:left="220" w:hanging="220"/>
    </w:pPr>
  </w:style>
  <w:style w:type="paragraph" w:styleId="CommentSubject">
    <w:name w:val="annotation subject"/>
    <w:basedOn w:val="CommentText"/>
    <w:next w:val="CommentText"/>
    <w:link w:val="CommentSubjectChar"/>
    <w:uiPriority w:val="99"/>
    <w:semiHidden/>
    <w:unhideWhenUsed/>
    <w:rsid w:val="005375E4"/>
    <w:rPr>
      <w:b/>
      <w:bCs/>
    </w:rPr>
  </w:style>
  <w:style w:type="character" w:customStyle="1" w:styleId="CommentSubjectChar">
    <w:name w:val="Comment Subject Char"/>
    <w:basedOn w:val="CommentTextChar"/>
    <w:link w:val="CommentSubject"/>
    <w:uiPriority w:val="99"/>
    <w:semiHidden/>
    <w:rsid w:val="005375E4"/>
    <w:rPr>
      <w:b/>
      <w:bCs/>
      <w:sz w:val="20"/>
      <w:szCs w:val="20"/>
    </w:rPr>
  </w:style>
  <w:style w:type="paragraph" w:styleId="Header">
    <w:name w:val="header"/>
    <w:basedOn w:val="Normal"/>
    <w:link w:val="HeaderChar"/>
    <w:uiPriority w:val="99"/>
    <w:unhideWhenUsed/>
    <w:rsid w:val="00EA4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F73"/>
  </w:style>
  <w:style w:type="paragraph" w:styleId="Footer">
    <w:name w:val="footer"/>
    <w:basedOn w:val="Normal"/>
    <w:link w:val="FooterChar"/>
    <w:uiPriority w:val="99"/>
    <w:unhideWhenUsed/>
    <w:rsid w:val="00EA4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F73"/>
  </w:style>
  <w:style w:type="paragraph" w:styleId="NoSpacing">
    <w:name w:val="No Spacing"/>
    <w:link w:val="NoSpacingChar"/>
    <w:uiPriority w:val="1"/>
    <w:qFormat/>
    <w:rsid w:val="0039203A"/>
    <w:pPr>
      <w:spacing w:after="0" w:line="240" w:lineRule="auto"/>
    </w:pPr>
  </w:style>
  <w:style w:type="character" w:customStyle="1" w:styleId="NoSpacingChar">
    <w:name w:val="No Spacing Char"/>
    <w:basedOn w:val="DefaultParagraphFont"/>
    <w:link w:val="NoSpacing"/>
    <w:uiPriority w:val="1"/>
    <w:rsid w:val="00EA4F73"/>
  </w:style>
  <w:style w:type="character" w:customStyle="1" w:styleId="Heading5Char">
    <w:name w:val="Heading 5 Char"/>
    <w:basedOn w:val="DefaultParagraphFont"/>
    <w:link w:val="Heading5"/>
    <w:uiPriority w:val="9"/>
    <w:semiHidden/>
    <w:rsid w:val="003920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920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920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920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9203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9203A"/>
    <w:pPr>
      <w:spacing w:line="240" w:lineRule="auto"/>
    </w:pPr>
    <w:rPr>
      <w:b/>
      <w:bCs/>
      <w:color w:val="4F81BD" w:themeColor="accent1"/>
      <w:sz w:val="18"/>
      <w:szCs w:val="18"/>
    </w:rPr>
  </w:style>
  <w:style w:type="paragraph" w:styleId="Title">
    <w:name w:val="Title"/>
    <w:basedOn w:val="Normal"/>
    <w:next w:val="Normal"/>
    <w:link w:val="TitleChar"/>
    <w:uiPriority w:val="10"/>
    <w:qFormat/>
    <w:rsid w:val="003920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203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920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920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9203A"/>
    <w:rPr>
      <w:b/>
      <w:bCs/>
    </w:rPr>
  </w:style>
  <w:style w:type="paragraph" w:styleId="Quote">
    <w:name w:val="Quote"/>
    <w:basedOn w:val="Normal"/>
    <w:next w:val="Normal"/>
    <w:link w:val="QuoteChar"/>
    <w:uiPriority w:val="29"/>
    <w:qFormat/>
    <w:rsid w:val="0039203A"/>
    <w:rPr>
      <w:i/>
      <w:iCs/>
      <w:color w:val="000000" w:themeColor="text1"/>
    </w:rPr>
  </w:style>
  <w:style w:type="character" w:customStyle="1" w:styleId="QuoteChar">
    <w:name w:val="Quote Char"/>
    <w:basedOn w:val="DefaultParagraphFont"/>
    <w:link w:val="Quote"/>
    <w:uiPriority w:val="29"/>
    <w:rsid w:val="0039203A"/>
    <w:rPr>
      <w:i/>
      <w:iCs/>
      <w:color w:val="000000" w:themeColor="text1"/>
    </w:rPr>
  </w:style>
  <w:style w:type="paragraph" w:styleId="IntenseQuote">
    <w:name w:val="Intense Quote"/>
    <w:basedOn w:val="Normal"/>
    <w:next w:val="Normal"/>
    <w:link w:val="IntenseQuoteChar"/>
    <w:uiPriority w:val="30"/>
    <w:qFormat/>
    <w:rsid w:val="003920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9203A"/>
    <w:rPr>
      <w:b/>
      <w:bCs/>
      <w:i/>
      <w:iCs/>
      <w:color w:val="4F81BD" w:themeColor="accent1"/>
    </w:rPr>
  </w:style>
  <w:style w:type="character" w:styleId="SubtleEmphasis">
    <w:name w:val="Subtle Emphasis"/>
    <w:basedOn w:val="DefaultParagraphFont"/>
    <w:uiPriority w:val="19"/>
    <w:qFormat/>
    <w:rsid w:val="0039203A"/>
    <w:rPr>
      <w:i/>
      <w:iCs/>
      <w:color w:val="808080" w:themeColor="text1" w:themeTint="7F"/>
    </w:rPr>
  </w:style>
  <w:style w:type="character" w:styleId="IntenseEmphasis">
    <w:name w:val="Intense Emphasis"/>
    <w:basedOn w:val="DefaultParagraphFont"/>
    <w:uiPriority w:val="21"/>
    <w:qFormat/>
    <w:rsid w:val="0039203A"/>
    <w:rPr>
      <w:b/>
      <w:bCs/>
      <w:i/>
      <w:iCs/>
      <w:color w:val="4F81BD" w:themeColor="accent1"/>
    </w:rPr>
  </w:style>
  <w:style w:type="character" w:styleId="SubtleReference">
    <w:name w:val="Subtle Reference"/>
    <w:basedOn w:val="DefaultParagraphFont"/>
    <w:uiPriority w:val="31"/>
    <w:qFormat/>
    <w:rsid w:val="0039203A"/>
    <w:rPr>
      <w:smallCaps/>
      <w:color w:val="C0504D" w:themeColor="accent2"/>
      <w:u w:val="single"/>
    </w:rPr>
  </w:style>
  <w:style w:type="character" w:styleId="IntenseReference">
    <w:name w:val="Intense Reference"/>
    <w:basedOn w:val="DefaultParagraphFont"/>
    <w:uiPriority w:val="32"/>
    <w:qFormat/>
    <w:rsid w:val="0039203A"/>
    <w:rPr>
      <w:b/>
      <w:bCs/>
      <w:smallCaps/>
      <w:color w:val="C0504D" w:themeColor="accent2"/>
      <w:spacing w:val="5"/>
      <w:u w:val="single"/>
    </w:rPr>
  </w:style>
  <w:style w:type="character" w:styleId="BookTitle">
    <w:name w:val="Book Title"/>
    <w:basedOn w:val="DefaultParagraphFont"/>
    <w:uiPriority w:val="33"/>
    <w:qFormat/>
    <w:rsid w:val="0039203A"/>
    <w:rPr>
      <w:b/>
      <w:bCs/>
      <w:smallCaps/>
      <w:spacing w:val="5"/>
    </w:rPr>
  </w:style>
  <w:style w:type="paragraph" w:styleId="EndnoteText">
    <w:name w:val="endnote text"/>
    <w:basedOn w:val="Normal"/>
    <w:link w:val="EndnoteTextChar"/>
    <w:uiPriority w:val="99"/>
    <w:semiHidden/>
    <w:unhideWhenUsed/>
    <w:rsid w:val="002A26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26A1"/>
    <w:rPr>
      <w:sz w:val="20"/>
      <w:szCs w:val="20"/>
    </w:rPr>
  </w:style>
  <w:style w:type="character" w:styleId="EndnoteReference">
    <w:name w:val="endnote reference"/>
    <w:basedOn w:val="DefaultParagraphFont"/>
    <w:uiPriority w:val="99"/>
    <w:semiHidden/>
    <w:unhideWhenUsed/>
    <w:rsid w:val="002A26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3785">
      <w:bodyDiv w:val="1"/>
      <w:marLeft w:val="0"/>
      <w:marRight w:val="0"/>
      <w:marTop w:val="0"/>
      <w:marBottom w:val="0"/>
      <w:divBdr>
        <w:top w:val="none" w:sz="0" w:space="0" w:color="auto"/>
        <w:left w:val="none" w:sz="0" w:space="0" w:color="auto"/>
        <w:bottom w:val="none" w:sz="0" w:space="0" w:color="auto"/>
        <w:right w:val="none" w:sz="0" w:space="0" w:color="auto"/>
      </w:divBdr>
    </w:div>
    <w:div w:id="77145153">
      <w:bodyDiv w:val="1"/>
      <w:marLeft w:val="0"/>
      <w:marRight w:val="0"/>
      <w:marTop w:val="0"/>
      <w:marBottom w:val="0"/>
      <w:divBdr>
        <w:top w:val="none" w:sz="0" w:space="0" w:color="auto"/>
        <w:left w:val="none" w:sz="0" w:space="0" w:color="auto"/>
        <w:bottom w:val="none" w:sz="0" w:space="0" w:color="auto"/>
        <w:right w:val="none" w:sz="0" w:space="0" w:color="auto"/>
      </w:divBdr>
    </w:div>
    <w:div w:id="180821999">
      <w:bodyDiv w:val="1"/>
      <w:marLeft w:val="0"/>
      <w:marRight w:val="0"/>
      <w:marTop w:val="0"/>
      <w:marBottom w:val="0"/>
      <w:divBdr>
        <w:top w:val="none" w:sz="0" w:space="0" w:color="auto"/>
        <w:left w:val="none" w:sz="0" w:space="0" w:color="auto"/>
        <w:bottom w:val="none" w:sz="0" w:space="0" w:color="auto"/>
        <w:right w:val="none" w:sz="0" w:space="0" w:color="auto"/>
      </w:divBdr>
    </w:div>
    <w:div w:id="456265801">
      <w:bodyDiv w:val="1"/>
      <w:marLeft w:val="0"/>
      <w:marRight w:val="0"/>
      <w:marTop w:val="0"/>
      <w:marBottom w:val="0"/>
      <w:divBdr>
        <w:top w:val="none" w:sz="0" w:space="0" w:color="auto"/>
        <w:left w:val="none" w:sz="0" w:space="0" w:color="auto"/>
        <w:bottom w:val="none" w:sz="0" w:space="0" w:color="auto"/>
        <w:right w:val="none" w:sz="0" w:space="0" w:color="auto"/>
      </w:divBdr>
    </w:div>
    <w:div w:id="476533759">
      <w:bodyDiv w:val="1"/>
      <w:marLeft w:val="0"/>
      <w:marRight w:val="0"/>
      <w:marTop w:val="0"/>
      <w:marBottom w:val="0"/>
      <w:divBdr>
        <w:top w:val="none" w:sz="0" w:space="0" w:color="auto"/>
        <w:left w:val="none" w:sz="0" w:space="0" w:color="auto"/>
        <w:bottom w:val="none" w:sz="0" w:space="0" w:color="auto"/>
        <w:right w:val="none" w:sz="0" w:space="0" w:color="auto"/>
      </w:divBdr>
    </w:div>
    <w:div w:id="738747519">
      <w:bodyDiv w:val="1"/>
      <w:marLeft w:val="0"/>
      <w:marRight w:val="0"/>
      <w:marTop w:val="0"/>
      <w:marBottom w:val="0"/>
      <w:divBdr>
        <w:top w:val="none" w:sz="0" w:space="0" w:color="auto"/>
        <w:left w:val="none" w:sz="0" w:space="0" w:color="auto"/>
        <w:bottom w:val="none" w:sz="0" w:space="0" w:color="auto"/>
        <w:right w:val="none" w:sz="0" w:space="0" w:color="auto"/>
      </w:divBdr>
    </w:div>
    <w:div w:id="811605735">
      <w:bodyDiv w:val="1"/>
      <w:marLeft w:val="0"/>
      <w:marRight w:val="0"/>
      <w:marTop w:val="0"/>
      <w:marBottom w:val="0"/>
      <w:divBdr>
        <w:top w:val="none" w:sz="0" w:space="0" w:color="auto"/>
        <w:left w:val="none" w:sz="0" w:space="0" w:color="auto"/>
        <w:bottom w:val="none" w:sz="0" w:space="0" w:color="auto"/>
        <w:right w:val="none" w:sz="0" w:space="0" w:color="auto"/>
      </w:divBdr>
    </w:div>
    <w:div w:id="1058631209">
      <w:bodyDiv w:val="1"/>
      <w:marLeft w:val="0"/>
      <w:marRight w:val="0"/>
      <w:marTop w:val="0"/>
      <w:marBottom w:val="0"/>
      <w:divBdr>
        <w:top w:val="none" w:sz="0" w:space="0" w:color="auto"/>
        <w:left w:val="none" w:sz="0" w:space="0" w:color="auto"/>
        <w:bottom w:val="none" w:sz="0" w:space="0" w:color="auto"/>
        <w:right w:val="none" w:sz="0" w:space="0" w:color="auto"/>
      </w:divBdr>
    </w:div>
    <w:div w:id="1063791243">
      <w:bodyDiv w:val="1"/>
      <w:marLeft w:val="0"/>
      <w:marRight w:val="0"/>
      <w:marTop w:val="0"/>
      <w:marBottom w:val="0"/>
      <w:divBdr>
        <w:top w:val="none" w:sz="0" w:space="0" w:color="auto"/>
        <w:left w:val="none" w:sz="0" w:space="0" w:color="auto"/>
        <w:bottom w:val="none" w:sz="0" w:space="0" w:color="auto"/>
        <w:right w:val="none" w:sz="0" w:space="0" w:color="auto"/>
      </w:divBdr>
    </w:div>
    <w:div w:id="1277830477">
      <w:bodyDiv w:val="1"/>
      <w:marLeft w:val="0"/>
      <w:marRight w:val="0"/>
      <w:marTop w:val="0"/>
      <w:marBottom w:val="0"/>
      <w:divBdr>
        <w:top w:val="none" w:sz="0" w:space="0" w:color="auto"/>
        <w:left w:val="none" w:sz="0" w:space="0" w:color="auto"/>
        <w:bottom w:val="none" w:sz="0" w:space="0" w:color="auto"/>
        <w:right w:val="none" w:sz="0" w:space="0" w:color="auto"/>
      </w:divBdr>
    </w:div>
    <w:div w:id="1298028858">
      <w:bodyDiv w:val="1"/>
      <w:marLeft w:val="0"/>
      <w:marRight w:val="0"/>
      <w:marTop w:val="0"/>
      <w:marBottom w:val="0"/>
      <w:divBdr>
        <w:top w:val="none" w:sz="0" w:space="0" w:color="auto"/>
        <w:left w:val="none" w:sz="0" w:space="0" w:color="auto"/>
        <w:bottom w:val="none" w:sz="0" w:space="0" w:color="auto"/>
        <w:right w:val="none" w:sz="0" w:space="0" w:color="auto"/>
      </w:divBdr>
    </w:div>
    <w:div w:id="1310860135">
      <w:bodyDiv w:val="1"/>
      <w:marLeft w:val="0"/>
      <w:marRight w:val="0"/>
      <w:marTop w:val="0"/>
      <w:marBottom w:val="0"/>
      <w:divBdr>
        <w:top w:val="none" w:sz="0" w:space="0" w:color="auto"/>
        <w:left w:val="none" w:sz="0" w:space="0" w:color="auto"/>
        <w:bottom w:val="none" w:sz="0" w:space="0" w:color="auto"/>
        <w:right w:val="none" w:sz="0" w:space="0" w:color="auto"/>
      </w:divBdr>
    </w:div>
    <w:div w:id="1476487821">
      <w:bodyDiv w:val="1"/>
      <w:marLeft w:val="0"/>
      <w:marRight w:val="0"/>
      <w:marTop w:val="0"/>
      <w:marBottom w:val="0"/>
      <w:divBdr>
        <w:top w:val="none" w:sz="0" w:space="0" w:color="auto"/>
        <w:left w:val="none" w:sz="0" w:space="0" w:color="auto"/>
        <w:bottom w:val="none" w:sz="0" w:space="0" w:color="auto"/>
        <w:right w:val="none" w:sz="0" w:space="0" w:color="auto"/>
      </w:divBdr>
    </w:div>
    <w:div w:id="1496726977">
      <w:bodyDiv w:val="1"/>
      <w:marLeft w:val="0"/>
      <w:marRight w:val="0"/>
      <w:marTop w:val="0"/>
      <w:marBottom w:val="0"/>
      <w:divBdr>
        <w:top w:val="none" w:sz="0" w:space="0" w:color="auto"/>
        <w:left w:val="none" w:sz="0" w:space="0" w:color="auto"/>
        <w:bottom w:val="none" w:sz="0" w:space="0" w:color="auto"/>
        <w:right w:val="none" w:sz="0" w:space="0" w:color="auto"/>
      </w:divBdr>
    </w:div>
    <w:div w:id="1725639640">
      <w:bodyDiv w:val="1"/>
      <w:marLeft w:val="0"/>
      <w:marRight w:val="0"/>
      <w:marTop w:val="0"/>
      <w:marBottom w:val="0"/>
      <w:divBdr>
        <w:top w:val="none" w:sz="0" w:space="0" w:color="auto"/>
        <w:left w:val="none" w:sz="0" w:space="0" w:color="auto"/>
        <w:bottom w:val="none" w:sz="0" w:space="0" w:color="auto"/>
        <w:right w:val="none" w:sz="0" w:space="0" w:color="auto"/>
      </w:divBdr>
    </w:div>
    <w:div w:id="206166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n/iachr/docs/pdf/HowT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79DCE6-8827-4884-A5B1-86E06756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8538</Words>
  <Characters>48670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2017-09-21T15:59:00Z</dcterms:created>
  <dcterms:modified xsi:type="dcterms:W3CDTF">2017-09-21T15:59:00Z</dcterms:modified>
</cp:coreProperties>
</file>