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C3" w:rsidRPr="001A045F" w:rsidRDefault="000E28C3" w:rsidP="001A045F">
      <w:pPr>
        <w:rPr>
          <w:rStyle w:val="SubtleReference"/>
          <w:rFonts w:cs="Times New Roman"/>
          <w:szCs w:val="24"/>
        </w:rPr>
      </w:pPr>
      <w:bookmarkStart w:id="0" w:name="_GoBack"/>
      <w:bookmarkEnd w:id="0"/>
    </w:p>
    <w:p w:rsidR="000E28C3" w:rsidRPr="001A045F" w:rsidRDefault="000E28C3" w:rsidP="001A045F">
      <w:pPr>
        <w:rPr>
          <w:rStyle w:val="SubtleReference"/>
          <w:rFonts w:cs="Times New Roman"/>
          <w:szCs w:val="24"/>
        </w:rPr>
      </w:pPr>
    </w:p>
    <w:p w:rsidR="000E28C3" w:rsidRPr="001A045F" w:rsidRDefault="000E28C3" w:rsidP="001A045F">
      <w:pPr>
        <w:rPr>
          <w:rStyle w:val="SubtleReference"/>
          <w:rFonts w:cs="Times New Roman"/>
          <w:szCs w:val="24"/>
        </w:rPr>
      </w:pPr>
    </w:p>
    <w:p w:rsidR="000E28C3" w:rsidRPr="001A045F" w:rsidRDefault="000E28C3" w:rsidP="001A045F">
      <w:pPr>
        <w:rPr>
          <w:rStyle w:val="SubtleReference"/>
          <w:rFonts w:cs="Times New Roman"/>
          <w:szCs w:val="24"/>
        </w:rPr>
      </w:pPr>
    </w:p>
    <w:p w:rsidR="001A045F" w:rsidRDefault="001A045F" w:rsidP="001A045F">
      <w:pPr>
        <w:jc w:val="center"/>
        <w:rPr>
          <w:rFonts w:cs="Times New Roman"/>
          <w:b/>
        </w:rPr>
      </w:pPr>
      <w:r w:rsidRPr="001A045F">
        <w:rPr>
          <w:rFonts w:cs="Times New Roman"/>
          <w:b/>
        </w:rPr>
        <w:t>CRISTAL TOVAR</w:t>
      </w:r>
    </w:p>
    <w:p w:rsidR="001A045F" w:rsidRPr="001A045F" w:rsidRDefault="001A045F" w:rsidP="001A045F">
      <w:pPr>
        <w:jc w:val="center"/>
        <w:rPr>
          <w:rFonts w:cs="Times New Roman"/>
          <w:b/>
        </w:rPr>
      </w:pPr>
    </w:p>
    <w:p w:rsidR="001A045F" w:rsidRDefault="001A045F" w:rsidP="001A045F">
      <w:pPr>
        <w:jc w:val="center"/>
        <w:rPr>
          <w:rFonts w:cs="Times New Roman"/>
          <w:b/>
        </w:rPr>
      </w:pPr>
      <w:r w:rsidRPr="001A045F">
        <w:rPr>
          <w:rFonts w:cs="Times New Roman"/>
          <w:b/>
        </w:rPr>
        <w:t>VS.</w:t>
      </w:r>
    </w:p>
    <w:p w:rsidR="001A045F" w:rsidRPr="001A045F" w:rsidRDefault="001A045F" w:rsidP="001A045F">
      <w:pPr>
        <w:jc w:val="center"/>
        <w:rPr>
          <w:rFonts w:cs="Times New Roman"/>
          <w:b/>
        </w:rPr>
      </w:pPr>
    </w:p>
    <w:p w:rsidR="001A045F" w:rsidRPr="001A045F" w:rsidRDefault="001A045F" w:rsidP="001A045F">
      <w:pPr>
        <w:jc w:val="center"/>
        <w:rPr>
          <w:rFonts w:cs="Times New Roman"/>
          <w:b/>
        </w:rPr>
      </w:pPr>
      <w:r w:rsidRPr="001A045F">
        <w:rPr>
          <w:rFonts w:cs="Times New Roman"/>
          <w:b/>
        </w:rPr>
        <w:t>REPÚBLICA DE EXCLUTIA</w:t>
      </w:r>
    </w:p>
    <w:p w:rsidR="000E28C3" w:rsidRPr="001A045F" w:rsidRDefault="000E28C3" w:rsidP="001A045F">
      <w:pPr>
        <w:rPr>
          <w:rStyle w:val="SubtleReference"/>
          <w:rFonts w:cs="Times New Roman"/>
          <w:szCs w:val="24"/>
        </w:rPr>
      </w:pPr>
    </w:p>
    <w:p w:rsidR="000E28C3" w:rsidRPr="001A045F" w:rsidRDefault="000E28C3" w:rsidP="001A045F">
      <w:pPr>
        <w:rPr>
          <w:rFonts w:cs="Times New Roman"/>
          <w:szCs w:val="24"/>
        </w:rPr>
      </w:pPr>
    </w:p>
    <w:p w:rsidR="000E28C3" w:rsidRDefault="000E28C3" w:rsidP="001A045F">
      <w:pPr>
        <w:rPr>
          <w:rFonts w:cs="Times New Roman"/>
          <w:szCs w:val="24"/>
        </w:rPr>
      </w:pPr>
    </w:p>
    <w:p w:rsidR="001A045F" w:rsidRPr="001A045F" w:rsidRDefault="001A045F" w:rsidP="001A045F">
      <w:pPr>
        <w:rPr>
          <w:rFonts w:cs="Times New Roman"/>
          <w:szCs w:val="24"/>
        </w:rPr>
      </w:pPr>
    </w:p>
    <w:p w:rsidR="000E28C3" w:rsidRPr="001A045F" w:rsidRDefault="000E28C3" w:rsidP="001A045F">
      <w:pPr>
        <w:rPr>
          <w:rFonts w:cs="Times New Roman"/>
          <w:sz w:val="8"/>
          <w:szCs w:val="24"/>
        </w:rPr>
      </w:pPr>
    </w:p>
    <w:p w:rsidR="000E28C3" w:rsidRPr="001A045F" w:rsidRDefault="000E28C3" w:rsidP="001A045F">
      <w:pPr>
        <w:jc w:val="center"/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MEMORIAL DO ESTADO</w:t>
      </w:r>
    </w:p>
    <w:p w:rsidR="000E28C3" w:rsidRDefault="000E28C3" w:rsidP="001A045F">
      <w:pPr>
        <w:rPr>
          <w:rFonts w:cs="Times New Roman"/>
          <w:szCs w:val="24"/>
        </w:rPr>
      </w:pPr>
    </w:p>
    <w:p w:rsidR="001A045F" w:rsidRDefault="001A045F" w:rsidP="001A045F">
      <w:pPr>
        <w:rPr>
          <w:rFonts w:cs="Times New Roman"/>
          <w:szCs w:val="24"/>
        </w:rPr>
      </w:pPr>
    </w:p>
    <w:p w:rsidR="001A045F" w:rsidRDefault="001A045F" w:rsidP="001A045F">
      <w:pPr>
        <w:rPr>
          <w:rFonts w:cs="Times New Roman"/>
          <w:szCs w:val="24"/>
        </w:rPr>
      </w:pPr>
    </w:p>
    <w:p w:rsidR="001A045F" w:rsidRDefault="001A045F" w:rsidP="001A045F">
      <w:pPr>
        <w:rPr>
          <w:rFonts w:cs="Times New Roman"/>
          <w:szCs w:val="24"/>
        </w:rPr>
      </w:pPr>
    </w:p>
    <w:p w:rsidR="001A045F" w:rsidRDefault="001A045F" w:rsidP="001A045F">
      <w:pPr>
        <w:rPr>
          <w:rFonts w:cs="Times New Roman"/>
          <w:szCs w:val="24"/>
        </w:rPr>
      </w:pPr>
    </w:p>
    <w:p w:rsidR="001A045F" w:rsidRDefault="001A045F" w:rsidP="001A045F">
      <w:pPr>
        <w:rPr>
          <w:rFonts w:cs="Times New Roman"/>
          <w:szCs w:val="24"/>
        </w:rPr>
      </w:pPr>
    </w:p>
    <w:p w:rsidR="001A045F" w:rsidRDefault="001A045F" w:rsidP="001A045F">
      <w:pPr>
        <w:rPr>
          <w:rFonts w:cs="Times New Roman"/>
          <w:szCs w:val="24"/>
        </w:rPr>
      </w:pPr>
    </w:p>
    <w:p w:rsidR="001A045F" w:rsidRDefault="001A045F" w:rsidP="001A045F">
      <w:pPr>
        <w:rPr>
          <w:rFonts w:cs="Times New Roman"/>
          <w:szCs w:val="24"/>
        </w:rPr>
      </w:pPr>
    </w:p>
    <w:p w:rsidR="00DC19A5" w:rsidRDefault="00DC19A5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0E28C3" w:rsidRPr="00213B56" w:rsidRDefault="008367E0" w:rsidP="005D7B0D">
      <w:pPr>
        <w:pStyle w:val="ListParagraph"/>
        <w:numPr>
          <w:ilvl w:val="0"/>
          <w:numId w:val="2"/>
        </w:numPr>
        <w:tabs>
          <w:tab w:val="left" w:pos="1418"/>
        </w:tabs>
        <w:spacing w:line="480" w:lineRule="auto"/>
        <w:ind w:left="0" w:firstLine="0"/>
        <w:outlineLvl w:val="0"/>
        <w:rPr>
          <w:rStyle w:val="SubtleReference"/>
          <w:rFonts w:cs="Times New Roman"/>
          <w:bCs/>
          <w:spacing w:val="5"/>
          <w:szCs w:val="24"/>
        </w:rPr>
      </w:pPr>
      <w:bookmarkStart w:id="1" w:name="_Toc383464261"/>
      <w:r w:rsidRPr="0075476C">
        <w:rPr>
          <w:rStyle w:val="SubtleReference"/>
          <w:rFonts w:cs="Times New Roman"/>
          <w:szCs w:val="24"/>
        </w:rPr>
        <w:lastRenderedPageBreak/>
        <w:t>Índice</w:t>
      </w:r>
      <w:bookmarkEnd w:id="1"/>
    </w:p>
    <w:p w:rsidR="00811CD6" w:rsidRPr="00811CD6" w:rsidRDefault="00AC22D6" w:rsidP="00811CD6">
      <w:pPr>
        <w:pStyle w:val="TOC1"/>
        <w:spacing w:after="0" w:line="480" w:lineRule="auto"/>
        <w:rPr>
          <w:rFonts w:asciiTheme="minorHAnsi" w:hAnsiTheme="minorHAnsi"/>
          <w:noProof/>
          <w:sz w:val="22"/>
          <w:lang w:eastAsia="pt-BR"/>
        </w:rPr>
      </w:pPr>
      <w:r w:rsidRPr="00CB65EA">
        <w:rPr>
          <w:rStyle w:val="SubtleReference"/>
          <w:rFonts w:cs="Times New Roman"/>
          <w:b w:val="0"/>
          <w:szCs w:val="24"/>
        </w:rPr>
        <w:fldChar w:fldCharType="begin"/>
      </w:r>
      <w:r w:rsidR="000E28C3" w:rsidRPr="00CB65EA">
        <w:rPr>
          <w:rStyle w:val="SubtleReference"/>
          <w:rFonts w:cs="Times New Roman"/>
          <w:b w:val="0"/>
          <w:szCs w:val="24"/>
        </w:rPr>
        <w:instrText xml:space="preserve"> TOC \o "1-3" \h \z \u </w:instrText>
      </w:r>
      <w:r w:rsidRPr="00CB65EA">
        <w:rPr>
          <w:rStyle w:val="SubtleReference"/>
          <w:rFonts w:cs="Times New Roman"/>
          <w:b w:val="0"/>
          <w:szCs w:val="24"/>
        </w:rPr>
        <w:fldChar w:fldCharType="separate"/>
      </w:r>
      <w:hyperlink w:anchor="_Toc383464261" w:history="1">
        <w:r w:rsidR="00811CD6" w:rsidRPr="00811CD6">
          <w:rPr>
            <w:rStyle w:val="Hyperlink"/>
            <w:rFonts w:cs="Times New Roman"/>
            <w:bCs/>
            <w:smallCaps/>
            <w:noProof/>
            <w:spacing w:val="5"/>
          </w:rPr>
          <w:t>1.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smallCaps/>
            <w:noProof/>
          </w:rPr>
          <w:t>Índice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_Toc383464261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2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1"/>
        <w:spacing w:after="0" w:line="480" w:lineRule="auto"/>
        <w:rPr>
          <w:rFonts w:asciiTheme="minorHAnsi" w:hAnsiTheme="minorHAnsi"/>
          <w:noProof/>
          <w:sz w:val="22"/>
          <w:lang w:eastAsia="pt-BR"/>
        </w:rPr>
      </w:pPr>
      <w:hyperlink w:anchor="_Toc383464262" w:history="1">
        <w:r w:rsidR="00811CD6" w:rsidRPr="00811CD6">
          <w:rPr>
            <w:rStyle w:val="Hyperlink"/>
            <w:rFonts w:cs="Times New Roman"/>
            <w:bCs/>
            <w:smallCaps/>
            <w:noProof/>
            <w:spacing w:val="5"/>
          </w:rPr>
          <w:t>2.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smallCaps/>
            <w:noProof/>
          </w:rPr>
          <w:t xml:space="preserve">Índice de </w:t>
        </w:r>
        <w:r w:rsidR="00A85A4B">
          <w:rPr>
            <w:rStyle w:val="Hyperlink"/>
            <w:rFonts w:cs="Times New Roman"/>
            <w:smallCaps/>
            <w:noProof/>
          </w:rPr>
          <w:t>Justificativas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_Toc383464262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2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1"/>
        <w:spacing w:after="0" w:line="480" w:lineRule="auto"/>
        <w:rPr>
          <w:rFonts w:asciiTheme="minorHAnsi" w:hAnsiTheme="minorHAnsi"/>
          <w:noProof/>
          <w:sz w:val="22"/>
          <w:lang w:eastAsia="pt-BR"/>
        </w:rPr>
      </w:pPr>
      <w:hyperlink w:anchor="_Toc383464263" w:history="1">
        <w:r w:rsidR="00811CD6" w:rsidRPr="00811CD6">
          <w:rPr>
            <w:rStyle w:val="Hyperlink"/>
            <w:rFonts w:cs="Times New Roman"/>
            <w:bCs/>
            <w:smallCaps/>
            <w:noProof/>
            <w:spacing w:val="5"/>
          </w:rPr>
          <w:t>3.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smallCaps/>
            <w:noProof/>
          </w:rPr>
          <w:t>Abreviaturas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_Toc383464263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7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1"/>
        <w:spacing w:after="0" w:line="480" w:lineRule="auto"/>
        <w:rPr>
          <w:rFonts w:asciiTheme="minorHAnsi" w:hAnsiTheme="minorHAnsi"/>
          <w:noProof/>
          <w:sz w:val="22"/>
          <w:lang w:eastAsia="pt-BR"/>
        </w:rPr>
      </w:pPr>
      <w:hyperlink w:anchor="_Toc383464264" w:history="1">
        <w:r w:rsidR="00811CD6" w:rsidRPr="00811CD6">
          <w:rPr>
            <w:rStyle w:val="Hyperlink"/>
            <w:rFonts w:cs="Times New Roman"/>
            <w:bCs/>
            <w:noProof/>
          </w:rPr>
          <w:t>4.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smallCaps/>
            <w:noProof/>
          </w:rPr>
          <w:t>Declaração dos fatos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_Toc383464264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8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2"/>
        <w:tabs>
          <w:tab w:val="left" w:pos="88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65" w:history="1">
        <w:r w:rsidR="00811CD6" w:rsidRPr="00811CD6">
          <w:rPr>
            <w:rStyle w:val="Hyperlink"/>
            <w:rFonts w:cs="Times New Roman"/>
            <w:bCs/>
            <w:noProof/>
          </w:rPr>
          <w:t>4.1.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noProof/>
          </w:rPr>
          <w:t>A República de Exclutia: Aspectos Políticos e Internacionais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_Toc383464265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8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2"/>
        <w:tabs>
          <w:tab w:val="left" w:pos="88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66" w:history="1">
        <w:r w:rsidR="00811CD6" w:rsidRPr="00811CD6">
          <w:rPr>
            <w:rStyle w:val="Hyperlink"/>
            <w:rFonts w:cs="Times New Roman"/>
            <w:bCs/>
            <w:noProof/>
          </w:rPr>
          <w:t>4.2.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bCs/>
            <w:noProof/>
          </w:rPr>
          <w:t>A Vida de Cristal Tovar: Antecedentes, La Casita e Interdição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_Toc383464266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8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2"/>
        <w:tabs>
          <w:tab w:val="left" w:pos="88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67" w:history="1">
        <w:r w:rsidR="00811CD6" w:rsidRPr="00811CD6">
          <w:rPr>
            <w:rStyle w:val="Hyperlink"/>
            <w:rFonts w:cs="Times New Roman"/>
            <w:bCs/>
            <w:noProof/>
          </w:rPr>
          <w:t>4.3.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bCs/>
            <w:noProof/>
          </w:rPr>
          <w:t>O Processo perante o SIDH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_Toc383464267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10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1"/>
        <w:spacing w:after="0" w:line="480" w:lineRule="auto"/>
        <w:rPr>
          <w:rFonts w:asciiTheme="minorHAnsi" w:hAnsiTheme="minorHAnsi"/>
          <w:noProof/>
          <w:sz w:val="22"/>
          <w:lang w:eastAsia="pt-BR"/>
        </w:rPr>
      </w:pPr>
      <w:hyperlink w:anchor="_Toc383464268" w:history="1">
        <w:r w:rsidR="00811CD6" w:rsidRPr="00811CD6">
          <w:rPr>
            <w:rStyle w:val="Hyperlink"/>
            <w:rFonts w:cs="Times New Roman"/>
            <w:bCs/>
            <w:noProof/>
          </w:rPr>
          <w:t>5.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smallCaps/>
            <w:noProof/>
          </w:rPr>
          <w:t>Análise legal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_Toc383464268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10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2"/>
        <w:tabs>
          <w:tab w:val="left" w:pos="88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69" w:history="1">
        <w:r w:rsidR="00811CD6" w:rsidRPr="00811CD6">
          <w:rPr>
            <w:rStyle w:val="Hyperlink"/>
            <w:rFonts w:cs="Times New Roman"/>
            <w:bCs/>
            <w:noProof/>
          </w:rPr>
          <w:t>5.1.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smallCaps/>
            <w:noProof/>
          </w:rPr>
          <w:t>Competência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_Toc383464269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10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2"/>
        <w:tabs>
          <w:tab w:val="left" w:pos="88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70" w:history="1">
        <w:r w:rsidR="00811CD6" w:rsidRPr="00811CD6">
          <w:rPr>
            <w:rStyle w:val="Hyperlink"/>
            <w:rFonts w:cs="Times New Roman"/>
            <w:bCs/>
            <w:noProof/>
          </w:rPr>
          <w:t>5.2.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smallCaps/>
            <w:noProof/>
          </w:rPr>
          <w:t>Exceções preliminares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_Toc383464270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11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3"/>
        <w:tabs>
          <w:tab w:val="left" w:pos="132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71" w:history="1">
        <w:r w:rsidR="00811CD6" w:rsidRPr="00811CD6">
          <w:rPr>
            <w:rStyle w:val="Hyperlink"/>
            <w:rFonts w:cs="Times New Roman"/>
            <w:bCs/>
            <w:noProof/>
          </w:rPr>
          <w:t>5.2.1.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noProof/>
          </w:rPr>
          <w:t>Do Não Esgotamento dos Recursos Internos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_Toc383464271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11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3"/>
        <w:tabs>
          <w:tab w:val="left" w:pos="132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72" w:history="1">
        <w:r w:rsidR="00811CD6" w:rsidRPr="00811CD6">
          <w:rPr>
            <w:rStyle w:val="Hyperlink"/>
            <w:rFonts w:cs="Times New Roman"/>
            <w:bCs/>
            <w:noProof/>
          </w:rPr>
          <w:t>5.2.2.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bCs/>
            <w:noProof/>
          </w:rPr>
          <w:t>Do Descumprimento da Regra dos Seis Meses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_Toc383464272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12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2"/>
        <w:tabs>
          <w:tab w:val="left" w:pos="88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73" w:history="1">
        <w:r w:rsidR="00811CD6" w:rsidRPr="00811CD6">
          <w:rPr>
            <w:rStyle w:val="Hyperlink"/>
            <w:rFonts w:cs="Times New Roman"/>
            <w:bCs/>
            <w:noProof/>
          </w:rPr>
          <w:t>5.3.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smallCaps/>
            <w:noProof/>
          </w:rPr>
          <w:t>Mérito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_Toc383464273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13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3"/>
        <w:tabs>
          <w:tab w:val="left" w:pos="132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74" w:history="1">
        <w:r w:rsidR="00811CD6" w:rsidRPr="00811CD6">
          <w:rPr>
            <w:rStyle w:val="Hyperlink"/>
            <w:rFonts w:cs="Times New Roman"/>
            <w:bCs/>
            <w:noProof/>
          </w:rPr>
          <w:t>5.3.1.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noProof/>
          </w:rPr>
          <w:t>Introdução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_Toc383464274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13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3"/>
        <w:tabs>
          <w:tab w:val="left" w:pos="132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75" w:history="1">
        <w:r w:rsidR="00811CD6" w:rsidRPr="00811CD6">
          <w:rPr>
            <w:rStyle w:val="Hyperlink"/>
            <w:rFonts w:cs="Times New Roman"/>
            <w:bCs/>
            <w:noProof/>
          </w:rPr>
          <w:t>5.3.2.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bCs/>
            <w:noProof/>
          </w:rPr>
          <w:t>A institucionalização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_Toc383464275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15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3"/>
        <w:tabs>
          <w:tab w:val="left" w:pos="132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76" w:history="1">
        <w:r w:rsidR="00811CD6" w:rsidRPr="00811CD6">
          <w:rPr>
            <w:rStyle w:val="Hyperlink"/>
            <w:rFonts w:cs="Times New Roman"/>
            <w:bCs/>
            <w:noProof/>
          </w:rPr>
          <w:t>5.3.3.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bCs/>
            <w:noProof/>
          </w:rPr>
          <w:t>A vida em La Casita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_Toc383464276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21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3"/>
        <w:tabs>
          <w:tab w:val="left" w:pos="132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77" w:history="1">
        <w:r w:rsidR="00811CD6" w:rsidRPr="00811CD6">
          <w:rPr>
            <w:rStyle w:val="Hyperlink"/>
            <w:rFonts w:cs="Times New Roman"/>
            <w:bCs/>
            <w:noProof/>
          </w:rPr>
          <w:t>5.3.4.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bCs/>
            <w:noProof/>
          </w:rPr>
          <w:t>O processo de interdição de Cristal Tovar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_Toc383464277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26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Pr="00811CD6" w:rsidRDefault="00135A81" w:rsidP="00811CD6">
      <w:pPr>
        <w:pStyle w:val="TOC2"/>
        <w:tabs>
          <w:tab w:val="left" w:pos="880"/>
          <w:tab w:val="right" w:leader="dot" w:pos="9352"/>
        </w:tabs>
        <w:spacing w:after="0"/>
        <w:rPr>
          <w:rFonts w:asciiTheme="minorHAnsi" w:hAnsiTheme="minorHAnsi"/>
          <w:noProof/>
          <w:sz w:val="22"/>
          <w:lang w:eastAsia="pt-BR"/>
        </w:rPr>
      </w:pPr>
      <w:hyperlink w:anchor="_Toc383464278" w:history="1">
        <w:r w:rsidR="00811CD6" w:rsidRPr="00811CD6">
          <w:rPr>
            <w:rStyle w:val="Hyperlink"/>
            <w:rFonts w:cs="Times New Roman"/>
            <w:bCs/>
            <w:noProof/>
          </w:rPr>
          <w:t>5.4.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811CD6" w:rsidRPr="00811CD6">
          <w:rPr>
            <w:rStyle w:val="Hyperlink"/>
            <w:rFonts w:cs="Times New Roman"/>
            <w:smallCaps/>
            <w:noProof/>
          </w:rPr>
          <w:t>Medidas Provisórias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_Toc383464278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33</w:t>
        </w:r>
        <w:r w:rsidR="00811CD6" w:rsidRPr="00811CD6">
          <w:rPr>
            <w:noProof/>
            <w:webHidden/>
          </w:rPr>
          <w:fldChar w:fldCharType="end"/>
        </w:r>
      </w:hyperlink>
    </w:p>
    <w:p w:rsidR="00811CD6" w:rsidRDefault="00135A81" w:rsidP="00811CD6">
      <w:pPr>
        <w:pStyle w:val="TOC1"/>
        <w:spacing w:after="0" w:line="480" w:lineRule="auto"/>
        <w:rPr>
          <w:rFonts w:asciiTheme="minorHAnsi" w:hAnsiTheme="minorHAnsi"/>
          <w:noProof/>
          <w:sz w:val="22"/>
          <w:lang w:eastAsia="pt-BR"/>
        </w:rPr>
      </w:pPr>
      <w:hyperlink w:anchor="_Toc383464279" w:history="1">
        <w:r w:rsidR="00811CD6" w:rsidRPr="00811CD6">
          <w:rPr>
            <w:rStyle w:val="Hyperlink"/>
            <w:rFonts w:cs="Times New Roman"/>
            <w:bCs/>
            <w:noProof/>
          </w:rPr>
          <w:t>6.</w:t>
        </w:r>
        <w:r w:rsidR="00811CD6" w:rsidRPr="00811CD6">
          <w:rPr>
            <w:rFonts w:asciiTheme="minorHAnsi" w:hAnsiTheme="minorHAnsi"/>
            <w:noProof/>
            <w:sz w:val="22"/>
            <w:lang w:eastAsia="pt-BR"/>
          </w:rPr>
          <w:tab/>
        </w:r>
        <w:r w:rsidR="00A6712D">
          <w:rPr>
            <w:rStyle w:val="Hyperlink"/>
            <w:rFonts w:cs="Times New Roman"/>
            <w:smallCaps/>
            <w:noProof/>
          </w:rPr>
          <w:t>Solicitação</w:t>
        </w:r>
        <w:r w:rsidR="00811CD6" w:rsidRPr="00811CD6">
          <w:rPr>
            <w:rStyle w:val="Hyperlink"/>
            <w:rFonts w:cs="Times New Roman"/>
            <w:smallCaps/>
            <w:noProof/>
          </w:rPr>
          <w:t xml:space="preserve"> de Assistência</w:t>
        </w:r>
        <w:r w:rsidR="00811CD6" w:rsidRPr="00811CD6">
          <w:rPr>
            <w:noProof/>
            <w:webHidden/>
          </w:rPr>
          <w:tab/>
        </w:r>
        <w:r w:rsidR="00811CD6" w:rsidRPr="00811CD6">
          <w:rPr>
            <w:noProof/>
            <w:webHidden/>
          </w:rPr>
          <w:fldChar w:fldCharType="begin"/>
        </w:r>
        <w:r w:rsidR="00811CD6" w:rsidRPr="00811CD6">
          <w:rPr>
            <w:noProof/>
            <w:webHidden/>
          </w:rPr>
          <w:instrText xml:space="preserve"> PAGEREF _Toc383464279 \h </w:instrText>
        </w:r>
        <w:r w:rsidR="00811CD6" w:rsidRPr="00811CD6">
          <w:rPr>
            <w:noProof/>
            <w:webHidden/>
          </w:rPr>
        </w:r>
        <w:r w:rsidR="00811CD6" w:rsidRPr="00811CD6">
          <w:rPr>
            <w:noProof/>
            <w:webHidden/>
          </w:rPr>
          <w:fldChar w:fldCharType="separate"/>
        </w:r>
        <w:r w:rsidR="00C658D5">
          <w:rPr>
            <w:noProof/>
            <w:webHidden/>
          </w:rPr>
          <w:t>35</w:t>
        </w:r>
        <w:r w:rsidR="00811CD6" w:rsidRPr="00811CD6">
          <w:rPr>
            <w:noProof/>
            <w:webHidden/>
          </w:rPr>
          <w:fldChar w:fldCharType="end"/>
        </w:r>
      </w:hyperlink>
    </w:p>
    <w:p w:rsidR="008367E0" w:rsidRPr="00732DC5" w:rsidRDefault="00AC22D6" w:rsidP="00811CD6">
      <w:pPr>
        <w:pStyle w:val="ListParagraph"/>
        <w:numPr>
          <w:ilvl w:val="0"/>
          <w:numId w:val="2"/>
        </w:numPr>
        <w:spacing w:line="480" w:lineRule="auto"/>
        <w:ind w:left="0" w:firstLine="0"/>
        <w:rPr>
          <w:rStyle w:val="SubtleReference"/>
          <w:rFonts w:cs="Times New Roman"/>
          <w:bCs/>
          <w:spacing w:val="5"/>
          <w:szCs w:val="24"/>
        </w:rPr>
      </w:pPr>
      <w:r w:rsidRPr="00CB65EA">
        <w:rPr>
          <w:rStyle w:val="SubtleReference"/>
          <w:rFonts w:cs="Times New Roman"/>
          <w:b w:val="0"/>
          <w:szCs w:val="24"/>
        </w:rPr>
        <w:fldChar w:fldCharType="end"/>
      </w:r>
      <w:bookmarkStart w:id="2" w:name="_Toc383464262"/>
      <w:r w:rsidR="005D7B0D">
        <w:rPr>
          <w:rStyle w:val="SubtleReference"/>
          <w:rFonts w:cs="Times New Roman"/>
          <w:szCs w:val="24"/>
        </w:rPr>
        <w:t xml:space="preserve">Índice de </w:t>
      </w:r>
      <w:bookmarkEnd w:id="2"/>
      <w:r w:rsidR="00A85A4B">
        <w:rPr>
          <w:rStyle w:val="SubtleReference"/>
          <w:rFonts w:cs="Times New Roman"/>
          <w:szCs w:val="24"/>
        </w:rPr>
        <w:t>Justificativas</w:t>
      </w:r>
    </w:p>
    <w:p w:rsidR="003224FB" w:rsidRDefault="00AC22D6">
      <w:pPr>
        <w:pStyle w:val="TOAHeading"/>
        <w:tabs>
          <w:tab w:val="right" w:leader="dot" w:pos="935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Style w:val="SubtleReference"/>
          <w:rFonts w:cs="Times New Roman"/>
          <w:bCs w:val="0"/>
          <w:spacing w:val="5"/>
        </w:rPr>
        <w:fldChar w:fldCharType="begin"/>
      </w:r>
      <w:r w:rsidR="00A40096">
        <w:rPr>
          <w:rStyle w:val="SubtleReference"/>
          <w:rFonts w:cs="Times New Roman"/>
          <w:bCs w:val="0"/>
          <w:spacing w:val="5"/>
        </w:rPr>
        <w:instrText xml:space="preserve"> TOA \h \c "1" </w:instrText>
      </w:r>
      <w:r>
        <w:rPr>
          <w:rStyle w:val="SubtleReference"/>
          <w:rFonts w:cs="Times New Roman"/>
          <w:bCs w:val="0"/>
          <w:spacing w:val="5"/>
        </w:rPr>
        <w:fldChar w:fldCharType="separate"/>
      </w:r>
      <w:r w:rsidR="003224FB">
        <w:rPr>
          <w:noProof/>
        </w:rPr>
        <w:t>Tratados Internacionais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5649E">
        <w:rPr>
          <w:rFonts w:cs="Times New Roman"/>
          <w:noProof/>
          <w:u w:val="single"/>
        </w:rPr>
        <w:t>Convenção Americana sobre Direitos Humanos</w:t>
      </w:r>
      <w:r w:rsidRPr="00A5649E">
        <w:rPr>
          <w:rFonts w:cs="Times New Roman"/>
          <w:noProof/>
        </w:rPr>
        <w:t xml:space="preserve"> (1969)</w:t>
      </w:r>
      <w:r>
        <w:rPr>
          <w:noProof/>
        </w:rPr>
        <w:tab/>
        <w:t>12, 33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5649E">
        <w:rPr>
          <w:rFonts w:cs="Times New Roman"/>
          <w:noProof/>
          <w:u w:val="single"/>
        </w:rPr>
        <w:lastRenderedPageBreak/>
        <w:t>Convenção contra a Tortura e outros Tratamentos ou Penas Cruéis, Desumanos ou Degradantes</w:t>
      </w:r>
      <w:r w:rsidRPr="00A5649E">
        <w:rPr>
          <w:rFonts w:cs="Times New Roman"/>
          <w:noProof/>
        </w:rPr>
        <w:t xml:space="preserve"> (1984)</w:t>
      </w:r>
      <w:r>
        <w:rPr>
          <w:noProof/>
        </w:rPr>
        <w:tab/>
        <w:t>25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5649E">
        <w:rPr>
          <w:rFonts w:cs="Times New Roman"/>
          <w:noProof/>
          <w:u w:val="single"/>
        </w:rPr>
        <w:t>Convenção Europeia dos Direitos Humanos</w:t>
      </w:r>
      <w:r w:rsidRPr="00A5649E">
        <w:rPr>
          <w:rFonts w:cs="Times New Roman"/>
          <w:noProof/>
        </w:rPr>
        <w:t xml:space="preserve"> (1950)</w:t>
      </w:r>
      <w:r>
        <w:rPr>
          <w:noProof/>
        </w:rPr>
        <w:tab/>
        <w:t>18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5649E">
        <w:rPr>
          <w:rFonts w:cs="Times New Roman"/>
          <w:noProof/>
          <w:u w:val="single"/>
        </w:rPr>
        <w:t>Convenção sobre Direitos Humanos e Biomedicina</w:t>
      </w:r>
      <w:r w:rsidRPr="00A5649E">
        <w:rPr>
          <w:rFonts w:cs="Times New Roman"/>
          <w:noProof/>
        </w:rPr>
        <w:t xml:space="preserve"> (1997)</w:t>
      </w:r>
      <w:r>
        <w:rPr>
          <w:noProof/>
        </w:rPr>
        <w:tab/>
        <w:t>23</w:t>
      </w:r>
    </w:p>
    <w:p w:rsidR="003224FB" w:rsidRDefault="00AC22D6">
      <w:pPr>
        <w:pStyle w:val="TOAHeading"/>
        <w:tabs>
          <w:tab w:val="right" w:leader="dot" w:pos="935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Style w:val="SubtleReference"/>
          <w:rFonts w:cs="Times New Roman"/>
          <w:bCs w:val="0"/>
          <w:spacing w:val="5"/>
        </w:rPr>
        <w:fldChar w:fldCharType="end"/>
      </w:r>
      <w:r>
        <w:rPr>
          <w:rStyle w:val="SubtleReference"/>
          <w:rFonts w:cs="Times New Roman"/>
          <w:bCs w:val="0"/>
          <w:spacing w:val="5"/>
        </w:rPr>
        <w:fldChar w:fldCharType="begin"/>
      </w:r>
      <w:r w:rsidR="00A40096">
        <w:rPr>
          <w:rStyle w:val="SubtleReference"/>
          <w:rFonts w:cs="Times New Roman"/>
          <w:bCs w:val="0"/>
          <w:spacing w:val="5"/>
        </w:rPr>
        <w:instrText xml:space="preserve"> TOA \h \c "2" </w:instrText>
      </w:r>
      <w:r>
        <w:rPr>
          <w:rStyle w:val="SubtleReference"/>
          <w:rFonts w:cs="Times New Roman"/>
          <w:bCs w:val="0"/>
          <w:spacing w:val="5"/>
        </w:rPr>
        <w:fldChar w:fldCharType="separate"/>
      </w:r>
      <w:r w:rsidR="003224FB">
        <w:rPr>
          <w:noProof/>
        </w:rPr>
        <w:t>Casos da Corte Interamericana de Direitos Humanos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"Cinco Pensionistas" Vs. Peru</w:t>
      </w:r>
      <w:r w:rsidRPr="007D5608">
        <w:rPr>
          <w:rFonts w:cs="Times New Roman"/>
          <w:noProof/>
        </w:rPr>
        <w:t>, Série C, No. 98</w:t>
      </w:r>
      <w:r>
        <w:rPr>
          <w:noProof/>
        </w:rPr>
        <w:tab/>
        <w:t>16, 30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Acevedo Buendía e outros Vs. Peru</w:t>
      </w:r>
      <w:r w:rsidRPr="007D5608">
        <w:rPr>
          <w:rFonts w:cs="Times New Roman"/>
          <w:noProof/>
        </w:rPr>
        <w:t>, 2009, Série C, No. 198</w:t>
      </w:r>
      <w:r>
        <w:rPr>
          <w:noProof/>
        </w:rPr>
        <w:tab/>
        <w:t>16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Apitz Barbera e outros Vs. Venezuela</w:t>
      </w:r>
      <w:r w:rsidRPr="007D5608">
        <w:rPr>
          <w:rFonts w:cs="Times New Roman"/>
          <w:noProof/>
        </w:rPr>
        <w:t>, 2008, Série C, No. 182</w:t>
      </w:r>
      <w:r>
        <w:rPr>
          <w:noProof/>
        </w:rPr>
        <w:tab/>
        <w:t>12, 32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eastAsia="Calibri" w:cs="Times New Roman"/>
          <w:noProof/>
          <w:u w:val="single"/>
        </w:rPr>
        <w:t>Caso Artavia Murillo e outros Vs. Costa Rica</w:t>
      </w:r>
      <w:r w:rsidRPr="007D5608">
        <w:rPr>
          <w:rFonts w:eastAsia="Calibri" w:cs="Times New Roman"/>
          <w:noProof/>
        </w:rPr>
        <w:t>, 2012, Série C, No. 257</w:t>
      </w:r>
      <w:r>
        <w:rPr>
          <w:noProof/>
        </w:rPr>
        <w:tab/>
        <w:t>19, 20, 22, 23, 24, 27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eastAsia="Calibri" w:cs="Times New Roman"/>
          <w:noProof/>
          <w:u w:val="single"/>
        </w:rPr>
        <w:t>Caso Atala Riffo e filhas Vs. Chile</w:t>
      </w:r>
      <w:r w:rsidRPr="007D5608">
        <w:rPr>
          <w:rFonts w:eastAsia="Calibri" w:cs="Times New Roman"/>
          <w:noProof/>
        </w:rPr>
        <w:t>, 2012, Série C, No. 239</w:t>
      </w:r>
      <w:r>
        <w:rPr>
          <w:noProof/>
        </w:rPr>
        <w:tab/>
        <w:t>19, 27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 xml:space="preserve">Caso Bámaca Velásquez Vs. </w:t>
      </w:r>
      <w:r w:rsidRPr="007D5608">
        <w:rPr>
          <w:rFonts w:cs="Times New Roman"/>
          <w:noProof/>
          <w:u w:val="single"/>
          <w:lang w:val="es-ES"/>
        </w:rPr>
        <w:t>Guatemala</w:t>
      </w:r>
      <w:r w:rsidRPr="007D5608">
        <w:rPr>
          <w:rFonts w:cs="Times New Roman"/>
          <w:noProof/>
          <w:lang w:val="es-ES"/>
        </w:rPr>
        <w:t>, 2002, Série C, No. 21</w:t>
      </w:r>
      <w:r>
        <w:rPr>
          <w:noProof/>
        </w:rPr>
        <w:tab/>
        <w:t>25, 28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eastAsia="Arial" w:cs="Times New Roman"/>
          <w:noProof/>
          <w:highlight w:val="white"/>
          <w:u w:val="single"/>
        </w:rPr>
        <w:t>Caso Barbani Duarte e outros Vs. Uruguai,</w:t>
      </w:r>
      <w:r w:rsidRPr="007D5608">
        <w:rPr>
          <w:rFonts w:eastAsia="Arial" w:cs="Times New Roman"/>
          <w:noProof/>
          <w:highlight w:val="white"/>
        </w:rPr>
        <w:t xml:space="preserve"> 2011, Série C, No. 234</w:t>
      </w:r>
      <w:r>
        <w:rPr>
          <w:noProof/>
        </w:rPr>
        <w:tab/>
        <w:t>31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Barreto Leiva Vs. Venezuela</w:t>
      </w:r>
      <w:r w:rsidRPr="007D5608">
        <w:rPr>
          <w:rFonts w:cs="Times New Roman"/>
          <w:noProof/>
        </w:rPr>
        <w:t>, 2009, Série C, No. 206</w:t>
      </w:r>
      <w:r>
        <w:rPr>
          <w:noProof/>
        </w:rPr>
        <w:tab/>
        <w:t>30, 31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Boyce e outros Vs. Barbados</w:t>
      </w:r>
      <w:r w:rsidRPr="007D5608">
        <w:rPr>
          <w:rFonts w:cs="Times New Roman"/>
          <w:noProof/>
        </w:rPr>
        <w:t>, 2007, Série C, No. 169</w:t>
      </w:r>
      <w:r>
        <w:rPr>
          <w:noProof/>
        </w:rPr>
        <w:tab/>
        <w:t>21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Caballero Delgado e Santana Vs. Colômbia</w:t>
      </w:r>
      <w:r w:rsidRPr="007D5608">
        <w:rPr>
          <w:rFonts w:cs="Times New Roman"/>
          <w:noProof/>
        </w:rPr>
        <w:t>, 1997, Série C, No 31</w:t>
      </w:r>
      <w:r>
        <w:rPr>
          <w:noProof/>
        </w:rPr>
        <w:tab/>
        <w:t>33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Caesar Vs. Trinidad e Tobago</w:t>
      </w:r>
      <w:r w:rsidRPr="007D5608">
        <w:rPr>
          <w:rFonts w:cs="Times New Roman"/>
          <w:noProof/>
        </w:rPr>
        <w:t>, 2005, Série C, No 123</w:t>
      </w:r>
      <w:r>
        <w:rPr>
          <w:noProof/>
        </w:rPr>
        <w:tab/>
        <w:t>21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  <w:lang w:val="es-ES"/>
        </w:rPr>
        <w:t xml:space="preserve">Caso Castañeda Gutman Vs. </w:t>
      </w:r>
      <w:r w:rsidRPr="007D5608">
        <w:rPr>
          <w:rFonts w:cs="Times New Roman"/>
          <w:noProof/>
          <w:u w:val="single"/>
        </w:rPr>
        <w:t>México</w:t>
      </w:r>
      <w:r w:rsidRPr="007D5608">
        <w:rPr>
          <w:rFonts w:cs="Times New Roman"/>
          <w:noProof/>
        </w:rPr>
        <w:t>, 2008, Série C, No. 184</w:t>
      </w:r>
      <w:r>
        <w:rPr>
          <w:noProof/>
        </w:rPr>
        <w:tab/>
        <w:t>13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Cesti Hurtado Vs. Peru</w:t>
      </w:r>
      <w:r w:rsidRPr="007D5608">
        <w:rPr>
          <w:rFonts w:cs="Times New Roman"/>
          <w:noProof/>
        </w:rPr>
        <w:t>, 1999, Série C, No. 49, §47</w:t>
      </w:r>
      <w:r>
        <w:rPr>
          <w:noProof/>
        </w:rPr>
        <w:tab/>
        <w:t>11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Chaparro Álvarez e Lapo Iñiguez Vs. Equador</w:t>
      </w:r>
      <w:r w:rsidRPr="007D5608">
        <w:rPr>
          <w:rFonts w:cs="Times New Roman"/>
          <w:noProof/>
        </w:rPr>
        <w:t>, 2007, Série C, No. 170</w:t>
      </w:r>
      <w:r>
        <w:rPr>
          <w:noProof/>
        </w:rPr>
        <w:tab/>
        <w:t>11, 19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3224FB">
        <w:rPr>
          <w:rFonts w:cs="Times New Roman"/>
          <w:noProof/>
          <w:u w:val="single"/>
        </w:rPr>
        <w:t>Caso Comunidade Indígena Yakye Axa Vs. Paraguai</w:t>
      </w:r>
      <w:r w:rsidRPr="003224FB">
        <w:rPr>
          <w:rFonts w:cs="Times New Roman"/>
          <w:noProof/>
        </w:rPr>
        <w:t>, 2005, Série C, No. 125</w:t>
      </w:r>
      <w:r>
        <w:rPr>
          <w:noProof/>
        </w:rPr>
        <w:tab/>
        <w:t>11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das Irmãs Serrano Cruz Vs. El Salvador</w:t>
      </w:r>
      <w:r w:rsidRPr="007D5608">
        <w:rPr>
          <w:rFonts w:cs="Times New Roman"/>
          <w:noProof/>
        </w:rPr>
        <w:t>, 2005, Série C, No. 120</w:t>
      </w:r>
      <w:r>
        <w:rPr>
          <w:noProof/>
        </w:rPr>
        <w:tab/>
        <w:t>20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  <w:lang w:val="es-ES"/>
        </w:rPr>
        <w:t xml:space="preserve">Caso Díaz Peña Vs. </w:t>
      </w:r>
      <w:r w:rsidRPr="007D5608">
        <w:rPr>
          <w:rFonts w:cs="Times New Roman"/>
          <w:noProof/>
          <w:u w:val="single"/>
        </w:rPr>
        <w:t>Venezuela</w:t>
      </w:r>
      <w:r w:rsidRPr="007D5608">
        <w:rPr>
          <w:rFonts w:cs="Times New Roman"/>
          <w:noProof/>
        </w:rPr>
        <w:t>, 2012, Série C, No. 244</w:t>
      </w:r>
      <w:r>
        <w:rPr>
          <w:noProof/>
        </w:rPr>
        <w:tab/>
        <w:t>21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dos Massacres de Ituango Vs. Colômbia</w:t>
      </w:r>
      <w:r w:rsidRPr="007D5608">
        <w:rPr>
          <w:rFonts w:cs="Times New Roman"/>
          <w:noProof/>
        </w:rPr>
        <w:t>, 2006, Série C, No. 148</w:t>
      </w:r>
      <w:r>
        <w:rPr>
          <w:noProof/>
        </w:rPr>
        <w:tab/>
        <w:t>19</w:t>
      </w:r>
    </w:p>
    <w:p w:rsidR="00246061" w:rsidRDefault="00246061">
      <w:pPr>
        <w:pStyle w:val="TableofAuthorities"/>
        <w:tabs>
          <w:tab w:val="right" w:leader="dot" w:pos="9352"/>
        </w:tabs>
        <w:rPr>
          <w:rFonts w:cs="Times New Roman"/>
          <w:noProof/>
          <w:u w:val="single"/>
        </w:rPr>
      </w:pPr>
      <w:r w:rsidRPr="00246061">
        <w:rPr>
          <w:rFonts w:cs="Times New Roman"/>
          <w:noProof/>
          <w:u w:val="single"/>
        </w:rPr>
        <w:lastRenderedPageBreak/>
        <w:t>Caso Escher e outros Vs. Brasil, 2009, Série C, No. 208</w:t>
      </w:r>
      <w:r>
        <w:rPr>
          <w:noProof/>
        </w:rPr>
        <w:tab/>
        <w:t>29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Genie Lacayo Vs. Nicarágua</w:t>
      </w:r>
      <w:r w:rsidRPr="007D5608">
        <w:rPr>
          <w:rFonts w:cs="Times New Roman"/>
          <w:noProof/>
        </w:rPr>
        <w:t>, 1997, Série C, No. 30</w:t>
      </w:r>
      <w:r>
        <w:rPr>
          <w:noProof/>
        </w:rPr>
        <w:tab/>
        <w:t>12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Heliodoro-Portugal Vs. Panamá</w:t>
      </w:r>
      <w:r w:rsidRPr="007D5608">
        <w:rPr>
          <w:rFonts w:cs="Times New Roman"/>
          <w:noProof/>
        </w:rPr>
        <w:t>, 2008, Série C, No. 186</w:t>
      </w:r>
      <w:r>
        <w:rPr>
          <w:noProof/>
        </w:rPr>
        <w:tab/>
        <w:t>30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Herrera Ulloa Vs. Costa Rica</w:t>
      </w:r>
      <w:r w:rsidRPr="007D5608">
        <w:rPr>
          <w:rFonts w:cs="Times New Roman"/>
          <w:noProof/>
        </w:rPr>
        <w:t>, 2004, Série C, No. 107</w:t>
      </w:r>
      <w:r>
        <w:rPr>
          <w:noProof/>
        </w:rPr>
        <w:tab/>
        <w:t>11, 12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eastAsia="Times New Roman" w:cs="Times New Roman"/>
          <w:noProof/>
          <w:u w:val="single"/>
        </w:rPr>
        <w:t>Caso Kimel Vs. Argentina</w:t>
      </w:r>
      <w:r w:rsidRPr="007D5608">
        <w:rPr>
          <w:rFonts w:eastAsia="Times New Roman" w:cs="Times New Roman"/>
          <w:noProof/>
        </w:rPr>
        <w:t>, 2008, Série C, No. 177</w:t>
      </w:r>
      <w:r>
        <w:rPr>
          <w:noProof/>
        </w:rPr>
        <w:tab/>
        <w:t>29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Las Palmeras Vs. Colômbia</w:t>
      </w:r>
      <w:r w:rsidRPr="007D5608">
        <w:rPr>
          <w:rFonts w:cs="Times New Roman"/>
          <w:noProof/>
        </w:rPr>
        <w:t>, 2000, Série C, No. 67</w:t>
      </w:r>
      <w:r>
        <w:rPr>
          <w:noProof/>
        </w:rPr>
        <w:tab/>
        <w:t>12, 14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Mejíaldrovo Vs. Equador</w:t>
      </w:r>
      <w:r w:rsidRPr="007D5608">
        <w:rPr>
          <w:rFonts w:cs="Times New Roman"/>
          <w:noProof/>
        </w:rPr>
        <w:t>, 2011, Série C, No. 228</w:t>
      </w:r>
      <w:r>
        <w:rPr>
          <w:noProof/>
        </w:rPr>
        <w:tab/>
        <w:t>32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Meninas Yean e Bosico Vs. República Dominicana</w:t>
      </w:r>
      <w:r w:rsidRPr="007D5608">
        <w:rPr>
          <w:rFonts w:cs="Times New Roman"/>
          <w:noProof/>
        </w:rPr>
        <w:t>, 2006, Série C, No. 156</w:t>
      </w:r>
      <w:r>
        <w:rPr>
          <w:noProof/>
        </w:rPr>
        <w:tab/>
        <w:t>28, 29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Nadege Dorzema e outros Vs. República Dominicana</w:t>
      </w:r>
      <w:r w:rsidRPr="007D5608">
        <w:rPr>
          <w:rFonts w:cs="Times New Roman"/>
          <w:noProof/>
        </w:rPr>
        <w:t>, 2012, Série C, No. 251</w:t>
      </w:r>
      <w:r>
        <w:rPr>
          <w:noProof/>
        </w:rPr>
        <w:tab/>
        <w:t>17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Reverón Trujillo Vs. Venezuela</w:t>
      </w:r>
      <w:r w:rsidRPr="007D5608">
        <w:rPr>
          <w:rFonts w:cs="Times New Roman"/>
          <w:noProof/>
        </w:rPr>
        <w:t>, 2009, Série C, No. 197</w:t>
      </w:r>
      <w:r>
        <w:rPr>
          <w:noProof/>
        </w:rPr>
        <w:tab/>
        <w:t>13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  <w:lang w:val="es-ES"/>
        </w:rPr>
        <w:t xml:space="preserve">Caso Vélez Loor Vs. </w:t>
      </w:r>
      <w:r w:rsidRPr="007D5608">
        <w:rPr>
          <w:rFonts w:cs="Times New Roman"/>
          <w:noProof/>
          <w:u w:val="single"/>
        </w:rPr>
        <w:t>Panamá</w:t>
      </w:r>
      <w:r w:rsidRPr="007D5608">
        <w:rPr>
          <w:rFonts w:cs="Times New Roman"/>
          <w:noProof/>
        </w:rPr>
        <w:t>, 2010, Série C, No. 218</w:t>
      </w:r>
      <w:r>
        <w:rPr>
          <w:noProof/>
        </w:rPr>
        <w:tab/>
        <w:t>13, 22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Caso Ximenes Lopes Vs. Brasil</w:t>
      </w:r>
      <w:r w:rsidRPr="007D5608">
        <w:rPr>
          <w:rFonts w:cs="Times New Roman"/>
          <w:noProof/>
        </w:rPr>
        <w:t>, 2006, Série C, No. 149</w:t>
      </w:r>
      <w:r>
        <w:rPr>
          <w:noProof/>
        </w:rPr>
        <w:tab/>
        <w:t>15, 16, 26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Medida Provisória Alejandro Ponce Villacís e Alejando Pronce Martínez Vs. Equador</w:t>
      </w:r>
      <w:r w:rsidRPr="007D5608">
        <w:rPr>
          <w:rFonts w:cs="Times New Roman"/>
          <w:noProof/>
        </w:rPr>
        <w:t>, 2011</w:t>
      </w:r>
      <w:r>
        <w:rPr>
          <w:noProof/>
        </w:rPr>
        <w:tab/>
        <w:t>34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Medida Provisória Belfort Istúriz Vs. Venezuela</w:t>
      </w:r>
      <w:r w:rsidRPr="007D5608">
        <w:rPr>
          <w:rFonts w:cs="Times New Roman"/>
          <w:noProof/>
        </w:rPr>
        <w:t>, 2010</w:t>
      </w:r>
      <w:r>
        <w:rPr>
          <w:noProof/>
        </w:rPr>
        <w:tab/>
        <w:t>33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Medida Provisória Comunidade de Paz de San Jose de Apartadó</w:t>
      </w:r>
      <w:r w:rsidRPr="007D5608">
        <w:rPr>
          <w:rFonts w:cs="Times New Roman"/>
          <w:noProof/>
        </w:rPr>
        <w:t xml:space="preserve"> Vs. Colômbia, 2004</w:t>
      </w:r>
      <w:r>
        <w:rPr>
          <w:noProof/>
        </w:rPr>
        <w:tab/>
        <w:t>33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Medida Provisória Reggiardo Tolosa Vs. Argentina</w:t>
      </w:r>
      <w:r w:rsidRPr="007D5608">
        <w:rPr>
          <w:rFonts w:cs="Times New Roman"/>
          <w:noProof/>
        </w:rPr>
        <w:t>, 1993</w:t>
      </w:r>
      <w:r>
        <w:rPr>
          <w:noProof/>
        </w:rPr>
        <w:tab/>
        <w:t>34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Medida Provistória Jiguamiando e o Curbaradí Vs. Colômbia</w:t>
      </w:r>
      <w:r w:rsidRPr="007D5608">
        <w:rPr>
          <w:rFonts w:cs="Times New Roman"/>
          <w:noProof/>
        </w:rPr>
        <w:t>, 2003</w:t>
      </w:r>
      <w:r>
        <w:rPr>
          <w:noProof/>
        </w:rPr>
        <w:tab/>
        <w:t>33, 34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Opinião Consultiva Condição Jurídica e Direitos Humanos da Criança</w:t>
      </w:r>
      <w:r w:rsidRPr="007D5608">
        <w:rPr>
          <w:rFonts w:cs="Times New Roman"/>
          <w:noProof/>
        </w:rPr>
        <w:t>, 2002, Série A, No. 17</w:t>
      </w:r>
      <w:r>
        <w:rPr>
          <w:noProof/>
        </w:rPr>
        <w:tab/>
        <w:t>28, 29, 30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Opinião Consultiva Proposta de Modificação a Constituição Política da Costa Rica Relacionada com a Naturalização</w:t>
      </w:r>
      <w:r w:rsidRPr="007D5608">
        <w:rPr>
          <w:rFonts w:cs="Times New Roman"/>
          <w:noProof/>
        </w:rPr>
        <w:t>, 1984, Série A, No. 4</w:t>
      </w:r>
      <w:r>
        <w:rPr>
          <w:noProof/>
        </w:rPr>
        <w:tab/>
        <w:t>27, 29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t>Opinião Consultiva: A Expressão “Leis” no Artigo 30 da CADH</w:t>
      </w:r>
      <w:r w:rsidRPr="007D5608">
        <w:rPr>
          <w:rFonts w:cs="Times New Roman"/>
          <w:noProof/>
        </w:rPr>
        <w:t>, 1986, Série A, No. 6</w:t>
      </w:r>
      <w:r>
        <w:rPr>
          <w:noProof/>
        </w:rPr>
        <w:tab/>
        <w:t>29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cs="Times New Roman"/>
          <w:noProof/>
          <w:u w:val="single"/>
        </w:rPr>
        <w:lastRenderedPageBreak/>
        <w:t>Opinião Consultiva: Controle de Legalidade no Exercício das Atribuições da CIDH</w:t>
      </w:r>
      <w:r w:rsidRPr="007D5608">
        <w:rPr>
          <w:rFonts w:cs="Times New Roman"/>
          <w:noProof/>
        </w:rPr>
        <w:t xml:space="preserve"> (arts. 41 e 44 da CADH), 2005, Série A, No. 19</w:t>
      </w:r>
      <w:r>
        <w:rPr>
          <w:noProof/>
        </w:rPr>
        <w:tab/>
        <w:t>13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7D5608">
        <w:rPr>
          <w:rFonts w:eastAsia="Times New Roman" w:cs="Times New Roman"/>
          <w:noProof/>
          <w:u w:val="single"/>
        </w:rPr>
        <w:t>Opinião Consultiva: Garantias Judiciais em Estados de Emergência (arts. 27.2, 25 e 8º da CADH)</w:t>
      </w:r>
      <w:r w:rsidRPr="007D5608">
        <w:rPr>
          <w:rFonts w:eastAsia="Times New Roman" w:cs="Times New Roman"/>
          <w:noProof/>
        </w:rPr>
        <w:t>, 1987, Série A, No. 9</w:t>
      </w:r>
      <w:r>
        <w:rPr>
          <w:noProof/>
        </w:rPr>
        <w:tab/>
        <w:t>20, 31, 32</w:t>
      </w:r>
    </w:p>
    <w:p w:rsidR="003224FB" w:rsidRDefault="00AC22D6">
      <w:pPr>
        <w:pStyle w:val="TOAHeading"/>
        <w:tabs>
          <w:tab w:val="right" w:leader="dot" w:pos="935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Style w:val="SubtleReference"/>
          <w:rFonts w:cs="Times New Roman"/>
          <w:bCs w:val="0"/>
          <w:spacing w:val="5"/>
        </w:rPr>
        <w:fldChar w:fldCharType="end"/>
      </w:r>
      <w:r>
        <w:rPr>
          <w:rStyle w:val="SubtleReference"/>
          <w:rFonts w:cs="Times New Roman"/>
          <w:bCs w:val="0"/>
          <w:spacing w:val="5"/>
        </w:rPr>
        <w:fldChar w:fldCharType="begin"/>
      </w:r>
      <w:r w:rsidR="00A40096">
        <w:rPr>
          <w:rStyle w:val="SubtleReference"/>
          <w:rFonts w:cs="Times New Roman"/>
          <w:bCs w:val="0"/>
          <w:spacing w:val="5"/>
        </w:rPr>
        <w:instrText xml:space="preserve"> TOA \h \c "3" </w:instrText>
      </w:r>
      <w:r>
        <w:rPr>
          <w:rStyle w:val="SubtleReference"/>
          <w:rFonts w:cs="Times New Roman"/>
          <w:bCs w:val="0"/>
          <w:spacing w:val="5"/>
        </w:rPr>
        <w:fldChar w:fldCharType="separate"/>
      </w:r>
      <w:r w:rsidR="003224FB">
        <w:rPr>
          <w:noProof/>
        </w:rPr>
        <w:t>Casos da Corte Europeia de Direitos Humanos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Ashingdane Vs. Reino Unido</w:t>
      </w:r>
      <w:r w:rsidRPr="00AC2750">
        <w:rPr>
          <w:rFonts w:cs="Times New Roman"/>
          <w:noProof/>
        </w:rPr>
        <w:t>, 1985, Série A, No. 93</w:t>
      </w:r>
      <w:r>
        <w:rPr>
          <w:noProof/>
        </w:rPr>
        <w:tab/>
        <w:t>18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Berkova Vs. Slovakia</w:t>
      </w:r>
      <w:r w:rsidRPr="00AC2750">
        <w:rPr>
          <w:rFonts w:cs="Times New Roman"/>
          <w:noProof/>
        </w:rPr>
        <w:t xml:space="preserve">, 2009, No. </w:t>
      </w:r>
      <w:r>
        <w:rPr>
          <w:noProof/>
        </w:rPr>
        <w:t>67149</w:t>
      </w:r>
      <w:r>
        <w:rPr>
          <w:noProof/>
        </w:rPr>
        <w:tab/>
        <w:t>32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D.H e outros Vs. República Tcheca</w:t>
      </w:r>
      <w:r w:rsidRPr="00AC2750">
        <w:rPr>
          <w:rFonts w:cs="Times New Roman"/>
          <w:noProof/>
        </w:rPr>
        <w:t>, 2007, Série A, No. 57325</w:t>
      </w:r>
      <w:r>
        <w:rPr>
          <w:noProof/>
        </w:rPr>
        <w:tab/>
        <w:t>27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H. L. Vs. Reino Unido</w:t>
      </w:r>
      <w:r w:rsidRPr="00AC2750">
        <w:rPr>
          <w:rFonts w:cs="Times New Roman"/>
          <w:noProof/>
        </w:rPr>
        <w:t>, 2004, No. 45508</w:t>
      </w:r>
      <w:r>
        <w:rPr>
          <w:noProof/>
        </w:rPr>
        <w:tab/>
        <w:t>18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H.M. Vs. Suíça</w:t>
      </w:r>
      <w:r w:rsidRPr="00AC2750">
        <w:rPr>
          <w:rFonts w:cs="Times New Roman"/>
          <w:noProof/>
        </w:rPr>
        <w:t>, 2002, Série A, No. 39187</w:t>
      </w:r>
      <w:r>
        <w:rPr>
          <w:noProof/>
        </w:rPr>
        <w:tab/>
        <w:t>16, 18, 20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  <w:lang w:val="es-ES"/>
        </w:rPr>
        <w:t xml:space="preserve">Caso Kiyutin Vs. </w:t>
      </w:r>
      <w:r w:rsidRPr="00AC2750">
        <w:rPr>
          <w:rFonts w:cs="Times New Roman"/>
          <w:noProof/>
          <w:u w:val="single"/>
        </w:rPr>
        <w:t>Rússia</w:t>
      </w:r>
      <w:r w:rsidRPr="00AC2750">
        <w:rPr>
          <w:rFonts w:cs="Times New Roman"/>
          <w:noProof/>
        </w:rPr>
        <w:t>, 2011, Série A, No. 2700</w:t>
      </w:r>
      <w:r>
        <w:rPr>
          <w:noProof/>
        </w:rPr>
        <w:tab/>
        <w:t>27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Munjaz Vs. Reino Unido</w:t>
      </w:r>
      <w:r w:rsidRPr="00AC2750">
        <w:rPr>
          <w:rFonts w:cs="Times New Roman"/>
          <w:noProof/>
        </w:rPr>
        <w:t>, 2012, Série A, No. 2913</w:t>
      </w:r>
      <w:r>
        <w:rPr>
          <w:noProof/>
        </w:rPr>
        <w:tab/>
        <w:t>16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Nielsen Vs. Dinamarca</w:t>
      </w:r>
      <w:r w:rsidRPr="00AC2750">
        <w:rPr>
          <w:rFonts w:cs="Times New Roman"/>
          <w:noProof/>
        </w:rPr>
        <w:t>, 1988, Série A, No 144</w:t>
      </w:r>
      <w:r>
        <w:rPr>
          <w:noProof/>
        </w:rPr>
        <w:tab/>
        <w:t>18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Plesó Vs. Hungria</w:t>
      </w:r>
      <w:r w:rsidRPr="00AC2750">
        <w:rPr>
          <w:rFonts w:cs="Times New Roman"/>
          <w:noProof/>
        </w:rPr>
        <w:t>, 2012, Série A, No. 41242</w:t>
      </w:r>
      <w:r>
        <w:rPr>
          <w:noProof/>
        </w:rPr>
        <w:tab/>
        <w:t>18, 23</w:t>
      </w:r>
    </w:p>
    <w:p w:rsidR="00F37691" w:rsidRDefault="00246061">
      <w:pPr>
        <w:pStyle w:val="TableofAuthorities"/>
        <w:tabs>
          <w:tab w:val="right" w:leader="dot" w:pos="9352"/>
        </w:tabs>
        <w:rPr>
          <w:rFonts w:cs="Times New Roman"/>
          <w:noProof/>
          <w:u w:val="single"/>
        </w:rPr>
      </w:pPr>
      <w:r w:rsidRPr="004F702A">
        <w:rPr>
          <w:rFonts w:eastAsia="Times New Roman" w:cs="Times New Roman"/>
          <w:color w:val="000000"/>
          <w:u w:val="single"/>
        </w:rPr>
        <w:t>Caso Schneiter Vs. Suíça</w:t>
      </w:r>
      <w:r w:rsidRPr="004F702A">
        <w:rPr>
          <w:rFonts w:eastAsia="Times New Roman" w:cs="Times New Roman"/>
          <w:color w:val="000000"/>
        </w:rPr>
        <w:t>,</w:t>
      </w:r>
      <w:r w:rsidRPr="00177C4F">
        <w:rPr>
          <w:rFonts w:eastAsia="Times New Roman" w:cs="Times New Roman"/>
          <w:color w:val="000000"/>
        </w:rPr>
        <w:t xml:space="preserve"> </w:t>
      </w:r>
      <w:r w:rsidRPr="004F702A">
        <w:rPr>
          <w:rFonts w:eastAsia="Times New Roman" w:cs="Times New Roman"/>
          <w:color w:val="000000"/>
        </w:rPr>
        <w:t xml:space="preserve">2005, No. </w:t>
      </w:r>
      <w:r>
        <w:rPr>
          <w:rFonts w:eastAsia="Times New Roman" w:cs="Times New Roman"/>
          <w:color w:val="000000"/>
        </w:rPr>
        <w:t>63062</w:t>
      </w:r>
      <w:r>
        <w:rPr>
          <w:noProof/>
        </w:rPr>
        <w:tab/>
        <w:t>26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Shtukaturov Vs. Rússia</w:t>
      </w:r>
      <w:r w:rsidRPr="00AC2750">
        <w:rPr>
          <w:rFonts w:cs="Times New Roman"/>
          <w:noProof/>
        </w:rPr>
        <w:t>, 2008, Série A, No. 44009</w:t>
      </w:r>
      <w:r>
        <w:rPr>
          <w:noProof/>
        </w:rPr>
        <w:tab/>
        <w:t>18, 32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AC2750">
        <w:rPr>
          <w:rFonts w:cs="Times New Roman"/>
          <w:noProof/>
          <w:u w:val="single"/>
        </w:rPr>
        <w:t>Caso V.C. Vs. Eslováquia</w:t>
      </w:r>
      <w:r w:rsidRPr="00AC2750">
        <w:rPr>
          <w:rFonts w:cs="Times New Roman"/>
          <w:noProof/>
        </w:rPr>
        <w:t>, 2011, Série A, No. 18968</w:t>
      </w:r>
      <w:r>
        <w:rPr>
          <w:noProof/>
        </w:rPr>
        <w:tab/>
        <w:t>25</w:t>
      </w:r>
    </w:p>
    <w:p w:rsidR="003224FB" w:rsidRDefault="00AC22D6">
      <w:pPr>
        <w:pStyle w:val="TOAHeading"/>
        <w:tabs>
          <w:tab w:val="right" w:leader="dot" w:pos="935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Style w:val="SubtleReference"/>
          <w:rFonts w:cs="Times New Roman"/>
          <w:bCs w:val="0"/>
          <w:spacing w:val="5"/>
        </w:rPr>
        <w:fldChar w:fldCharType="end"/>
      </w:r>
      <w:r>
        <w:rPr>
          <w:rStyle w:val="SubtleReference"/>
          <w:rFonts w:cs="Times New Roman"/>
          <w:bCs w:val="0"/>
          <w:spacing w:val="5"/>
        </w:rPr>
        <w:fldChar w:fldCharType="begin"/>
      </w:r>
      <w:r w:rsidR="00A40096">
        <w:rPr>
          <w:rStyle w:val="SubtleReference"/>
          <w:rFonts w:cs="Times New Roman"/>
          <w:bCs w:val="0"/>
          <w:spacing w:val="5"/>
        </w:rPr>
        <w:instrText xml:space="preserve"> TOA \h \c "4" </w:instrText>
      </w:r>
      <w:r>
        <w:rPr>
          <w:rStyle w:val="SubtleReference"/>
          <w:rFonts w:cs="Times New Roman"/>
          <w:bCs w:val="0"/>
          <w:spacing w:val="5"/>
        </w:rPr>
        <w:fldChar w:fldCharType="separate"/>
      </w:r>
      <w:r w:rsidR="003224FB">
        <w:rPr>
          <w:noProof/>
        </w:rPr>
        <w:t>Documentos da Comissão Interamericana de Direitos Humanos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B32E36">
        <w:rPr>
          <w:rFonts w:cs="Times New Roman"/>
          <w:noProof/>
          <w:u w:val="single"/>
        </w:rPr>
        <w:t>Caso Alex Solis Fallas Vs. Costa Rica</w:t>
      </w:r>
      <w:r w:rsidRPr="00B32E36">
        <w:rPr>
          <w:rFonts w:cs="Times New Roman"/>
          <w:noProof/>
        </w:rPr>
        <w:t>, 2008, No. 49, Informe Nº 15/08</w:t>
      </w:r>
      <w:r>
        <w:rPr>
          <w:noProof/>
        </w:rPr>
        <w:tab/>
        <w:t>12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B32E36">
        <w:rPr>
          <w:rFonts w:cs="Times New Roman"/>
          <w:noProof/>
          <w:u w:val="single"/>
        </w:rPr>
        <w:t>Caso Santiago Marzioni Vs. Argentina</w:t>
      </w:r>
      <w:r w:rsidRPr="00B32E36">
        <w:rPr>
          <w:rFonts w:cs="Times New Roman"/>
          <w:noProof/>
        </w:rPr>
        <w:t>, 1997, Série L, No. 11.673, Report 39/96, §5.</w:t>
      </w:r>
      <w:r>
        <w:rPr>
          <w:noProof/>
        </w:rPr>
        <w:tab/>
        <w:t>11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3224FB">
        <w:rPr>
          <w:rFonts w:cs="Times New Roman"/>
          <w:noProof/>
          <w:u w:val="single"/>
        </w:rPr>
        <w:t>Petition and Case System Informational Brochure</w:t>
      </w:r>
      <w:r w:rsidRPr="003224FB">
        <w:rPr>
          <w:rFonts w:cs="Times New Roman"/>
          <w:noProof/>
        </w:rPr>
        <w:t>, 2010</w:t>
      </w:r>
      <w:r>
        <w:rPr>
          <w:noProof/>
        </w:rPr>
        <w:tab/>
        <w:t>11</w:t>
      </w:r>
    </w:p>
    <w:p w:rsidR="003224FB" w:rsidRDefault="00AC22D6">
      <w:pPr>
        <w:pStyle w:val="TOAHeading"/>
        <w:tabs>
          <w:tab w:val="right" w:leader="dot" w:pos="935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Style w:val="SubtleReference"/>
          <w:rFonts w:cs="Times New Roman"/>
          <w:bCs w:val="0"/>
          <w:spacing w:val="5"/>
        </w:rPr>
        <w:fldChar w:fldCharType="end"/>
      </w:r>
      <w:r>
        <w:rPr>
          <w:rStyle w:val="SubtleReference"/>
          <w:rFonts w:cs="Times New Roman"/>
          <w:bCs w:val="0"/>
          <w:spacing w:val="5"/>
        </w:rPr>
        <w:fldChar w:fldCharType="begin"/>
      </w:r>
      <w:r w:rsidR="00A40096">
        <w:rPr>
          <w:rStyle w:val="SubtleReference"/>
          <w:rFonts w:cs="Times New Roman"/>
          <w:bCs w:val="0"/>
          <w:spacing w:val="5"/>
        </w:rPr>
        <w:instrText xml:space="preserve"> TOA \h \c "5" </w:instrText>
      </w:r>
      <w:r>
        <w:rPr>
          <w:rStyle w:val="SubtleReference"/>
          <w:rFonts w:cs="Times New Roman"/>
          <w:bCs w:val="0"/>
          <w:spacing w:val="5"/>
        </w:rPr>
        <w:fldChar w:fldCharType="separate"/>
      </w:r>
      <w:r w:rsidR="003224FB">
        <w:rPr>
          <w:noProof/>
        </w:rPr>
        <w:t>Documentos da Organização das Nações Unidas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3224FB">
        <w:rPr>
          <w:rFonts w:cs="Times New Roman"/>
          <w:noProof/>
        </w:rPr>
        <w:t>“</w:t>
      </w:r>
      <w:r w:rsidRPr="003224FB">
        <w:rPr>
          <w:rFonts w:cs="Times New Roman"/>
          <w:noProof/>
          <w:u w:val="single"/>
        </w:rPr>
        <w:t>Forgotten Europeans Forgotten Rights</w:t>
      </w:r>
      <w:r w:rsidRPr="003224FB">
        <w:rPr>
          <w:rFonts w:cs="Times New Roman"/>
          <w:noProof/>
        </w:rPr>
        <w:t>” (2011)</w:t>
      </w:r>
      <w:r>
        <w:rPr>
          <w:noProof/>
        </w:rPr>
        <w:tab/>
        <w:t>22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F70396">
        <w:rPr>
          <w:rFonts w:cs="Times New Roman"/>
          <w:noProof/>
        </w:rPr>
        <w:lastRenderedPageBreak/>
        <w:t xml:space="preserve">CDESC, </w:t>
      </w:r>
      <w:r w:rsidRPr="00F70396">
        <w:rPr>
          <w:rFonts w:cs="Times New Roman"/>
          <w:noProof/>
          <w:u w:val="single"/>
        </w:rPr>
        <w:t>Observação Geral: A índole das obrigações dos Estados Partes</w:t>
      </w:r>
      <w:r w:rsidRPr="00F70396">
        <w:rPr>
          <w:rFonts w:cs="Times New Roman"/>
          <w:noProof/>
        </w:rPr>
        <w:t xml:space="preserve"> (art. 2.1 do Pacto), 1990, No. 3</w:t>
      </w:r>
      <w:r>
        <w:rPr>
          <w:noProof/>
        </w:rPr>
        <w:tab/>
        <w:t>17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3224FB">
        <w:rPr>
          <w:rFonts w:cs="Times New Roman"/>
          <w:noProof/>
          <w:u w:val="single"/>
        </w:rPr>
        <w:t>Princípios para a Proteção de Pessoas com Doença Mental e para a Melhoria dos Cuidados de Saúde Mental</w:t>
      </w:r>
      <w:r w:rsidRPr="003224FB">
        <w:rPr>
          <w:rFonts w:cs="Times New Roman"/>
          <w:noProof/>
        </w:rPr>
        <w:t xml:space="preserve"> (1991), A/RES/46/119</w:t>
      </w:r>
      <w:r>
        <w:rPr>
          <w:noProof/>
        </w:rPr>
        <w:tab/>
        <w:t>16, 23, 31</w:t>
      </w:r>
    </w:p>
    <w:p w:rsidR="003224FB" w:rsidRDefault="00AC22D6">
      <w:pPr>
        <w:pStyle w:val="TOAHeading"/>
        <w:tabs>
          <w:tab w:val="right" w:leader="dot" w:pos="935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Style w:val="SubtleReference"/>
          <w:rFonts w:cs="Times New Roman"/>
          <w:bCs w:val="0"/>
          <w:spacing w:val="5"/>
        </w:rPr>
        <w:fldChar w:fldCharType="end"/>
      </w:r>
      <w:r>
        <w:rPr>
          <w:rStyle w:val="SubtleReference"/>
          <w:rFonts w:cs="Times New Roman"/>
          <w:bCs w:val="0"/>
          <w:spacing w:val="5"/>
        </w:rPr>
        <w:fldChar w:fldCharType="begin"/>
      </w:r>
      <w:r w:rsidR="00A40096" w:rsidRPr="004907D6">
        <w:rPr>
          <w:rStyle w:val="SubtleReference"/>
          <w:rFonts w:cs="Times New Roman"/>
          <w:bCs w:val="0"/>
          <w:spacing w:val="5"/>
        </w:rPr>
        <w:instrText xml:space="preserve"> TOA \h \c "6" </w:instrText>
      </w:r>
      <w:r>
        <w:rPr>
          <w:rStyle w:val="SubtleReference"/>
          <w:rFonts w:cs="Times New Roman"/>
          <w:bCs w:val="0"/>
          <w:spacing w:val="5"/>
        </w:rPr>
        <w:fldChar w:fldCharType="separate"/>
      </w:r>
      <w:r w:rsidR="003224FB">
        <w:rPr>
          <w:noProof/>
        </w:rPr>
        <w:t>Artigos</w:t>
      </w:r>
    </w:p>
    <w:p w:rsidR="003224FB" w:rsidRPr="003224FB" w:rsidRDefault="003224FB">
      <w:pPr>
        <w:pStyle w:val="TableofAuthorities"/>
        <w:tabs>
          <w:tab w:val="right" w:leader="dot" w:pos="9352"/>
        </w:tabs>
        <w:rPr>
          <w:noProof/>
          <w:lang w:val="en-US"/>
        </w:rPr>
      </w:pPr>
      <w:r w:rsidRPr="00DD6B8F">
        <w:rPr>
          <w:rFonts w:cs="Times New Roman"/>
          <w:noProof/>
        </w:rPr>
        <w:t xml:space="preserve">ALVARADO, P. </w:t>
      </w:r>
      <w:r w:rsidRPr="00DD6B8F">
        <w:rPr>
          <w:rFonts w:cs="Times New Roman"/>
          <w:noProof/>
          <w:u w:val="single"/>
        </w:rPr>
        <w:t>El derecho al acesso a la justicia em la jurisprudencia Latino Americana</w:t>
      </w:r>
      <w:r w:rsidRPr="00DD6B8F">
        <w:rPr>
          <w:rFonts w:cs="Times New Roman"/>
          <w:noProof/>
        </w:rPr>
        <w:t xml:space="preserve">. </w:t>
      </w:r>
      <w:r w:rsidRPr="003224FB">
        <w:rPr>
          <w:rFonts w:cs="Times New Roman"/>
          <w:noProof/>
          <w:lang w:val="en-US"/>
        </w:rPr>
        <w:t>Bogotá: Departamento de Publicaciones, 2010</w:t>
      </w:r>
      <w:r w:rsidRPr="003224FB">
        <w:rPr>
          <w:noProof/>
          <w:lang w:val="en-US"/>
        </w:rPr>
        <w:tab/>
        <w:t>31</w:t>
      </w:r>
    </w:p>
    <w:p w:rsidR="003224FB" w:rsidRPr="003224FB" w:rsidRDefault="003224FB">
      <w:pPr>
        <w:pStyle w:val="TableofAuthorities"/>
        <w:tabs>
          <w:tab w:val="right" w:leader="dot" w:pos="9352"/>
        </w:tabs>
        <w:rPr>
          <w:noProof/>
          <w:lang w:val="en-US"/>
        </w:rPr>
      </w:pPr>
      <w:r w:rsidRPr="00DD6B8F">
        <w:rPr>
          <w:rFonts w:cs="Times New Roman"/>
          <w:noProof/>
          <w:lang w:val="en-US"/>
        </w:rPr>
        <w:t xml:space="preserve">BOYCE, P. et. al. </w:t>
      </w:r>
      <w:r w:rsidRPr="00DD6B8F">
        <w:rPr>
          <w:rFonts w:cs="Times New Roman"/>
          <w:noProof/>
          <w:u w:val="single"/>
          <w:lang w:val="en-US"/>
        </w:rPr>
        <w:t>Obstetric risk factors for postnatal depression in urban and rural community samples</w:t>
      </w:r>
      <w:r w:rsidRPr="00DD6B8F">
        <w:rPr>
          <w:rFonts w:cs="Times New Roman"/>
          <w:noProof/>
          <w:lang w:val="en-US"/>
        </w:rPr>
        <w:t xml:space="preserve">. </w:t>
      </w:r>
      <w:r w:rsidRPr="00DD6B8F">
        <w:rPr>
          <w:rFonts w:cs="Times New Roman"/>
          <w:i/>
          <w:noProof/>
          <w:lang w:val="en-US"/>
        </w:rPr>
        <w:t>AustNZI Psychiatry</w:t>
      </w:r>
      <w:r w:rsidRPr="00DD6B8F">
        <w:rPr>
          <w:rFonts w:cs="Times New Roman"/>
          <w:noProof/>
          <w:lang w:val="en-US"/>
        </w:rPr>
        <w:t>, n. 35, 2001</w:t>
      </w:r>
      <w:r w:rsidRPr="003224FB">
        <w:rPr>
          <w:noProof/>
          <w:lang w:val="en-US"/>
        </w:rPr>
        <w:tab/>
        <w:t>24</w:t>
      </w:r>
    </w:p>
    <w:p w:rsidR="003224FB" w:rsidRDefault="003224FB">
      <w:pPr>
        <w:pStyle w:val="TableofAuthorities"/>
        <w:tabs>
          <w:tab w:val="right" w:leader="dot" w:pos="9352"/>
        </w:tabs>
        <w:rPr>
          <w:rFonts w:cs="Times New Roman"/>
          <w:noProof/>
          <w:lang w:val="en-US"/>
        </w:rPr>
      </w:pPr>
      <w:r w:rsidRPr="001F783A">
        <w:rPr>
          <w:rFonts w:cs="Times New Roman"/>
          <w:szCs w:val="20"/>
          <w:lang w:val="en-US"/>
        </w:rPr>
        <w:t xml:space="preserve">FARREL, B. </w:t>
      </w:r>
      <w:r w:rsidRPr="001F783A">
        <w:rPr>
          <w:rFonts w:cs="Times New Roman"/>
          <w:szCs w:val="20"/>
          <w:u w:val="single"/>
          <w:lang w:val="en-US"/>
        </w:rPr>
        <w:t>The Right to Habeas Corpus in the Inter-American Human Rights System</w:t>
      </w:r>
      <w:r>
        <w:rPr>
          <w:rFonts w:cs="Times New Roman"/>
          <w:szCs w:val="20"/>
          <w:lang w:val="en-US"/>
        </w:rPr>
        <w:t xml:space="preserve">. </w:t>
      </w:r>
      <w:r w:rsidRPr="001F783A">
        <w:rPr>
          <w:rFonts w:cs="Times New Roman"/>
          <w:i/>
          <w:szCs w:val="20"/>
          <w:lang w:val="en-US"/>
        </w:rPr>
        <w:t>Suffolk Transnational Law Review</w:t>
      </w:r>
      <w:r>
        <w:rPr>
          <w:rFonts w:cs="Times New Roman"/>
          <w:szCs w:val="20"/>
          <w:lang w:val="en-US"/>
        </w:rPr>
        <w:t>, v. 33, n. 2, 2010.</w:t>
      </w:r>
      <w:r w:rsidRPr="003224FB">
        <w:rPr>
          <w:noProof/>
          <w:lang w:val="en-US"/>
        </w:rPr>
        <w:t xml:space="preserve"> </w:t>
      </w:r>
      <w:r w:rsidRPr="003224FB">
        <w:rPr>
          <w:noProof/>
          <w:lang w:val="en-US"/>
        </w:rPr>
        <w:tab/>
      </w:r>
      <w:r>
        <w:rPr>
          <w:noProof/>
          <w:lang w:val="en-US"/>
        </w:rPr>
        <w:t>20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3224FB">
        <w:rPr>
          <w:rFonts w:cs="Times New Roman"/>
          <w:noProof/>
          <w:lang w:val="en-US"/>
        </w:rPr>
        <w:t xml:space="preserve">DHANDA, Amita. </w:t>
      </w:r>
      <w:r w:rsidRPr="003224FB">
        <w:rPr>
          <w:rFonts w:cs="Times New Roman"/>
          <w:noProof/>
          <w:u w:val="single"/>
          <w:lang w:val="en-US"/>
        </w:rPr>
        <w:t>Constructing a new HR lexicon - Convention on the Rights of Persons with Disabilities</w:t>
      </w:r>
      <w:r w:rsidRPr="003224FB">
        <w:rPr>
          <w:rFonts w:cs="Times New Roman"/>
          <w:noProof/>
          <w:lang w:val="en-US"/>
        </w:rPr>
        <w:t xml:space="preserve">. </w:t>
      </w:r>
      <w:r w:rsidRPr="00DD6B8F">
        <w:rPr>
          <w:rFonts w:cs="Times New Roman"/>
          <w:i/>
          <w:noProof/>
        </w:rPr>
        <w:t>Revista</w:t>
      </w:r>
      <w:r w:rsidRPr="00DD6B8F">
        <w:rPr>
          <w:rFonts w:cs="Times New Roman"/>
          <w:noProof/>
        </w:rPr>
        <w:t xml:space="preserve"> </w:t>
      </w:r>
      <w:r w:rsidRPr="00DD6B8F">
        <w:rPr>
          <w:rFonts w:cs="Times New Roman"/>
          <w:i/>
          <w:noProof/>
        </w:rPr>
        <w:t>SUR</w:t>
      </w:r>
      <w:r w:rsidRPr="00DD6B8F">
        <w:rPr>
          <w:rFonts w:cs="Times New Roman"/>
          <w:noProof/>
        </w:rPr>
        <w:t>, São Paulo, v. 5, n. 8, jun. 2008</w:t>
      </w:r>
      <w:r>
        <w:rPr>
          <w:noProof/>
        </w:rPr>
        <w:tab/>
        <w:t>15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3224FB">
        <w:rPr>
          <w:rFonts w:cs="Times New Roman"/>
          <w:noProof/>
        </w:rPr>
        <w:t xml:space="preserve">ROBERTSON, E. et. al. </w:t>
      </w:r>
      <w:r w:rsidRPr="00DD6B8F">
        <w:rPr>
          <w:rFonts w:cs="Times New Roman"/>
          <w:noProof/>
          <w:u w:val="single"/>
          <w:lang w:val="en-US"/>
        </w:rPr>
        <w:t>Antenatal risk factors for postpartum depression: A synthesis of recent literature.</w:t>
      </w:r>
      <w:r w:rsidRPr="00DD6B8F">
        <w:rPr>
          <w:rFonts w:cs="Times New Roman"/>
          <w:noProof/>
          <w:lang w:val="en-US"/>
        </w:rPr>
        <w:t xml:space="preserve"> </w:t>
      </w:r>
      <w:r w:rsidRPr="003224FB">
        <w:rPr>
          <w:rFonts w:cs="Times New Roman"/>
          <w:i/>
          <w:noProof/>
        </w:rPr>
        <w:t>Gerneral Hospital Psychiatry</w:t>
      </w:r>
      <w:r w:rsidRPr="003224FB">
        <w:rPr>
          <w:rFonts w:cs="Times New Roman"/>
          <w:noProof/>
        </w:rPr>
        <w:t>, n. 26, 2004</w:t>
      </w:r>
      <w:r>
        <w:rPr>
          <w:noProof/>
        </w:rPr>
        <w:tab/>
        <w:t>24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DD6B8F">
        <w:rPr>
          <w:rFonts w:cs="Times New Roman"/>
          <w:noProof/>
        </w:rPr>
        <w:t xml:space="preserve">TRINDADE, Antônio Augusto Cançado. </w:t>
      </w:r>
      <w:r w:rsidRPr="00DD6B8F">
        <w:rPr>
          <w:rFonts w:cs="Times New Roman"/>
          <w:noProof/>
          <w:u w:val="single"/>
        </w:rPr>
        <w:t>A interação entre o direito internacional e o direito interno na proteção dos direitos humanos</w:t>
      </w:r>
      <w:r w:rsidRPr="00DD6B8F">
        <w:rPr>
          <w:rFonts w:cs="Times New Roman"/>
          <w:noProof/>
        </w:rPr>
        <w:t xml:space="preserve">. </w:t>
      </w:r>
      <w:r w:rsidRPr="00DD6B8F">
        <w:rPr>
          <w:rFonts w:cs="Times New Roman"/>
          <w:i/>
          <w:noProof/>
        </w:rPr>
        <w:t>Arquivos do Ministério da Justiça</w:t>
      </w:r>
      <w:r w:rsidRPr="00DD6B8F">
        <w:rPr>
          <w:rFonts w:cs="Times New Roman"/>
          <w:noProof/>
        </w:rPr>
        <w:t>, Brasília, v. 46, n. 182, 1993</w:t>
      </w:r>
      <w:r>
        <w:rPr>
          <w:noProof/>
        </w:rPr>
        <w:tab/>
        <w:t>13</w:t>
      </w:r>
    </w:p>
    <w:p w:rsidR="003224FB" w:rsidRDefault="00AC22D6">
      <w:pPr>
        <w:pStyle w:val="TOAHeading"/>
        <w:tabs>
          <w:tab w:val="right" w:leader="dot" w:pos="935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Style w:val="SubtleReference"/>
          <w:rFonts w:cs="Times New Roman"/>
          <w:bCs w:val="0"/>
          <w:spacing w:val="5"/>
        </w:rPr>
        <w:fldChar w:fldCharType="end"/>
      </w:r>
      <w:r>
        <w:rPr>
          <w:rStyle w:val="SubtleReference"/>
          <w:rFonts w:cs="Times New Roman"/>
          <w:bCs w:val="0"/>
          <w:spacing w:val="5"/>
        </w:rPr>
        <w:fldChar w:fldCharType="begin"/>
      </w:r>
      <w:r w:rsidR="00A40096" w:rsidRPr="00E74DC9">
        <w:rPr>
          <w:rStyle w:val="SubtleReference"/>
          <w:rFonts w:cs="Times New Roman"/>
          <w:bCs w:val="0"/>
          <w:spacing w:val="5"/>
        </w:rPr>
        <w:instrText xml:space="preserve"> TOA \h \c "7" </w:instrText>
      </w:r>
      <w:r>
        <w:rPr>
          <w:rStyle w:val="SubtleReference"/>
          <w:rFonts w:cs="Times New Roman"/>
          <w:bCs w:val="0"/>
          <w:spacing w:val="5"/>
        </w:rPr>
        <w:fldChar w:fldCharType="separate"/>
      </w:r>
      <w:r w:rsidR="003224FB">
        <w:rPr>
          <w:noProof/>
        </w:rPr>
        <w:t>Livros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3224FB">
        <w:rPr>
          <w:rFonts w:cs="Times New Roman"/>
          <w:noProof/>
        </w:rPr>
        <w:t xml:space="preserve">QUINN, Gerard; ARSTEIN-KERSLAKE, Ana. </w:t>
      </w:r>
      <w:r w:rsidRPr="009549AF">
        <w:rPr>
          <w:rFonts w:cs="Times New Roman"/>
          <w:noProof/>
          <w:u w:val="single"/>
          <w:lang w:val="en-US"/>
        </w:rPr>
        <w:t>Restoring the ‘Human’ in ‘Human Rights’ personhood and doctrinal innovation in the UN disability convention</w:t>
      </w:r>
      <w:r w:rsidRPr="009549AF">
        <w:rPr>
          <w:rFonts w:cs="Times New Roman"/>
          <w:noProof/>
          <w:lang w:val="en-US"/>
        </w:rPr>
        <w:t xml:space="preserve">. In: GEARTY, Conor; DOUZINAS. Costas (Eds.). </w:t>
      </w:r>
      <w:r w:rsidRPr="009549AF">
        <w:rPr>
          <w:rFonts w:cs="Times New Roman"/>
          <w:i/>
          <w:noProof/>
          <w:lang w:val="en-US"/>
        </w:rPr>
        <w:t>The Cambridge Companion to Human Rights Law</w:t>
      </w:r>
      <w:r w:rsidRPr="009549AF">
        <w:rPr>
          <w:rFonts w:cs="Times New Roman"/>
          <w:noProof/>
          <w:lang w:val="en-US"/>
        </w:rPr>
        <w:t xml:space="preserve">. </w:t>
      </w:r>
      <w:r w:rsidRPr="003224FB">
        <w:rPr>
          <w:rFonts w:cs="Times New Roman"/>
          <w:noProof/>
        </w:rPr>
        <w:t>Cambridge, UK: Cambrige University Press, 2012</w:t>
      </w:r>
      <w:r>
        <w:rPr>
          <w:noProof/>
        </w:rPr>
        <w:tab/>
        <w:t>14</w:t>
      </w:r>
    </w:p>
    <w:p w:rsidR="003224FB" w:rsidRDefault="00AC22D6">
      <w:pPr>
        <w:pStyle w:val="TOAHeading"/>
        <w:tabs>
          <w:tab w:val="right" w:leader="dot" w:pos="935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Style w:val="SubtleReference"/>
          <w:rFonts w:cs="Times New Roman"/>
          <w:bCs w:val="0"/>
          <w:spacing w:val="5"/>
        </w:rPr>
        <w:lastRenderedPageBreak/>
        <w:fldChar w:fldCharType="end"/>
      </w:r>
      <w:r>
        <w:rPr>
          <w:rStyle w:val="SubtleReference"/>
          <w:rFonts w:cs="Times New Roman"/>
          <w:bCs w:val="0"/>
          <w:spacing w:val="5"/>
        </w:rPr>
        <w:fldChar w:fldCharType="begin"/>
      </w:r>
      <w:r w:rsidR="00A40096">
        <w:rPr>
          <w:rStyle w:val="SubtleReference"/>
          <w:rFonts w:cs="Times New Roman"/>
          <w:bCs w:val="0"/>
          <w:spacing w:val="5"/>
        </w:rPr>
        <w:instrText xml:space="preserve"> TOA \h \c "8" </w:instrText>
      </w:r>
      <w:r>
        <w:rPr>
          <w:rStyle w:val="SubtleReference"/>
          <w:rFonts w:cs="Times New Roman"/>
          <w:bCs w:val="0"/>
          <w:spacing w:val="5"/>
        </w:rPr>
        <w:fldChar w:fldCharType="separate"/>
      </w:r>
      <w:r w:rsidR="003224FB">
        <w:rPr>
          <w:noProof/>
        </w:rPr>
        <w:t>Miscelânea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D62447">
        <w:rPr>
          <w:rFonts w:cs="Times New Roman"/>
          <w:noProof/>
        </w:rPr>
        <w:t xml:space="preserve">CmDPD, </w:t>
      </w:r>
      <w:r w:rsidRPr="00D62447">
        <w:rPr>
          <w:rFonts w:cs="Times New Roman"/>
          <w:noProof/>
          <w:u w:val="single"/>
        </w:rPr>
        <w:t>Projeto de Comentário Geral sobre o art. 12 da CDPD</w:t>
      </w:r>
      <w:r>
        <w:rPr>
          <w:noProof/>
        </w:rPr>
        <w:tab/>
        <w:t>28</w:t>
      </w:r>
    </w:p>
    <w:p w:rsidR="003224FB" w:rsidRPr="003224FB" w:rsidRDefault="003224FB">
      <w:pPr>
        <w:pStyle w:val="TableofAuthorities"/>
        <w:tabs>
          <w:tab w:val="right" w:leader="dot" w:pos="9352"/>
        </w:tabs>
        <w:rPr>
          <w:noProof/>
          <w:lang w:val="en-US"/>
        </w:rPr>
      </w:pPr>
      <w:r w:rsidRPr="00D62447">
        <w:rPr>
          <w:rFonts w:cs="Times New Roman"/>
          <w:noProof/>
          <w:lang w:val="en-US"/>
        </w:rPr>
        <w:t xml:space="preserve">CPT, </w:t>
      </w:r>
      <w:r w:rsidRPr="00D62447">
        <w:rPr>
          <w:rFonts w:cs="Times New Roman"/>
          <w:noProof/>
          <w:u w:val="single"/>
          <w:lang w:val="en-US"/>
        </w:rPr>
        <w:t>Standards on Involuntary Placement in Psychiatric Establishments</w:t>
      </w:r>
      <w:r w:rsidRPr="00D62447">
        <w:rPr>
          <w:rFonts w:cs="Times New Roman"/>
          <w:noProof/>
          <w:lang w:val="en-US"/>
        </w:rPr>
        <w:t xml:space="preserve"> (1997)</w:t>
      </w:r>
      <w:r w:rsidRPr="003224FB">
        <w:rPr>
          <w:noProof/>
          <w:lang w:val="en-US"/>
        </w:rPr>
        <w:tab/>
        <w:t>16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D62447">
        <w:rPr>
          <w:rFonts w:cs="Times New Roman"/>
          <w:noProof/>
        </w:rPr>
        <w:t xml:space="preserve">OEA, </w:t>
      </w:r>
      <w:r w:rsidRPr="00D62447">
        <w:rPr>
          <w:rFonts w:cs="Times New Roman"/>
          <w:noProof/>
          <w:u w:val="single"/>
        </w:rPr>
        <w:t>Protocolo de São Salvador</w:t>
      </w:r>
      <w:r w:rsidRPr="00D62447">
        <w:rPr>
          <w:rFonts w:cs="Times New Roman"/>
          <w:noProof/>
        </w:rPr>
        <w:t xml:space="preserve"> (1988)</w:t>
      </w:r>
      <w:r>
        <w:rPr>
          <w:noProof/>
        </w:rPr>
        <w:tab/>
        <w:t>17, 22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D62447">
        <w:rPr>
          <w:rFonts w:cs="Times New Roman"/>
          <w:noProof/>
          <w:u w:val="single"/>
        </w:rPr>
        <w:t>Regulamento da Comissão Interamericana de Direitos Humanos</w:t>
      </w:r>
      <w:r w:rsidRPr="00D62447">
        <w:rPr>
          <w:rFonts w:cs="Times New Roman"/>
          <w:noProof/>
        </w:rPr>
        <w:t xml:space="preserve"> (2013)</w:t>
      </w:r>
      <w:r>
        <w:rPr>
          <w:noProof/>
        </w:rPr>
        <w:tab/>
        <w:t>13, 34</w:t>
      </w:r>
    </w:p>
    <w:p w:rsidR="003224FB" w:rsidRDefault="003224FB">
      <w:pPr>
        <w:pStyle w:val="TableofAuthorities"/>
        <w:tabs>
          <w:tab w:val="right" w:leader="dot" w:pos="9352"/>
        </w:tabs>
        <w:rPr>
          <w:noProof/>
        </w:rPr>
      </w:pPr>
      <w:r w:rsidRPr="00D62447">
        <w:rPr>
          <w:rFonts w:cs="Times New Roman"/>
          <w:noProof/>
          <w:u w:val="single"/>
        </w:rPr>
        <w:t>Regulamento da Corte Interamericana de Direitos Humanos</w:t>
      </w:r>
      <w:r w:rsidRPr="00D62447">
        <w:rPr>
          <w:rFonts w:cs="Times New Roman"/>
          <w:noProof/>
        </w:rPr>
        <w:t xml:space="preserve"> (2009)</w:t>
      </w:r>
      <w:r>
        <w:rPr>
          <w:noProof/>
        </w:rPr>
        <w:tab/>
        <w:t>33, 35</w:t>
      </w:r>
    </w:p>
    <w:p w:rsidR="00371D3C" w:rsidRPr="00371D3C" w:rsidRDefault="00AC22D6" w:rsidP="00811CD6">
      <w:pPr>
        <w:pStyle w:val="ListParagraph"/>
        <w:numPr>
          <w:ilvl w:val="0"/>
          <w:numId w:val="2"/>
        </w:numPr>
        <w:spacing w:line="480" w:lineRule="auto"/>
        <w:ind w:left="0" w:firstLine="0"/>
        <w:rPr>
          <w:rStyle w:val="SubtleReference"/>
          <w:rFonts w:cs="Times New Roman"/>
          <w:bCs/>
          <w:spacing w:val="5"/>
          <w:szCs w:val="24"/>
        </w:rPr>
      </w:pPr>
      <w:r>
        <w:rPr>
          <w:rStyle w:val="SubtleReference"/>
          <w:rFonts w:cs="Times New Roman"/>
          <w:bCs/>
          <w:spacing w:val="5"/>
          <w:szCs w:val="24"/>
        </w:rPr>
        <w:fldChar w:fldCharType="end"/>
      </w:r>
      <w:bookmarkStart w:id="3" w:name="_Toc383464263"/>
      <w:r w:rsidR="008367E0" w:rsidRPr="0075476C">
        <w:rPr>
          <w:rStyle w:val="SubtleReference"/>
          <w:rFonts w:cs="Times New Roman"/>
          <w:szCs w:val="24"/>
        </w:rPr>
        <w:t>Abreviaturas</w:t>
      </w:r>
      <w:bookmarkEnd w:id="3"/>
    </w:p>
    <w:p w:rsidR="00C31954" w:rsidRPr="00C31954" w:rsidRDefault="00C31954" w:rsidP="00811CD6">
      <w:pPr>
        <w:tabs>
          <w:tab w:val="left" w:pos="1701"/>
          <w:tab w:val="left" w:pos="2127"/>
        </w:tabs>
        <w:rPr>
          <w:rFonts w:eastAsia="Arial" w:cs="Times New Roman"/>
          <w:szCs w:val="24"/>
        </w:rPr>
      </w:pPr>
      <w:r w:rsidRPr="00C31954">
        <w:t>ACDH</w:t>
      </w:r>
      <w:r w:rsidRPr="00C31954">
        <w:tab/>
        <w:t>Alto Comissariado das Naç</w:t>
      </w:r>
      <w:r w:rsidR="00DE13F6">
        <w:t>õ</w:t>
      </w:r>
      <w:r w:rsidRPr="00C31954">
        <w:t xml:space="preserve">es Unidas para os </w:t>
      </w:r>
      <w:r>
        <w:t>Direitos Humanos</w:t>
      </w:r>
    </w:p>
    <w:p w:rsidR="00371D3C" w:rsidRDefault="001048A4" w:rsidP="00811CD6">
      <w:pPr>
        <w:tabs>
          <w:tab w:val="left" w:pos="1701"/>
          <w:tab w:val="left" w:pos="2127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CADH</w:t>
      </w:r>
      <w:r>
        <w:rPr>
          <w:rFonts w:eastAsia="Arial" w:cs="Times New Roman"/>
          <w:szCs w:val="24"/>
        </w:rPr>
        <w:tab/>
      </w:r>
      <w:r w:rsidR="00371D3C">
        <w:rPr>
          <w:rFonts w:eastAsia="Arial" w:cs="Times New Roman"/>
          <w:szCs w:val="24"/>
        </w:rPr>
        <w:t xml:space="preserve">Convenção Americana </w:t>
      </w:r>
      <w:r w:rsidR="00A21CBD">
        <w:rPr>
          <w:rFonts w:eastAsia="Arial" w:cs="Times New Roman"/>
          <w:szCs w:val="24"/>
        </w:rPr>
        <w:t>s</w:t>
      </w:r>
      <w:r w:rsidR="00371D3C">
        <w:rPr>
          <w:rFonts w:eastAsia="Arial" w:cs="Times New Roman"/>
          <w:szCs w:val="24"/>
        </w:rPr>
        <w:t>obre Direitos Humanos</w:t>
      </w:r>
    </w:p>
    <w:p w:rsidR="00DA6E04" w:rsidRDefault="00DA6E04" w:rsidP="00811CD6">
      <w:pPr>
        <w:tabs>
          <w:tab w:val="left" w:pos="1701"/>
          <w:tab w:val="left" w:pos="2127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CC</w:t>
      </w:r>
      <w:r>
        <w:rPr>
          <w:rFonts w:eastAsia="Arial" w:cs="Times New Roman"/>
          <w:szCs w:val="24"/>
        </w:rPr>
        <w:tab/>
        <w:t>Código Civil de Exclutia</w:t>
      </w:r>
    </w:p>
    <w:p w:rsidR="00D663BE" w:rsidRDefault="00D663BE" w:rsidP="00811CD6">
      <w:pPr>
        <w:tabs>
          <w:tab w:val="left" w:pos="1701"/>
          <w:tab w:val="left" w:pos="2127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CDESC</w:t>
      </w:r>
      <w:r>
        <w:rPr>
          <w:rFonts w:eastAsia="Arial" w:cs="Times New Roman"/>
          <w:szCs w:val="24"/>
        </w:rPr>
        <w:tab/>
        <w:t>Comitê de Direitos Econômicos, Sociais e Culturais</w:t>
      </w:r>
    </w:p>
    <w:p w:rsidR="00B6290A" w:rsidRDefault="001048A4" w:rsidP="00811CD6">
      <w:pPr>
        <w:tabs>
          <w:tab w:val="left" w:pos="1701"/>
          <w:tab w:val="left" w:pos="2127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CDH</w:t>
      </w:r>
      <w:r>
        <w:rPr>
          <w:rFonts w:eastAsia="Arial" w:cs="Times New Roman"/>
          <w:szCs w:val="24"/>
        </w:rPr>
        <w:tab/>
      </w:r>
      <w:r w:rsidR="00B6290A">
        <w:rPr>
          <w:rFonts w:eastAsia="Arial" w:cs="Times New Roman"/>
          <w:szCs w:val="24"/>
        </w:rPr>
        <w:t>Comitê de Direitos Humanos da ONU</w:t>
      </w:r>
    </w:p>
    <w:p w:rsidR="00B6290A" w:rsidRDefault="001048A4" w:rsidP="00811CD6">
      <w:pPr>
        <w:tabs>
          <w:tab w:val="left" w:pos="1701"/>
          <w:tab w:val="left" w:pos="2127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CDPD</w:t>
      </w:r>
      <w:r>
        <w:rPr>
          <w:rFonts w:eastAsia="Arial" w:cs="Times New Roman"/>
          <w:szCs w:val="24"/>
        </w:rPr>
        <w:tab/>
      </w:r>
      <w:r w:rsidR="00B6290A" w:rsidRPr="00B6290A">
        <w:rPr>
          <w:rFonts w:eastAsia="Arial" w:cs="Times New Roman"/>
          <w:szCs w:val="24"/>
        </w:rPr>
        <w:t>Convenção sobre os Direitos das Pessoas com Deficiência</w:t>
      </w:r>
    </w:p>
    <w:p w:rsidR="00E91DF5" w:rsidRDefault="00E91DF5" w:rsidP="00811CD6">
      <w:pPr>
        <w:tabs>
          <w:tab w:val="left" w:pos="1701"/>
        </w:tabs>
        <w:ind w:left="1701" w:hanging="1701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CmDPD</w:t>
      </w:r>
      <w:r>
        <w:rPr>
          <w:rFonts w:eastAsia="Arial" w:cs="Times New Roman"/>
          <w:szCs w:val="24"/>
        </w:rPr>
        <w:tab/>
        <w:t>Comitê dos Direitos das Pessoas com Deficiência</w:t>
      </w:r>
    </w:p>
    <w:p w:rsidR="00DA6E04" w:rsidRDefault="00DA6E04" w:rsidP="00811CD6">
      <w:pPr>
        <w:tabs>
          <w:tab w:val="left" w:pos="1701"/>
        </w:tabs>
        <w:ind w:left="1701" w:hanging="1701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CONADISE</w:t>
      </w:r>
      <w:r>
        <w:rPr>
          <w:rFonts w:eastAsia="Arial" w:cs="Times New Roman"/>
          <w:szCs w:val="24"/>
        </w:rPr>
        <w:tab/>
        <w:t>Conselho Nacional das Pessoas com Deficiência de Exclutia</w:t>
      </w:r>
    </w:p>
    <w:p w:rsidR="00DA6E04" w:rsidRDefault="00DA6E04" w:rsidP="00811CD6">
      <w:pPr>
        <w:tabs>
          <w:tab w:val="left" w:pos="1701"/>
        </w:tabs>
        <w:ind w:left="1701" w:hanging="1701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CPT</w:t>
      </w:r>
      <w:r>
        <w:rPr>
          <w:rFonts w:eastAsia="Arial" w:cs="Times New Roman"/>
          <w:szCs w:val="24"/>
        </w:rPr>
        <w:tab/>
        <w:t>Comitê Europeu para a Prevenção de Tortura</w:t>
      </w:r>
    </w:p>
    <w:p w:rsidR="00371D3C" w:rsidRDefault="001048A4" w:rsidP="00811CD6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Ct</w:t>
      </w:r>
      <w:r w:rsidR="00DA6E04">
        <w:rPr>
          <w:rFonts w:eastAsia="Arial" w:cs="Times New Roman"/>
          <w:szCs w:val="24"/>
        </w:rPr>
        <w:t>E</w:t>
      </w:r>
      <w:r>
        <w:rPr>
          <w:rFonts w:eastAsia="Arial" w:cs="Times New Roman"/>
          <w:szCs w:val="24"/>
        </w:rPr>
        <w:t>DH</w:t>
      </w:r>
      <w:r>
        <w:rPr>
          <w:rFonts w:eastAsia="Arial" w:cs="Times New Roman"/>
          <w:szCs w:val="24"/>
        </w:rPr>
        <w:tab/>
      </w:r>
      <w:r w:rsidR="00371D3C">
        <w:rPr>
          <w:rFonts w:eastAsia="Arial" w:cs="Times New Roman"/>
          <w:szCs w:val="24"/>
        </w:rPr>
        <w:t xml:space="preserve">Corte </w:t>
      </w:r>
      <w:r w:rsidR="00DA6E04">
        <w:rPr>
          <w:rFonts w:eastAsia="Arial" w:cs="Times New Roman"/>
          <w:szCs w:val="24"/>
        </w:rPr>
        <w:t>Europeia</w:t>
      </w:r>
      <w:r w:rsidR="00371D3C">
        <w:rPr>
          <w:rFonts w:eastAsia="Arial" w:cs="Times New Roman"/>
          <w:szCs w:val="24"/>
        </w:rPr>
        <w:t xml:space="preserve"> de Direitos Humanos</w:t>
      </w:r>
    </w:p>
    <w:p w:rsidR="00B6290A" w:rsidRDefault="00B6290A" w:rsidP="00811CD6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Ct</w:t>
      </w:r>
      <w:r w:rsidR="00DA6E04">
        <w:rPr>
          <w:rFonts w:eastAsia="Arial" w:cs="Times New Roman"/>
          <w:szCs w:val="24"/>
        </w:rPr>
        <w:t>I</w:t>
      </w:r>
      <w:r>
        <w:rPr>
          <w:rFonts w:eastAsia="Arial" w:cs="Times New Roman"/>
          <w:szCs w:val="24"/>
        </w:rPr>
        <w:t>DH</w:t>
      </w:r>
      <w:r w:rsidR="001048A4">
        <w:rPr>
          <w:rFonts w:eastAsia="Arial" w:cs="Times New Roman"/>
          <w:szCs w:val="24"/>
        </w:rPr>
        <w:tab/>
      </w:r>
      <w:r>
        <w:rPr>
          <w:rFonts w:eastAsia="Arial" w:cs="Times New Roman"/>
          <w:szCs w:val="24"/>
        </w:rPr>
        <w:t xml:space="preserve">Corte </w:t>
      </w:r>
      <w:r w:rsidR="00DA6E04">
        <w:rPr>
          <w:rFonts w:eastAsia="Arial" w:cs="Times New Roman"/>
          <w:szCs w:val="24"/>
        </w:rPr>
        <w:t>Interamericana</w:t>
      </w:r>
      <w:r>
        <w:rPr>
          <w:rFonts w:eastAsia="Arial" w:cs="Times New Roman"/>
          <w:szCs w:val="24"/>
        </w:rPr>
        <w:t xml:space="preserve"> de Direitos Humanos</w:t>
      </w:r>
    </w:p>
    <w:p w:rsidR="00DA6E04" w:rsidRDefault="00DA6E04" w:rsidP="00811CD6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DADDH</w:t>
      </w:r>
      <w:r>
        <w:rPr>
          <w:rFonts w:eastAsia="Arial" w:cs="Times New Roman"/>
          <w:szCs w:val="24"/>
        </w:rPr>
        <w:tab/>
        <w:t>Declaração Americana de Direitos e Deveres do Homem</w:t>
      </w:r>
    </w:p>
    <w:p w:rsidR="00371D3C" w:rsidRDefault="001048A4" w:rsidP="00811CD6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DIDH</w:t>
      </w:r>
      <w:r>
        <w:rPr>
          <w:rFonts w:eastAsia="Arial" w:cs="Times New Roman"/>
          <w:szCs w:val="24"/>
        </w:rPr>
        <w:tab/>
      </w:r>
      <w:r w:rsidR="00371D3C">
        <w:rPr>
          <w:rFonts w:eastAsia="Arial" w:cs="Times New Roman"/>
          <w:szCs w:val="24"/>
        </w:rPr>
        <w:t>Direito Internacional dos Direitos Humanos</w:t>
      </w:r>
    </w:p>
    <w:p w:rsidR="00DA6E04" w:rsidRDefault="00DA6E04" w:rsidP="00811CD6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Dra.</w:t>
      </w:r>
      <w:r>
        <w:rPr>
          <w:rFonts w:eastAsia="Arial" w:cs="Times New Roman"/>
          <w:szCs w:val="24"/>
        </w:rPr>
        <w:tab/>
        <w:t>Doutora</w:t>
      </w:r>
    </w:p>
    <w:p w:rsidR="008632AC" w:rsidRDefault="008632AC" w:rsidP="00811CD6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ESC</w:t>
      </w:r>
      <w:r>
        <w:rPr>
          <w:rFonts w:eastAsia="Arial" w:cs="Times New Roman"/>
          <w:szCs w:val="24"/>
        </w:rPr>
        <w:tab/>
        <w:t>Econômicos, Sociais e Culturais</w:t>
      </w:r>
    </w:p>
    <w:p w:rsidR="00DA6E04" w:rsidRDefault="00DA6E04" w:rsidP="00811CD6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HC</w:t>
      </w:r>
      <w:r>
        <w:rPr>
          <w:rFonts w:eastAsia="Arial" w:cs="Times New Roman"/>
          <w:szCs w:val="24"/>
        </w:rPr>
        <w:tab/>
        <w:t>Habeas Corpus</w:t>
      </w:r>
    </w:p>
    <w:p w:rsidR="00DA6E04" w:rsidRDefault="00DA6E04" w:rsidP="00811CD6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lastRenderedPageBreak/>
        <w:t>MI Principles</w:t>
      </w:r>
      <w:r>
        <w:rPr>
          <w:rFonts w:eastAsia="Arial" w:cs="Times New Roman"/>
          <w:szCs w:val="24"/>
        </w:rPr>
        <w:tab/>
        <w:t>Princípios para a Proteção de Pessoas com Doença Mental e para a Melhoria dos Cuidados de Saúde Mental</w:t>
      </w:r>
    </w:p>
    <w:p w:rsidR="00B6290A" w:rsidRPr="00371D3C" w:rsidRDefault="00B6290A" w:rsidP="00811CD6">
      <w:pPr>
        <w:tabs>
          <w:tab w:val="left" w:pos="1701"/>
        </w:tabs>
        <w:rPr>
          <w:rStyle w:val="SubtleReference"/>
          <w:rFonts w:cs="Times New Roman"/>
          <w:bCs/>
          <w:spacing w:val="5"/>
          <w:szCs w:val="24"/>
        </w:rPr>
      </w:pPr>
      <w:r>
        <w:rPr>
          <w:rFonts w:eastAsia="Arial" w:cs="Times New Roman"/>
          <w:szCs w:val="24"/>
        </w:rPr>
        <w:t>OD</w:t>
      </w:r>
      <w:r w:rsidR="001048A4">
        <w:rPr>
          <w:rFonts w:eastAsia="Arial" w:cs="Times New Roman"/>
          <w:szCs w:val="24"/>
        </w:rPr>
        <w:t>NEI</w:t>
      </w:r>
      <w:r w:rsidR="001048A4">
        <w:rPr>
          <w:rFonts w:eastAsia="Arial" w:cs="Times New Roman"/>
          <w:szCs w:val="24"/>
        </w:rPr>
        <w:tab/>
      </w:r>
      <w:r>
        <w:rPr>
          <w:rFonts w:eastAsia="Arial" w:cs="Times New Roman"/>
          <w:szCs w:val="24"/>
        </w:rPr>
        <w:t>Organização</w:t>
      </w:r>
      <w:r w:rsidR="00553422">
        <w:rPr>
          <w:rFonts w:eastAsia="Arial" w:cs="Times New Roman"/>
          <w:szCs w:val="24"/>
        </w:rPr>
        <w:t xml:space="preserve"> de Direitos Humanos</w:t>
      </w:r>
      <w:r>
        <w:rPr>
          <w:rFonts w:eastAsia="Arial" w:cs="Times New Roman"/>
          <w:szCs w:val="24"/>
        </w:rPr>
        <w:t xml:space="preserve"> “</w:t>
      </w:r>
      <w:r w:rsidRPr="00B6290A">
        <w:rPr>
          <w:rFonts w:eastAsia="Arial" w:cs="Times New Roman"/>
          <w:szCs w:val="24"/>
        </w:rPr>
        <w:t>Deficiê</w:t>
      </w:r>
      <w:r>
        <w:rPr>
          <w:rFonts w:eastAsia="Arial" w:cs="Times New Roman"/>
          <w:szCs w:val="24"/>
        </w:rPr>
        <w:t>ncia não é Incapacidade”</w:t>
      </w:r>
    </w:p>
    <w:p w:rsidR="00371D3C" w:rsidRDefault="001048A4" w:rsidP="001048A4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OEA</w:t>
      </w:r>
      <w:r>
        <w:rPr>
          <w:rFonts w:eastAsia="Arial" w:cs="Times New Roman"/>
          <w:szCs w:val="24"/>
        </w:rPr>
        <w:tab/>
      </w:r>
      <w:r w:rsidR="00371D3C">
        <w:rPr>
          <w:rFonts w:eastAsia="Arial" w:cs="Times New Roman"/>
          <w:szCs w:val="24"/>
        </w:rPr>
        <w:t>Organização dos Estados Americanos</w:t>
      </w:r>
    </w:p>
    <w:p w:rsidR="00553422" w:rsidRDefault="00553422" w:rsidP="00282F97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PSS</w:t>
      </w:r>
      <w:r>
        <w:rPr>
          <w:rFonts w:eastAsia="Arial" w:cs="Times New Roman"/>
          <w:szCs w:val="24"/>
        </w:rPr>
        <w:tab/>
        <w:t>Protocolo de São Salvador</w:t>
      </w:r>
    </w:p>
    <w:p w:rsidR="00DC19A5" w:rsidRDefault="001048A4" w:rsidP="00282F97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SIDH</w:t>
      </w:r>
      <w:r>
        <w:rPr>
          <w:rFonts w:eastAsia="Arial" w:cs="Times New Roman"/>
          <w:szCs w:val="24"/>
        </w:rPr>
        <w:tab/>
        <w:t>Sistema Interamericano de Direitos Humanos</w:t>
      </w:r>
    </w:p>
    <w:p w:rsidR="00553422" w:rsidRDefault="00553422" w:rsidP="00282F97">
      <w:pPr>
        <w:tabs>
          <w:tab w:val="left" w:pos="1701"/>
        </w:tabs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TA</w:t>
      </w:r>
      <w:r>
        <w:rPr>
          <w:rFonts w:eastAsia="Arial" w:cs="Times New Roman"/>
          <w:szCs w:val="24"/>
        </w:rPr>
        <w:tab/>
        <w:t>Tribunal de Apelações</w:t>
      </w:r>
      <w:r w:rsidR="00311864">
        <w:rPr>
          <w:rFonts w:eastAsia="Arial" w:cs="Times New Roman"/>
          <w:szCs w:val="24"/>
        </w:rPr>
        <w:t xml:space="preserve"> de Inclutarián</w:t>
      </w:r>
    </w:p>
    <w:p w:rsidR="005A2F96" w:rsidRPr="0075476C" w:rsidRDefault="008367E0" w:rsidP="005D7B0D">
      <w:pPr>
        <w:pStyle w:val="ListParagraph"/>
        <w:numPr>
          <w:ilvl w:val="0"/>
          <w:numId w:val="2"/>
        </w:numPr>
        <w:tabs>
          <w:tab w:val="left" w:pos="1418"/>
        </w:tabs>
        <w:spacing w:line="480" w:lineRule="auto"/>
        <w:ind w:left="0" w:firstLine="0"/>
        <w:outlineLvl w:val="0"/>
        <w:rPr>
          <w:rStyle w:val="SubtleReference"/>
          <w:rFonts w:cs="Times New Roman"/>
          <w:bCs/>
          <w:smallCaps w:val="0"/>
          <w:szCs w:val="24"/>
        </w:rPr>
      </w:pPr>
      <w:bookmarkStart w:id="4" w:name="_Toc383464264"/>
      <w:r w:rsidRPr="0075476C">
        <w:rPr>
          <w:rStyle w:val="SubtleReference"/>
          <w:rFonts w:cs="Times New Roman"/>
          <w:szCs w:val="24"/>
        </w:rPr>
        <w:t>Declaração dos fatos</w:t>
      </w:r>
      <w:bookmarkEnd w:id="4"/>
    </w:p>
    <w:p w:rsidR="008367E0" w:rsidRPr="0075476C" w:rsidRDefault="008367E0" w:rsidP="005D7B0D">
      <w:pPr>
        <w:pStyle w:val="ListParagraph"/>
        <w:numPr>
          <w:ilvl w:val="1"/>
          <w:numId w:val="2"/>
        </w:numPr>
        <w:tabs>
          <w:tab w:val="left" w:pos="1418"/>
        </w:tabs>
        <w:spacing w:line="480" w:lineRule="auto"/>
        <w:ind w:left="0" w:firstLine="0"/>
        <w:outlineLvl w:val="1"/>
        <w:rPr>
          <w:rStyle w:val="SubtleReference"/>
          <w:rFonts w:cs="Times New Roman"/>
          <w:bCs/>
          <w:smallCaps w:val="0"/>
          <w:szCs w:val="24"/>
        </w:rPr>
      </w:pPr>
      <w:bookmarkStart w:id="5" w:name="_Toc383464265"/>
      <w:r w:rsidRPr="0075476C">
        <w:rPr>
          <w:rStyle w:val="SubtleReference"/>
          <w:rFonts w:cs="Times New Roman"/>
          <w:smallCaps w:val="0"/>
          <w:szCs w:val="24"/>
        </w:rPr>
        <w:t>A República de Exclutia: Aspectos Políticos e Internacionais</w:t>
      </w:r>
      <w:bookmarkEnd w:id="5"/>
    </w:p>
    <w:p w:rsidR="0075476C" w:rsidRPr="001A045F" w:rsidRDefault="0075476C" w:rsidP="001A045F">
      <w:pPr>
        <w:rPr>
          <w:rStyle w:val="SubtleReference"/>
          <w:rFonts w:eastAsia="Arial" w:cs="Times New Roman"/>
          <w:b w:val="0"/>
          <w:smallCaps w:val="0"/>
          <w:szCs w:val="24"/>
        </w:rPr>
      </w:pPr>
      <w:r w:rsidRPr="001A045F">
        <w:rPr>
          <w:rFonts w:eastAsia="Arial" w:cs="Times New Roman"/>
          <w:szCs w:val="24"/>
        </w:rPr>
        <w:t xml:space="preserve">A República de Exclutia é membro </w:t>
      </w:r>
      <w:r w:rsidR="00701ACB">
        <w:rPr>
          <w:rFonts w:eastAsia="Arial" w:cs="Times New Roman"/>
          <w:szCs w:val="24"/>
        </w:rPr>
        <w:t>da OEA desde sua origem em 1948. R</w:t>
      </w:r>
      <w:r w:rsidRPr="001A045F">
        <w:rPr>
          <w:rFonts w:eastAsia="Arial" w:cs="Times New Roman"/>
          <w:szCs w:val="24"/>
        </w:rPr>
        <w:t xml:space="preserve">atificou a CADH e reconheceu a jurisdição contenciosa da CtIDH em 1989. Em 2001, ratificou seu Protocolo Adicional. </w:t>
      </w:r>
      <w:r w:rsidR="00701ACB">
        <w:rPr>
          <w:rFonts w:eastAsia="Arial" w:cs="Times New Roman"/>
          <w:szCs w:val="24"/>
        </w:rPr>
        <w:t>Ainda</w:t>
      </w:r>
      <w:r w:rsidRPr="001A045F">
        <w:rPr>
          <w:rFonts w:eastAsia="Arial" w:cs="Times New Roman"/>
          <w:szCs w:val="24"/>
        </w:rPr>
        <w:t xml:space="preserve">, </w:t>
      </w:r>
      <w:r w:rsidR="00E33C11">
        <w:rPr>
          <w:rFonts w:eastAsia="Arial" w:cs="Times New Roman"/>
          <w:szCs w:val="24"/>
        </w:rPr>
        <w:t xml:space="preserve">ratificou </w:t>
      </w:r>
      <w:r w:rsidRPr="001A045F">
        <w:rPr>
          <w:rFonts w:eastAsia="Arial" w:cs="Times New Roman"/>
          <w:szCs w:val="24"/>
        </w:rPr>
        <w:t xml:space="preserve">a </w:t>
      </w:r>
      <w:r w:rsidR="00E33C11">
        <w:rPr>
          <w:rFonts w:eastAsia="Arial" w:cs="Times New Roman"/>
          <w:szCs w:val="24"/>
        </w:rPr>
        <w:t xml:space="preserve">Convenção Interamericana de Eliminação de Discriminação Pessoas com Deficiência em 2004, e </w:t>
      </w:r>
      <w:r w:rsidRPr="001A045F">
        <w:rPr>
          <w:rFonts w:eastAsia="Arial" w:cs="Times New Roman"/>
          <w:szCs w:val="24"/>
        </w:rPr>
        <w:t xml:space="preserve">a CDPD em 2008. </w:t>
      </w:r>
    </w:p>
    <w:p w:rsidR="0075476C" w:rsidRDefault="005A2F96" w:rsidP="005D7B0D">
      <w:pPr>
        <w:pStyle w:val="ListParagraph"/>
        <w:numPr>
          <w:ilvl w:val="1"/>
          <w:numId w:val="2"/>
        </w:numPr>
        <w:tabs>
          <w:tab w:val="left" w:pos="1418"/>
        </w:tabs>
        <w:spacing w:line="480" w:lineRule="auto"/>
        <w:ind w:left="0" w:firstLine="0"/>
        <w:outlineLvl w:val="1"/>
        <w:rPr>
          <w:rStyle w:val="BookTitle"/>
          <w:rFonts w:cs="Times New Roman"/>
          <w:smallCaps w:val="0"/>
          <w:spacing w:val="0"/>
          <w:sz w:val="24"/>
          <w:szCs w:val="24"/>
        </w:rPr>
      </w:pPr>
      <w:bookmarkStart w:id="6" w:name="_Toc383464266"/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A Vida de Cristal Tovar: Antecedentes, La Casita e Interdição</w:t>
      </w:r>
      <w:bookmarkEnd w:id="6"/>
    </w:p>
    <w:p w:rsidR="0075476C" w:rsidRPr="001A045F" w:rsidRDefault="0075476C" w:rsidP="001A045F">
      <w:pPr>
        <w:rPr>
          <w:rFonts w:cs="Times New Roman"/>
          <w:szCs w:val="24"/>
        </w:rPr>
      </w:pPr>
      <w:r w:rsidRPr="001A045F">
        <w:rPr>
          <w:rFonts w:eastAsia="Arial" w:cs="Times New Roman"/>
          <w:szCs w:val="24"/>
        </w:rPr>
        <w:t xml:space="preserve">Cristal Tovar, mulher de 33 anos, foi abandonada pelo pai aos 15 anos, </w:t>
      </w:r>
      <w:r w:rsidR="00E74DC9">
        <w:rPr>
          <w:rFonts w:eastAsia="Arial" w:cs="Times New Roman"/>
          <w:szCs w:val="24"/>
        </w:rPr>
        <w:t>quando</w:t>
      </w:r>
      <w:r w:rsidR="00701ACB">
        <w:rPr>
          <w:rFonts w:eastAsia="Arial" w:cs="Times New Roman"/>
          <w:szCs w:val="24"/>
        </w:rPr>
        <w:t xml:space="preserve"> teve diagnosticado </w:t>
      </w:r>
      <w:r w:rsidRPr="001A045F">
        <w:rPr>
          <w:rFonts w:eastAsia="Arial" w:cs="Times New Roman"/>
          <w:szCs w:val="24"/>
        </w:rPr>
        <w:t>quadro de cegueira permanente e abandonou seus estudos. Morou com a mãe em Inclutárian até sua morte em 2006, perdendo então sua única fonte de renda. Depois de três meses sem que Cristal pagasse aluguel, o proprietário do apartamento reivindicou sua posse. Assim, a vítima optou por viver nas ruas da capital. Em 2006, um policial a encontrou em condições precárias e a levou sem objeções ao centro estatal “La Casita”.</w:t>
      </w:r>
    </w:p>
    <w:p w:rsidR="0075476C" w:rsidRPr="001A045F" w:rsidRDefault="0075476C" w:rsidP="001A045F">
      <w:pPr>
        <w:rPr>
          <w:rFonts w:eastAsia="Arial" w:cs="Times New Roman"/>
          <w:szCs w:val="24"/>
        </w:rPr>
      </w:pPr>
      <w:r w:rsidRPr="001A045F">
        <w:rPr>
          <w:rFonts w:eastAsia="Arial" w:cs="Times New Roman"/>
          <w:szCs w:val="24"/>
        </w:rPr>
        <w:t xml:space="preserve">La Casita é uma instituição estatal prevista em lei que acolhe pessoas com deficiência e a população em situação de rua. Lar de 400 pessoas, possui sete áreas nas quais seus habitantes são divididos por sexo e segundo suas </w:t>
      </w:r>
      <w:r w:rsidR="00E74DC9">
        <w:rPr>
          <w:rFonts w:eastAsia="Arial" w:cs="Times New Roman"/>
          <w:szCs w:val="24"/>
        </w:rPr>
        <w:t>particularidades. Os moradores usufruem</w:t>
      </w:r>
      <w:r w:rsidRPr="001A045F">
        <w:rPr>
          <w:rFonts w:eastAsia="Arial" w:cs="Times New Roman"/>
          <w:szCs w:val="24"/>
        </w:rPr>
        <w:t xml:space="preserve"> de atendime</w:t>
      </w:r>
      <w:r w:rsidR="00E74DC9">
        <w:rPr>
          <w:rFonts w:eastAsia="Arial" w:cs="Times New Roman"/>
          <w:szCs w:val="24"/>
        </w:rPr>
        <w:t xml:space="preserve">nto </w:t>
      </w:r>
      <w:r w:rsidR="00E74DC9">
        <w:rPr>
          <w:rFonts w:eastAsia="Arial" w:cs="Times New Roman"/>
          <w:szCs w:val="24"/>
        </w:rPr>
        <w:lastRenderedPageBreak/>
        <w:t>médico emergencial e</w:t>
      </w:r>
      <w:r w:rsidRPr="001A045F">
        <w:rPr>
          <w:rFonts w:eastAsia="Arial" w:cs="Times New Roman"/>
          <w:szCs w:val="24"/>
        </w:rPr>
        <w:t xml:space="preserve"> serviços de terapeutas físicos e psicológicos. Há pequenos recintos isolados para</w:t>
      </w:r>
      <w:r w:rsidR="00E74DC9">
        <w:rPr>
          <w:rFonts w:eastAsia="Arial" w:cs="Times New Roman"/>
          <w:szCs w:val="24"/>
        </w:rPr>
        <w:t xml:space="preserve"> onde os moradores são levados em caso de </w:t>
      </w:r>
      <w:r w:rsidRPr="001A045F">
        <w:rPr>
          <w:rFonts w:eastAsia="Arial" w:cs="Times New Roman"/>
          <w:szCs w:val="24"/>
        </w:rPr>
        <w:t xml:space="preserve">risco para si ou para outros. </w:t>
      </w:r>
      <w:r w:rsidR="00E74DC9">
        <w:rPr>
          <w:rFonts w:eastAsia="Arial" w:cs="Times New Roman"/>
          <w:szCs w:val="24"/>
        </w:rPr>
        <w:t>As</w:t>
      </w:r>
      <w:r w:rsidRPr="001A045F">
        <w:rPr>
          <w:rFonts w:eastAsia="Arial" w:cs="Times New Roman"/>
          <w:szCs w:val="24"/>
        </w:rPr>
        <w:t xml:space="preserve"> instalações são antigas, e ha</w:t>
      </w:r>
      <w:r w:rsidR="00E74DC9">
        <w:rPr>
          <w:rFonts w:eastAsia="Arial" w:cs="Times New Roman"/>
          <w:szCs w:val="24"/>
        </w:rPr>
        <w:t>via problemas de estrutura</w:t>
      </w:r>
      <w:r w:rsidRPr="001A045F">
        <w:rPr>
          <w:rFonts w:eastAsia="Arial" w:cs="Times New Roman"/>
          <w:szCs w:val="24"/>
        </w:rPr>
        <w:t xml:space="preserve"> e escassez de suprimentos</w:t>
      </w:r>
      <w:r w:rsidR="00E74DC9">
        <w:rPr>
          <w:rFonts w:eastAsia="Arial" w:cs="Times New Roman"/>
          <w:szCs w:val="24"/>
        </w:rPr>
        <w:t>.</w:t>
      </w:r>
    </w:p>
    <w:p w:rsidR="0075476C" w:rsidRPr="001A045F" w:rsidRDefault="0075476C" w:rsidP="001A045F">
      <w:pPr>
        <w:rPr>
          <w:rFonts w:cs="Times New Roman"/>
          <w:szCs w:val="24"/>
        </w:rPr>
      </w:pPr>
      <w:r w:rsidRPr="001A045F">
        <w:rPr>
          <w:rFonts w:eastAsia="Arial" w:cs="Times New Roman"/>
          <w:szCs w:val="24"/>
        </w:rPr>
        <w:t>Ao chegar em La Casita, Cristal foi recebida por uma assistente social. Após seu cadastro na instituição, foi examin</w:t>
      </w:r>
      <w:r w:rsidR="00E74DC9">
        <w:rPr>
          <w:rFonts w:eastAsia="Arial" w:cs="Times New Roman"/>
          <w:szCs w:val="24"/>
        </w:rPr>
        <w:t>ada por um médico,</w:t>
      </w:r>
      <w:r w:rsidRPr="001A045F">
        <w:rPr>
          <w:rFonts w:eastAsia="Arial" w:cs="Times New Roman"/>
          <w:szCs w:val="24"/>
        </w:rPr>
        <w:t xml:space="preserve"> </w:t>
      </w:r>
      <w:r w:rsidR="00E74DC9">
        <w:rPr>
          <w:rFonts w:eastAsia="Arial" w:cs="Times New Roman"/>
          <w:szCs w:val="24"/>
        </w:rPr>
        <w:t>recebendo diagnóstico</w:t>
      </w:r>
      <w:r w:rsidRPr="001A045F">
        <w:rPr>
          <w:rFonts w:eastAsia="Arial" w:cs="Times New Roman"/>
          <w:szCs w:val="24"/>
        </w:rPr>
        <w:t xml:space="preserve"> </w:t>
      </w:r>
      <w:r w:rsidR="00E74DC9">
        <w:rPr>
          <w:rFonts w:eastAsia="Arial" w:cs="Times New Roman"/>
          <w:szCs w:val="24"/>
        </w:rPr>
        <w:t>de depressão severa.</w:t>
      </w:r>
      <w:r w:rsidRPr="001A045F">
        <w:rPr>
          <w:rFonts w:eastAsia="Arial" w:cs="Times New Roman"/>
          <w:szCs w:val="24"/>
        </w:rPr>
        <w:t xml:space="preserve"> </w:t>
      </w:r>
      <w:r w:rsidR="00E74DC9">
        <w:rPr>
          <w:rFonts w:eastAsia="Arial" w:cs="Times New Roman"/>
          <w:szCs w:val="24"/>
        </w:rPr>
        <w:t>Isto</w:t>
      </w:r>
      <w:r w:rsidRPr="001A045F">
        <w:rPr>
          <w:rFonts w:eastAsia="Arial" w:cs="Times New Roman"/>
          <w:szCs w:val="24"/>
        </w:rPr>
        <w:t xml:space="preserve"> a levou</w:t>
      </w:r>
      <w:r w:rsidR="00E74DC9">
        <w:rPr>
          <w:rFonts w:eastAsia="Arial" w:cs="Times New Roman"/>
          <w:szCs w:val="24"/>
        </w:rPr>
        <w:t xml:space="preserve"> a ser internada </w:t>
      </w:r>
      <w:r w:rsidRPr="001A045F">
        <w:rPr>
          <w:rFonts w:eastAsia="Arial" w:cs="Times New Roman"/>
          <w:szCs w:val="24"/>
        </w:rPr>
        <w:t>com</w:t>
      </w:r>
      <w:r w:rsidR="00E74DC9">
        <w:rPr>
          <w:rFonts w:eastAsia="Arial" w:cs="Times New Roman"/>
          <w:szCs w:val="24"/>
        </w:rPr>
        <w:t xml:space="preserve"> outras pessoas com deficiência mental, passando</w:t>
      </w:r>
      <w:r w:rsidRPr="001A045F">
        <w:rPr>
          <w:rFonts w:eastAsia="Arial" w:cs="Times New Roman"/>
          <w:szCs w:val="24"/>
        </w:rPr>
        <w:t xml:space="preserve"> a tomar antidepr</w:t>
      </w:r>
      <w:r w:rsidR="00E74DC9">
        <w:rPr>
          <w:rFonts w:eastAsia="Arial" w:cs="Times New Roman"/>
          <w:szCs w:val="24"/>
        </w:rPr>
        <w:t>essivos</w:t>
      </w:r>
      <w:r w:rsidRPr="001A045F">
        <w:rPr>
          <w:rFonts w:eastAsia="Arial" w:cs="Times New Roman"/>
          <w:szCs w:val="24"/>
        </w:rPr>
        <w:t xml:space="preserve">. Posteriormente, devido à ocorrência de relações sexuais </w:t>
      </w:r>
      <w:r w:rsidR="00E74DC9">
        <w:rPr>
          <w:rFonts w:eastAsia="Arial" w:cs="Times New Roman"/>
          <w:szCs w:val="24"/>
        </w:rPr>
        <w:t>n</w:t>
      </w:r>
      <w:r w:rsidRPr="001A045F">
        <w:rPr>
          <w:rFonts w:eastAsia="Arial" w:cs="Times New Roman"/>
          <w:szCs w:val="24"/>
        </w:rPr>
        <w:t xml:space="preserve">a instituição, anticoncepcionais passaram a ser ministrados </w:t>
      </w:r>
      <w:r w:rsidR="00E74DC9">
        <w:rPr>
          <w:rFonts w:eastAsia="Arial" w:cs="Times New Roman"/>
          <w:szCs w:val="24"/>
        </w:rPr>
        <w:t>às</w:t>
      </w:r>
      <w:r w:rsidRPr="001A045F">
        <w:rPr>
          <w:rFonts w:eastAsia="Arial" w:cs="Times New Roman"/>
          <w:szCs w:val="24"/>
        </w:rPr>
        <w:t xml:space="preserve"> </w:t>
      </w:r>
      <w:r w:rsidR="00E74DC9">
        <w:rPr>
          <w:rFonts w:eastAsia="Arial" w:cs="Times New Roman"/>
          <w:szCs w:val="24"/>
        </w:rPr>
        <w:t>pacientes</w:t>
      </w:r>
      <w:r w:rsidRPr="001A045F">
        <w:rPr>
          <w:rFonts w:eastAsia="Arial" w:cs="Times New Roman"/>
          <w:szCs w:val="24"/>
        </w:rPr>
        <w:t xml:space="preserve"> como parte de seu tratamento.</w:t>
      </w:r>
    </w:p>
    <w:p w:rsidR="0075476C" w:rsidRPr="001A045F" w:rsidRDefault="0075476C" w:rsidP="001A045F">
      <w:pPr>
        <w:rPr>
          <w:rFonts w:eastAsia="Arial" w:cs="Times New Roman"/>
          <w:szCs w:val="24"/>
        </w:rPr>
      </w:pPr>
      <w:r w:rsidRPr="001A045F">
        <w:rPr>
          <w:rFonts w:eastAsia="Arial" w:cs="Times New Roman"/>
          <w:szCs w:val="24"/>
        </w:rPr>
        <w:t>A Dra. Lira, diretora de La Casita, após analisar o resultado da perícia médica e o registro de Cristal, aprovou seu ingresso na instituição e se voluntariou para ser</w:t>
      </w:r>
      <w:r w:rsidR="00E74DC9">
        <w:rPr>
          <w:rFonts w:eastAsia="Arial" w:cs="Times New Roman"/>
          <w:szCs w:val="24"/>
        </w:rPr>
        <w:t xml:space="preserve"> sua curadora</w:t>
      </w:r>
      <w:r w:rsidRPr="001A045F">
        <w:rPr>
          <w:rFonts w:eastAsia="Arial" w:cs="Times New Roman"/>
          <w:szCs w:val="24"/>
        </w:rPr>
        <w:t xml:space="preserve">. O processo de interdição é </w:t>
      </w:r>
      <w:r w:rsidR="00E74DC9">
        <w:rPr>
          <w:rFonts w:eastAsia="Arial" w:cs="Times New Roman"/>
          <w:szCs w:val="24"/>
        </w:rPr>
        <w:t>regulado em Exclutia pelo art. 41 do</w:t>
      </w:r>
      <w:r w:rsidRPr="001A045F">
        <w:rPr>
          <w:rFonts w:eastAsia="Arial" w:cs="Times New Roman"/>
          <w:szCs w:val="24"/>
        </w:rPr>
        <w:t xml:space="preserve"> CC. Em conformidade com a legislação interna e após perícia </w:t>
      </w:r>
      <w:r w:rsidR="00E74DC9">
        <w:rPr>
          <w:rFonts w:eastAsia="Arial" w:cs="Times New Roman"/>
          <w:szCs w:val="24"/>
        </w:rPr>
        <w:t>judicial</w:t>
      </w:r>
      <w:r w:rsidRPr="001A045F">
        <w:rPr>
          <w:rFonts w:eastAsia="Arial" w:cs="Times New Roman"/>
          <w:szCs w:val="24"/>
        </w:rPr>
        <w:t xml:space="preserve">, o juiz declarou interdição total a ser revisada anualmente. </w:t>
      </w:r>
    </w:p>
    <w:p w:rsidR="0075476C" w:rsidRPr="001A045F" w:rsidRDefault="0075476C" w:rsidP="001A045F">
      <w:pPr>
        <w:rPr>
          <w:rStyle w:val="BookTitle"/>
          <w:rFonts w:cs="Times New Roman"/>
          <w:b w:val="0"/>
          <w:bCs w:val="0"/>
          <w:smallCaps w:val="0"/>
          <w:spacing w:val="0"/>
          <w:szCs w:val="24"/>
        </w:rPr>
      </w:pPr>
      <w:r w:rsidRPr="001A045F">
        <w:rPr>
          <w:rFonts w:eastAsia="Arial" w:cs="Times New Roman"/>
          <w:szCs w:val="24"/>
        </w:rPr>
        <w:t xml:space="preserve">Quando </w:t>
      </w:r>
      <w:r w:rsidR="00E74DC9">
        <w:rPr>
          <w:rFonts w:eastAsia="Arial" w:cs="Times New Roman"/>
          <w:szCs w:val="24"/>
        </w:rPr>
        <w:t xml:space="preserve">o tratamento de </w:t>
      </w:r>
      <w:r w:rsidRPr="001A045F">
        <w:rPr>
          <w:rFonts w:eastAsia="Arial" w:cs="Times New Roman"/>
          <w:szCs w:val="24"/>
        </w:rPr>
        <w:t xml:space="preserve">Cristal </w:t>
      </w:r>
      <w:r w:rsidR="00E74DC9">
        <w:rPr>
          <w:rFonts w:eastAsia="Arial" w:cs="Times New Roman"/>
          <w:szCs w:val="24"/>
        </w:rPr>
        <w:t>ger</w:t>
      </w:r>
      <w:r w:rsidRPr="001A045F">
        <w:rPr>
          <w:rFonts w:eastAsia="Arial" w:cs="Times New Roman"/>
          <w:szCs w:val="24"/>
        </w:rPr>
        <w:t>ou efeitos colaterais,</w:t>
      </w:r>
      <w:r w:rsidR="00E74DC9">
        <w:rPr>
          <w:rFonts w:eastAsia="Arial" w:cs="Times New Roman"/>
          <w:szCs w:val="24"/>
        </w:rPr>
        <w:t xml:space="preserve"> ela</w:t>
      </w:r>
      <w:r w:rsidRPr="001A045F">
        <w:rPr>
          <w:rFonts w:eastAsia="Arial" w:cs="Times New Roman"/>
          <w:szCs w:val="24"/>
        </w:rPr>
        <w:t xml:space="preserve"> recebeu atendimento médico imediato. Seu remédio foi substituído, mas ela não se adaptou e, por isso, foi transferida ao Hospital Nacional Raúl Cano. Lá, seu quadro foi estabilizado, e Cristal se aproximou da enfermeira Ângela. Nessas circunstâncias, disse, pela primeira vez, que não concordava com sua interdição e que d</w:t>
      </w:r>
      <w:r w:rsidR="00E74DC9">
        <w:rPr>
          <w:rFonts w:eastAsia="Arial" w:cs="Times New Roman"/>
          <w:szCs w:val="24"/>
        </w:rPr>
        <w:t>esejava sair de La Casita</w:t>
      </w:r>
      <w:r w:rsidRPr="001A045F">
        <w:rPr>
          <w:rFonts w:eastAsia="Arial" w:cs="Times New Roman"/>
          <w:szCs w:val="24"/>
        </w:rPr>
        <w:t xml:space="preserve">. Com </w:t>
      </w:r>
      <w:r w:rsidR="00701ACB">
        <w:rPr>
          <w:rFonts w:eastAsia="Arial" w:cs="Times New Roman"/>
          <w:szCs w:val="24"/>
        </w:rPr>
        <w:t xml:space="preserve">base </w:t>
      </w:r>
      <w:r w:rsidR="008F2AE7">
        <w:rPr>
          <w:rFonts w:eastAsia="Arial" w:cs="Times New Roman"/>
          <w:szCs w:val="24"/>
        </w:rPr>
        <w:t>nisto</w:t>
      </w:r>
      <w:r w:rsidR="00701ACB">
        <w:rPr>
          <w:rFonts w:eastAsia="Arial" w:cs="Times New Roman"/>
          <w:szCs w:val="24"/>
        </w:rPr>
        <w:t>, a ONG OD</w:t>
      </w:r>
      <w:r w:rsidRPr="001A045F">
        <w:rPr>
          <w:rFonts w:eastAsia="Arial" w:cs="Times New Roman"/>
          <w:szCs w:val="24"/>
        </w:rPr>
        <w:t xml:space="preserve">NEI apresentou recurso de nulidade em relação à interdição </w:t>
      </w:r>
      <w:r w:rsidR="008F2AE7">
        <w:rPr>
          <w:rFonts w:eastAsia="Arial" w:cs="Times New Roman"/>
          <w:szCs w:val="24"/>
        </w:rPr>
        <w:t>de Cristal</w:t>
      </w:r>
      <w:r w:rsidRPr="001A045F">
        <w:rPr>
          <w:rFonts w:eastAsia="Arial" w:cs="Times New Roman"/>
          <w:szCs w:val="24"/>
        </w:rPr>
        <w:t>. O recur</w:t>
      </w:r>
      <w:r w:rsidR="008F2AE7">
        <w:rPr>
          <w:rFonts w:eastAsia="Arial" w:cs="Times New Roman"/>
          <w:szCs w:val="24"/>
        </w:rPr>
        <w:t>so foi considerado inadmissível</w:t>
      </w:r>
      <w:r w:rsidRPr="001A045F">
        <w:rPr>
          <w:rFonts w:eastAsia="Arial" w:cs="Times New Roman"/>
          <w:szCs w:val="24"/>
        </w:rPr>
        <w:t>, decisão que foi recorrida e revisada</w:t>
      </w:r>
      <w:r w:rsidR="008F2AE7">
        <w:rPr>
          <w:rFonts w:eastAsia="Arial" w:cs="Times New Roman"/>
          <w:szCs w:val="24"/>
        </w:rPr>
        <w:t xml:space="preserve"> pelo TA</w:t>
      </w:r>
      <w:r w:rsidRPr="001A045F">
        <w:rPr>
          <w:rFonts w:eastAsia="Arial" w:cs="Times New Roman"/>
          <w:szCs w:val="24"/>
        </w:rPr>
        <w:t xml:space="preserve">. Em decisão com análise de mérito, o juiz negou o recurso </w:t>
      </w:r>
      <w:r w:rsidR="008F2AE7">
        <w:rPr>
          <w:rFonts w:eastAsia="Arial" w:cs="Times New Roman"/>
          <w:szCs w:val="24"/>
        </w:rPr>
        <w:t xml:space="preserve">por falta de provas e </w:t>
      </w:r>
      <w:r w:rsidRPr="001A045F">
        <w:rPr>
          <w:rFonts w:eastAsia="Arial" w:cs="Times New Roman"/>
          <w:szCs w:val="24"/>
        </w:rPr>
        <w:t xml:space="preserve">afirmou que uma ação de inconstitucionalidade </w:t>
      </w:r>
      <w:r w:rsidR="008F2AE7">
        <w:rPr>
          <w:rFonts w:eastAsia="Arial" w:cs="Times New Roman"/>
          <w:szCs w:val="24"/>
        </w:rPr>
        <w:t>seria o recurso idôneo para questionar</w:t>
      </w:r>
      <w:r w:rsidR="008F2AE7" w:rsidRPr="001A045F">
        <w:rPr>
          <w:rFonts w:eastAsia="Arial" w:cs="Times New Roman"/>
          <w:szCs w:val="24"/>
        </w:rPr>
        <w:t xml:space="preserve"> da interdição</w:t>
      </w:r>
      <w:r w:rsidR="008F2AE7">
        <w:rPr>
          <w:rFonts w:eastAsia="Arial" w:cs="Times New Roman"/>
          <w:szCs w:val="24"/>
        </w:rPr>
        <w:t>.</w:t>
      </w:r>
      <w:r w:rsidR="008F2AE7" w:rsidRPr="001A045F">
        <w:rPr>
          <w:rFonts w:eastAsia="Arial" w:cs="Times New Roman"/>
          <w:szCs w:val="24"/>
        </w:rPr>
        <w:t xml:space="preserve"> </w:t>
      </w:r>
      <w:r w:rsidRPr="001A045F">
        <w:rPr>
          <w:rFonts w:eastAsia="Arial" w:cs="Times New Roman"/>
          <w:szCs w:val="24"/>
        </w:rPr>
        <w:t xml:space="preserve">Simultaneamente, a </w:t>
      </w:r>
      <w:r w:rsidR="00701ACB">
        <w:rPr>
          <w:rFonts w:eastAsia="Arial" w:cs="Times New Roman"/>
          <w:szCs w:val="24"/>
        </w:rPr>
        <w:t>ODNEI</w:t>
      </w:r>
      <w:r w:rsidRPr="001A045F">
        <w:rPr>
          <w:rFonts w:eastAsia="Arial" w:cs="Times New Roman"/>
          <w:szCs w:val="24"/>
        </w:rPr>
        <w:t xml:space="preserve"> propôs recurso de amparo, o qual culminou em acréscimo de $200.000 ao orçamento de La Casita.</w:t>
      </w:r>
    </w:p>
    <w:p w:rsidR="005A2F96" w:rsidRDefault="005A2F96" w:rsidP="005D7B0D">
      <w:pPr>
        <w:pStyle w:val="ListParagraph"/>
        <w:numPr>
          <w:ilvl w:val="1"/>
          <w:numId w:val="2"/>
        </w:numPr>
        <w:tabs>
          <w:tab w:val="left" w:pos="1418"/>
        </w:tabs>
        <w:spacing w:line="480" w:lineRule="auto"/>
        <w:ind w:left="0" w:firstLine="0"/>
        <w:outlineLvl w:val="1"/>
        <w:rPr>
          <w:rStyle w:val="BookTitle"/>
          <w:rFonts w:cs="Times New Roman"/>
          <w:smallCaps w:val="0"/>
          <w:spacing w:val="0"/>
          <w:sz w:val="24"/>
          <w:szCs w:val="24"/>
        </w:rPr>
      </w:pPr>
      <w:bookmarkStart w:id="7" w:name="_Toc383464267"/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O Processo perante o SIDH</w:t>
      </w:r>
      <w:bookmarkEnd w:id="7"/>
    </w:p>
    <w:p w:rsidR="0075476C" w:rsidRPr="001A045F" w:rsidRDefault="0075476C" w:rsidP="001A045F">
      <w:pPr>
        <w:rPr>
          <w:rFonts w:cs="Times New Roman"/>
          <w:szCs w:val="24"/>
        </w:rPr>
      </w:pPr>
      <w:r w:rsidRPr="001A045F">
        <w:rPr>
          <w:rFonts w:eastAsia="Arial" w:cs="Times New Roman"/>
          <w:szCs w:val="24"/>
        </w:rPr>
        <w:lastRenderedPageBreak/>
        <w:t>Sem recorrer à Suprema Corte de Justiça ou apresentar recurso de inconstitucionalidade</w:t>
      </w:r>
      <w:r w:rsidR="008F2AE7">
        <w:rPr>
          <w:rFonts w:eastAsia="Arial" w:cs="Times New Roman"/>
          <w:szCs w:val="24"/>
        </w:rPr>
        <w:t xml:space="preserve"> perante a Corte Constitucional</w:t>
      </w:r>
      <w:r w:rsidRPr="001A045F">
        <w:rPr>
          <w:rFonts w:eastAsia="Arial" w:cs="Times New Roman"/>
          <w:szCs w:val="24"/>
        </w:rPr>
        <w:t xml:space="preserve">, a ODNEI </w:t>
      </w:r>
      <w:r w:rsidR="008F2AE7">
        <w:rPr>
          <w:rFonts w:eastAsia="Arial" w:cs="Times New Roman"/>
          <w:szCs w:val="24"/>
        </w:rPr>
        <w:t>peticionou</w:t>
      </w:r>
      <w:r w:rsidRPr="001A045F">
        <w:rPr>
          <w:rFonts w:eastAsia="Arial" w:cs="Times New Roman"/>
          <w:szCs w:val="24"/>
        </w:rPr>
        <w:t xml:space="preserve"> perante a CIDH alega</w:t>
      </w:r>
      <w:r w:rsidR="008F2AE7">
        <w:rPr>
          <w:rFonts w:eastAsia="Arial" w:cs="Times New Roman"/>
          <w:szCs w:val="24"/>
        </w:rPr>
        <w:t>ndo suposta violação dos art.</w:t>
      </w:r>
      <w:r w:rsidRPr="001A045F">
        <w:rPr>
          <w:rFonts w:eastAsia="Arial" w:cs="Times New Roman"/>
          <w:szCs w:val="24"/>
        </w:rPr>
        <w:t xml:space="preserve"> 3º, 5º, 7º, 8º, 11, 24 e 25 à luz </w:t>
      </w:r>
      <w:r w:rsidR="008F2AE7">
        <w:rPr>
          <w:rFonts w:eastAsia="Arial" w:cs="Times New Roman"/>
          <w:szCs w:val="24"/>
        </w:rPr>
        <w:t>dos art. 1.1 e 2 da CADH</w:t>
      </w:r>
      <w:r w:rsidRPr="001A045F">
        <w:rPr>
          <w:rFonts w:eastAsia="Arial" w:cs="Times New Roman"/>
          <w:szCs w:val="24"/>
        </w:rPr>
        <w:t xml:space="preserve">. Paralelamente, foram pedidas medidas cautelares em favor dos moradores de “La Casita”, as quais foram </w:t>
      </w:r>
      <w:r w:rsidR="008F2AE7">
        <w:rPr>
          <w:rFonts w:eastAsia="Arial" w:cs="Times New Roman"/>
          <w:szCs w:val="24"/>
        </w:rPr>
        <w:t>concedidas</w:t>
      </w:r>
      <w:r w:rsidRPr="001A045F">
        <w:rPr>
          <w:rFonts w:eastAsia="Arial" w:cs="Times New Roman"/>
          <w:szCs w:val="24"/>
        </w:rPr>
        <w:t xml:space="preserve">. Em seu memorial, Exclutia </w:t>
      </w:r>
      <w:r w:rsidR="008F2AE7">
        <w:rPr>
          <w:rFonts w:eastAsia="Arial" w:cs="Times New Roman"/>
          <w:szCs w:val="24"/>
        </w:rPr>
        <w:t>rejeitou as alegações e sustentou a inadmissibilidade da petição</w:t>
      </w:r>
      <w:r w:rsidRPr="001A045F">
        <w:rPr>
          <w:rFonts w:eastAsia="Arial" w:cs="Times New Roman"/>
          <w:szCs w:val="24"/>
        </w:rPr>
        <w:t xml:space="preserve"> </w:t>
      </w:r>
      <w:r w:rsidR="008F2AE7">
        <w:rPr>
          <w:rFonts w:eastAsia="Arial" w:cs="Times New Roman"/>
          <w:szCs w:val="24"/>
        </w:rPr>
        <w:t>com base n</w:t>
      </w:r>
      <w:r w:rsidRPr="001A045F">
        <w:rPr>
          <w:rFonts w:eastAsia="Arial" w:cs="Times New Roman"/>
          <w:szCs w:val="24"/>
        </w:rPr>
        <w:t>o art</w:t>
      </w:r>
      <w:r w:rsidR="008F2AE7">
        <w:rPr>
          <w:rFonts w:eastAsia="Arial" w:cs="Times New Roman"/>
          <w:szCs w:val="24"/>
        </w:rPr>
        <w:t>. 46.1.b da CADH</w:t>
      </w:r>
      <w:r w:rsidRPr="001A045F">
        <w:rPr>
          <w:rFonts w:eastAsia="Arial" w:cs="Times New Roman"/>
          <w:szCs w:val="24"/>
        </w:rPr>
        <w:t xml:space="preserve">. A CIDH declarou </w:t>
      </w:r>
      <w:r w:rsidR="008F2AE7">
        <w:rPr>
          <w:rFonts w:eastAsia="Arial" w:cs="Times New Roman"/>
          <w:szCs w:val="24"/>
        </w:rPr>
        <w:t>a petição</w:t>
      </w:r>
      <w:r w:rsidR="008F2AE7" w:rsidRPr="001A045F">
        <w:rPr>
          <w:rFonts w:eastAsia="Arial" w:cs="Times New Roman"/>
          <w:szCs w:val="24"/>
        </w:rPr>
        <w:t xml:space="preserve"> </w:t>
      </w:r>
      <w:r w:rsidRPr="001A045F">
        <w:rPr>
          <w:rFonts w:eastAsia="Arial" w:cs="Times New Roman"/>
          <w:szCs w:val="24"/>
        </w:rPr>
        <w:t>admissí</w:t>
      </w:r>
      <w:r w:rsidR="00701ACB">
        <w:rPr>
          <w:rFonts w:eastAsia="Arial" w:cs="Times New Roman"/>
          <w:szCs w:val="24"/>
        </w:rPr>
        <w:t>ve</w:t>
      </w:r>
      <w:r w:rsidR="008F2AE7">
        <w:rPr>
          <w:rFonts w:eastAsia="Arial" w:cs="Times New Roman"/>
          <w:szCs w:val="24"/>
        </w:rPr>
        <w:t>l</w:t>
      </w:r>
      <w:r w:rsidR="00701ACB">
        <w:rPr>
          <w:rFonts w:eastAsia="Arial" w:cs="Times New Roman"/>
          <w:szCs w:val="24"/>
        </w:rPr>
        <w:t xml:space="preserve"> e</w:t>
      </w:r>
      <w:r w:rsidRPr="001A045F">
        <w:rPr>
          <w:rFonts w:eastAsia="Arial" w:cs="Times New Roman"/>
          <w:szCs w:val="24"/>
        </w:rPr>
        <w:t xml:space="preserve"> concluiu que o Estado havi</w:t>
      </w:r>
      <w:r w:rsidR="00701ACB">
        <w:rPr>
          <w:rFonts w:eastAsia="Arial" w:cs="Times New Roman"/>
          <w:szCs w:val="24"/>
        </w:rPr>
        <w:t>a violado os direitos alegados, recomendando</w:t>
      </w:r>
      <w:r w:rsidRPr="001A045F">
        <w:rPr>
          <w:rFonts w:eastAsia="Arial" w:cs="Times New Roman"/>
          <w:szCs w:val="24"/>
        </w:rPr>
        <w:t xml:space="preserve"> medidas reparatórias e de não repetição</w:t>
      </w:r>
      <w:r w:rsidR="008F2AE7">
        <w:rPr>
          <w:rFonts w:eastAsia="Arial" w:cs="Times New Roman"/>
          <w:szCs w:val="24"/>
        </w:rPr>
        <w:t>. Devido à propositura de projeto de lei para modificar o art. 41 do CC, o</w:t>
      </w:r>
      <w:r w:rsidRPr="001A045F">
        <w:rPr>
          <w:rFonts w:eastAsia="Arial" w:cs="Times New Roman"/>
          <w:szCs w:val="24"/>
        </w:rPr>
        <w:t xml:space="preserve"> Estado </w:t>
      </w:r>
      <w:r w:rsidR="008F2AE7">
        <w:rPr>
          <w:rFonts w:eastAsia="Arial" w:cs="Times New Roman"/>
          <w:szCs w:val="24"/>
        </w:rPr>
        <w:t>dem</w:t>
      </w:r>
      <w:r w:rsidRPr="001A045F">
        <w:rPr>
          <w:rFonts w:eastAsia="Arial" w:cs="Times New Roman"/>
          <w:szCs w:val="24"/>
        </w:rPr>
        <w:t>and</w:t>
      </w:r>
      <w:r w:rsidR="008F2AE7">
        <w:rPr>
          <w:rFonts w:eastAsia="Arial" w:cs="Times New Roman"/>
          <w:szCs w:val="24"/>
        </w:rPr>
        <w:t>ou</w:t>
      </w:r>
      <w:r w:rsidRPr="001A045F">
        <w:rPr>
          <w:rFonts w:eastAsia="Arial" w:cs="Times New Roman"/>
          <w:szCs w:val="24"/>
        </w:rPr>
        <w:t xml:space="preserve"> maior prazo para </w:t>
      </w:r>
      <w:r w:rsidR="0091008C">
        <w:rPr>
          <w:rFonts w:eastAsia="Arial" w:cs="Times New Roman"/>
          <w:szCs w:val="24"/>
        </w:rPr>
        <w:t>cumprir as</w:t>
      </w:r>
      <w:r w:rsidRPr="001A045F">
        <w:rPr>
          <w:rFonts w:eastAsia="Arial" w:cs="Times New Roman"/>
          <w:szCs w:val="24"/>
        </w:rPr>
        <w:t xml:space="preserve"> recomendações. A CIDH concedeu dois meses, mas quando tal prazo também se mostrou i</w:t>
      </w:r>
      <w:r w:rsidR="0091008C">
        <w:rPr>
          <w:rFonts w:eastAsia="Arial" w:cs="Times New Roman"/>
          <w:szCs w:val="24"/>
        </w:rPr>
        <w:t>nsuficiente</w:t>
      </w:r>
      <w:r w:rsidRPr="001A045F">
        <w:rPr>
          <w:rFonts w:eastAsia="Arial" w:cs="Times New Roman"/>
          <w:szCs w:val="24"/>
        </w:rPr>
        <w:t xml:space="preserve">, o órgão não o prorrogou e apresentou o caso à CtIDH. </w:t>
      </w:r>
    </w:p>
    <w:p w:rsidR="00DC19A5" w:rsidRDefault="008F2AE7" w:rsidP="00A40096">
      <w:pPr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Perante à CtIDH, o Estado interpôs</w:t>
      </w:r>
      <w:r w:rsidR="0075476C" w:rsidRPr="001A045F">
        <w:rPr>
          <w:rFonts w:eastAsia="Arial" w:cs="Times New Roman"/>
          <w:szCs w:val="24"/>
        </w:rPr>
        <w:t xml:space="preserve"> exceç</w:t>
      </w:r>
      <w:r>
        <w:rPr>
          <w:rFonts w:eastAsia="Arial" w:cs="Times New Roman"/>
          <w:szCs w:val="24"/>
        </w:rPr>
        <w:t>ão preliminar com base no art.</w:t>
      </w:r>
      <w:r w:rsidR="0075476C" w:rsidRPr="001A045F">
        <w:rPr>
          <w:rFonts w:eastAsia="Arial" w:cs="Times New Roman"/>
          <w:szCs w:val="24"/>
        </w:rPr>
        <w:t xml:space="preserve"> 46.1.b</w:t>
      </w:r>
      <w:r>
        <w:rPr>
          <w:rFonts w:eastAsia="Arial" w:cs="Times New Roman"/>
          <w:szCs w:val="24"/>
        </w:rPr>
        <w:t>. O</w:t>
      </w:r>
      <w:r w:rsidR="0075476C" w:rsidRPr="001A045F">
        <w:rPr>
          <w:rFonts w:eastAsia="Arial" w:cs="Times New Roman"/>
          <w:szCs w:val="24"/>
        </w:rPr>
        <w:t>s representantes da</w:t>
      </w:r>
      <w:r>
        <w:rPr>
          <w:rFonts w:eastAsia="Arial" w:cs="Times New Roman"/>
          <w:szCs w:val="24"/>
        </w:rPr>
        <w:t xml:space="preserve"> suposta vítima</w:t>
      </w:r>
      <w:r w:rsidR="0075476C" w:rsidRPr="001A045F">
        <w:rPr>
          <w:rFonts w:eastAsia="Arial" w:cs="Times New Roman"/>
          <w:szCs w:val="24"/>
        </w:rPr>
        <w:t xml:space="preserve"> solicitaram à CtIDH medidas provisórias em favor de Cristal dev</w:t>
      </w:r>
      <w:r w:rsidR="00811CD6">
        <w:rPr>
          <w:rFonts w:eastAsia="Arial" w:cs="Times New Roman"/>
          <w:szCs w:val="24"/>
        </w:rPr>
        <w:t>ido à prática de</w:t>
      </w:r>
      <w:r w:rsidR="0075476C" w:rsidRPr="001A045F">
        <w:rPr>
          <w:rFonts w:eastAsia="Arial" w:cs="Times New Roman"/>
          <w:szCs w:val="24"/>
        </w:rPr>
        <w:t xml:space="preserve"> isol</w:t>
      </w:r>
      <w:r w:rsidR="00811CD6">
        <w:rPr>
          <w:rFonts w:eastAsia="Arial" w:cs="Times New Roman"/>
          <w:szCs w:val="24"/>
        </w:rPr>
        <w:t>amento involuntário em La Casita</w:t>
      </w:r>
      <w:r w:rsidR="0075476C" w:rsidRPr="001A045F">
        <w:rPr>
          <w:rFonts w:eastAsia="Arial" w:cs="Times New Roman"/>
          <w:szCs w:val="24"/>
        </w:rPr>
        <w:t xml:space="preserve">. Tal demanda foi motivada pelo isolamento de Cristal, durante quatro horas, devido à violência física praticada pela </w:t>
      </w:r>
      <w:r w:rsidR="0091008C">
        <w:rPr>
          <w:rFonts w:eastAsia="Arial" w:cs="Times New Roman"/>
          <w:szCs w:val="24"/>
        </w:rPr>
        <w:t xml:space="preserve">suposta </w:t>
      </w:r>
      <w:r w:rsidR="0075476C" w:rsidRPr="001A045F">
        <w:rPr>
          <w:rFonts w:eastAsia="Arial" w:cs="Times New Roman"/>
          <w:szCs w:val="24"/>
        </w:rPr>
        <w:t xml:space="preserve">vítima contra um funcionário. O Estado demandou a rejeição </w:t>
      </w:r>
      <w:r w:rsidR="0091008C">
        <w:rPr>
          <w:rFonts w:eastAsia="Arial" w:cs="Times New Roman"/>
          <w:szCs w:val="24"/>
        </w:rPr>
        <w:t>d</w:t>
      </w:r>
      <w:r w:rsidR="0075476C" w:rsidRPr="001A045F">
        <w:rPr>
          <w:rFonts w:eastAsia="Arial" w:cs="Times New Roman"/>
          <w:szCs w:val="24"/>
        </w:rPr>
        <w:t>o pedido, e argumentou que a rejeição das medidas provisórias culminaria na suspensão das medidas cautelares outorgadas pela CIDH.</w:t>
      </w:r>
    </w:p>
    <w:p w:rsidR="007374CB" w:rsidRPr="0075476C" w:rsidRDefault="007374CB" w:rsidP="005D7B0D">
      <w:pPr>
        <w:pStyle w:val="ListParagraph"/>
        <w:numPr>
          <w:ilvl w:val="0"/>
          <w:numId w:val="2"/>
        </w:numPr>
        <w:tabs>
          <w:tab w:val="left" w:pos="1418"/>
        </w:tabs>
        <w:spacing w:line="480" w:lineRule="auto"/>
        <w:ind w:left="0" w:firstLine="0"/>
        <w:outlineLvl w:val="0"/>
        <w:rPr>
          <w:rStyle w:val="BookTitle"/>
          <w:rFonts w:cs="Times New Roman"/>
          <w:smallCaps w:val="0"/>
          <w:spacing w:val="0"/>
          <w:sz w:val="24"/>
          <w:szCs w:val="24"/>
        </w:rPr>
      </w:pPr>
      <w:bookmarkStart w:id="8" w:name="_Toc383464268"/>
      <w:r w:rsidRPr="0075476C">
        <w:rPr>
          <w:rStyle w:val="SubtleReference"/>
          <w:rFonts w:cs="Times New Roman"/>
          <w:szCs w:val="24"/>
        </w:rPr>
        <w:t>Análise legal</w:t>
      </w:r>
      <w:bookmarkEnd w:id="8"/>
    </w:p>
    <w:p w:rsidR="005A2F96" w:rsidRPr="0075476C" w:rsidRDefault="005A2F96" w:rsidP="005D7B0D">
      <w:pPr>
        <w:pStyle w:val="ListParagraph"/>
        <w:numPr>
          <w:ilvl w:val="1"/>
          <w:numId w:val="2"/>
        </w:numPr>
        <w:tabs>
          <w:tab w:val="left" w:pos="1418"/>
        </w:tabs>
        <w:spacing w:line="480" w:lineRule="auto"/>
        <w:ind w:left="0" w:firstLine="0"/>
        <w:outlineLvl w:val="1"/>
        <w:rPr>
          <w:rStyle w:val="SubtleReference"/>
          <w:rFonts w:cs="Times New Roman"/>
          <w:bCs/>
          <w:smallCaps w:val="0"/>
          <w:szCs w:val="24"/>
        </w:rPr>
      </w:pPr>
      <w:bookmarkStart w:id="9" w:name="_Toc383464269"/>
      <w:r w:rsidRPr="0075476C">
        <w:rPr>
          <w:rStyle w:val="SubtleReference"/>
          <w:rFonts w:cs="Times New Roman"/>
          <w:szCs w:val="24"/>
        </w:rPr>
        <w:t>Competência</w:t>
      </w:r>
      <w:bookmarkEnd w:id="9"/>
    </w:p>
    <w:p w:rsidR="0075476C" w:rsidRPr="001A045F" w:rsidRDefault="007E5326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>Na determinação da</w:t>
      </w:r>
      <w:r w:rsidR="0091008C">
        <w:rPr>
          <w:rFonts w:cs="Times New Roman"/>
          <w:szCs w:val="24"/>
        </w:rPr>
        <w:t xml:space="preserve"> competência</w:t>
      </w:r>
      <w:r w:rsidR="004907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 CtIDH,</w:t>
      </w:r>
      <w:r w:rsidR="0075476C" w:rsidRPr="001A045F">
        <w:rPr>
          <w:rFonts w:cs="Times New Roman"/>
          <w:szCs w:val="24"/>
        </w:rPr>
        <w:t xml:space="preserve"> deve-</w:t>
      </w:r>
      <w:r w:rsidR="0091008C">
        <w:rPr>
          <w:rFonts w:cs="Times New Roman"/>
          <w:szCs w:val="24"/>
        </w:rPr>
        <w:t>se analisar quatro aspectos</w:t>
      </w:r>
      <w:r w:rsidR="0075476C" w:rsidRPr="001A045F">
        <w:rPr>
          <w:rFonts w:cs="Times New Roman"/>
          <w:szCs w:val="24"/>
        </w:rPr>
        <w:t xml:space="preserve">: </w:t>
      </w:r>
      <w:r>
        <w:rPr>
          <w:rFonts w:cs="Times New Roman"/>
          <w:i/>
          <w:szCs w:val="24"/>
        </w:rPr>
        <w:t>r</w:t>
      </w:r>
      <w:r w:rsidR="0075476C" w:rsidRPr="001A045F">
        <w:rPr>
          <w:rFonts w:cs="Times New Roman"/>
          <w:i/>
          <w:szCs w:val="24"/>
        </w:rPr>
        <w:t xml:space="preserve">atione </w:t>
      </w:r>
      <w:r>
        <w:rPr>
          <w:rFonts w:cs="Times New Roman"/>
          <w:i/>
          <w:szCs w:val="24"/>
        </w:rPr>
        <w:t>m</w:t>
      </w:r>
      <w:r w:rsidR="0075476C" w:rsidRPr="001A045F">
        <w:rPr>
          <w:rFonts w:cs="Times New Roman"/>
          <w:i/>
          <w:szCs w:val="24"/>
        </w:rPr>
        <w:t>ateriae</w:t>
      </w:r>
      <w:r w:rsidR="0075476C" w:rsidRPr="001A045F">
        <w:rPr>
          <w:rFonts w:cs="Times New Roman"/>
          <w:szCs w:val="24"/>
        </w:rPr>
        <w:t xml:space="preserve">, </w:t>
      </w:r>
      <w:r w:rsidR="0075476C" w:rsidRPr="001A045F">
        <w:rPr>
          <w:rFonts w:cs="Times New Roman"/>
          <w:i/>
          <w:szCs w:val="24"/>
        </w:rPr>
        <w:t>personae</w:t>
      </w:r>
      <w:r w:rsidR="0075476C" w:rsidRPr="001A045F">
        <w:rPr>
          <w:rFonts w:cs="Times New Roman"/>
          <w:szCs w:val="24"/>
        </w:rPr>
        <w:t xml:space="preserve">, </w:t>
      </w:r>
      <w:r w:rsidR="0075476C" w:rsidRPr="001A045F">
        <w:rPr>
          <w:rFonts w:cs="Times New Roman"/>
          <w:i/>
          <w:szCs w:val="24"/>
        </w:rPr>
        <w:t>temporis</w:t>
      </w:r>
      <w:r w:rsidR="0075476C" w:rsidRPr="001A045F">
        <w:rPr>
          <w:rFonts w:cs="Times New Roman"/>
          <w:szCs w:val="24"/>
        </w:rPr>
        <w:t xml:space="preserve"> e </w:t>
      </w:r>
      <w:r>
        <w:rPr>
          <w:rFonts w:cs="Times New Roman"/>
          <w:i/>
          <w:szCs w:val="24"/>
        </w:rPr>
        <w:t>l</w:t>
      </w:r>
      <w:r w:rsidR="0075476C" w:rsidRPr="001A045F">
        <w:rPr>
          <w:rFonts w:cs="Times New Roman"/>
          <w:i/>
          <w:szCs w:val="24"/>
        </w:rPr>
        <w:t>oci</w:t>
      </w:r>
      <w:r w:rsidR="0075476C" w:rsidRPr="001A045F">
        <w:rPr>
          <w:rFonts w:cs="Times New Roman"/>
          <w:szCs w:val="24"/>
        </w:rPr>
        <w:t xml:space="preserve">. No presente caso, a CtIDH não possui jurisdição </w:t>
      </w:r>
      <w:r>
        <w:rPr>
          <w:rFonts w:cs="Times New Roman"/>
          <w:i/>
          <w:szCs w:val="24"/>
        </w:rPr>
        <w:t>r</w:t>
      </w:r>
      <w:r w:rsidR="0075476C" w:rsidRPr="001A045F">
        <w:rPr>
          <w:rFonts w:cs="Times New Roman"/>
          <w:i/>
          <w:szCs w:val="24"/>
        </w:rPr>
        <w:t xml:space="preserve">atione </w:t>
      </w:r>
      <w:r>
        <w:rPr>
          <w:rFonts w:cs="Times New Roman"/>
          <w:i/>
          <w:szCs w:val="24"/>
        </w:rPr>
        <w:t>m</w:t>
      </w:r>
      <w:r w:rsidR="0075476C" w:rsidRPr="001A045F">
        <w:rPr>
          <w:rFonts w:cs="Times New Roman"/>
          <w:i/>
          <w:szCs w:val="24"/>
        </w:rPr>
        <w:t>ateriae</w:t>
      </w:r>
      <w:r w:rsidR="0075476C" w:rsidRPr="001A045F">
        <w:rPr>
          <w:rFonts w:cs="Times New Roman"/>
          <w:szCs w:val="24"/>
        </w:rPr>
        <w:t>.</w:t>
      </w:r>
    </w:p>
    <w:p w:rsidR="0075476C" w:rsidRPr="001A045F" w:rsidRDefault="004907D6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Conforme </w:t>
      </w:r>
      <w:r w:rsidR="0075476C" w:rsidRPr="001A045F">
        <w:rPr>
          <w:rFonts w:cs="Times New Roman"/>
          <w:szCs w:val="24"/>
        </w:rPr>
        <w:t>a “Fórmula d</w:t>
      </w:r>
      <w:r w:rsidR="007E5326">
        <w:rPr>
          <w:rFonts w:cs="Times New Roman"/>
          <w:szCs w:val="24"/>
        </w:rPr>
        <w:t>a</w:t>
      </w:r>
      <w:r w:rsidR="0075476C" w:rsidRPr="001A045F">
        <w:rPr>
          <w:rFonts w:cs="Times New Roman"/>
          <w:szCs w:val="24"/>
        </w:rPr>
        <w:t xml:space="preserve"> Quarta Instância”, não </w:t>
      </w:r>
      <w:r w:rsidR="007E5326">
        <w:rPr>
          <w:rFonts w:cs="Times New Roman"/>
          <w:szCs w:val="24"/>
        </w:rPr>
        <w:t>compete à</w:t>
      </w:r>
      <w:r w:rsidR="0075476C" w:rsidRPr="001A045F">
        <w:rPr>
          <w:rFonts w:cs="Times New Roman"/>
          <w:szCs w:val="24"/>
        </w:rPr>
        <w:t xml:space="preserve"> CtIDH analisar </w:t>
      </w:r>
      <w:r>
        <w:rPr>
          <w:rFonts w:cs="Times New Roman"/>
          <w:szCs w:val="24"/>
        </w:rPr>
        <w:t xml:space="preserve">eventuais </w:t>
      </w:r>
      <w:r w:rsidR="0075476C" w:rsidRPr="001A045F">
        <w:rPr>
          <w:rFonts w:cs="Times New Roman"/>
          <w:szCs w:val="24"/>
        </w:rPr>
        <w:t xml:space="preserve">erros de lei ou de fato que as cortes </w:t>
      </w:r>
      <w:r w:rsidR="007E5326">
        <w:rPr>
          <w:rFonts w:cs="Times New Roman"/>
          <w:szCs w:val="24"/>
        </w:rPr>
        <w:t xml:space="preserve">nacionais </w:t>
      </w:r>
      <w:r>
        <w:rPr>
          <w:rFonts w:cs="Times New Roman"/>
          <w:szCs w:val="24"/>
        </w:rPr>
        <w:t>tenham cometido</w:t>
      </w:r>
      <w:r w:rsidR="0075476C" w:rsidRPr="001A045F">
        <w:rPr>
          <w:rFonts w:cs="Times New Roman"/>
          <w:szCs w:val="24"/>
        </w:rPr>
        <w:t xml:space="preserve"> </w:t>
      </w:r>
      <w:r w:rsidR="007E5326">
        <w:rPr>
          <w:rFonts w:cs="Times New Roman"/>
          <w:szCs w:val="24"/>
        </w:rPr>
        <w:t>no exercício da sua</w:t>
      </w:r>
      <w:r w:rsidR="0075476C" w:rsidRPr="001A045F">
        <w:rPr>
          <w:rFonts w:cs="Times New Roman"/>
          <w:szCs w:val="24"/>
        </w:rPr>
        <w:t xml:space="preserve"> jurisdição</w:t>
      </w:r>
      <w:r w:rsidR="00053E33">
        <w:rPr>
          <w:rStyle w:val="FootnoteReference"/>
          <w:rFonts w:cs="Times New Roman"/>
          <w:szCs w:val="24"/>
        </w:rPr>
        <w:footnoteReference w:id="1"/>
      </w:r>
      <w:r w:rsidR="0075476C" w:rsidRPr="001A045F">
        <w:rPr>
          <w:rFonts w:cs="Times New Roman"/>
          <w:szCs w:val="24"/>
        </w:rPr>
        <w:t xml:space="preserve">. </w:t>
      </w:r>
      <w:r w:rsidR="007E5326">
        <w:rPr>
          <w:rFonts w:cs="Times New Roman"/>
          <w:szCs w:val="24"/>
        </w:rPr>
        <w:t>Sua função é</w:t>
      </w:r>
      <w:r w:rsidR="0075476C" w:rsidRPr="00567611">
        <w:rPr>
          <w:rFonts w:cs="Times New Roman"/>
          <w:szCs w:val="24"/>
        </w:rPr>
        <w:t xml:space="preserve">, </w:t>
      </w:r>
      <w:r w:rsidR="0075476C" w:rsidRPr="00567611">
        <w:rPr>
          <w:rFonts w:cs="Times New Roman"/>
          <w:szCs w:val="24"/>
        </w:rPr>
        <w:lastRenderedPageBreak/>
        <w:t>unicament</w:t>
      </w:r>
      <w:r>
        <w:rPr>
          <w:rFonts w:cs="Times New Roman"/>
          <w:szCs w:val="24"/>
        </w:rPr>
        <w:t>e, determinar se um Estado</w:t>
      </w:r>
      <w:r w:rsidR="0075476C" w:rsidRPr="00567611">
        <w:rPr>
          <w:rFonts w:cs="Times New Roman"/>
          <w:szCs w:val="24"/>
        </w:rPr>
        <w:t xml:space="preserve"> violou obrigações contidas na CADH</w:t>
      </w:r>
      <w:r w:rsidR="00053E33">
        <w:rPr>
          <w:rStyle w:val="FootnoteReference"/>
          <w:rFonts w:cs="Times New Roman"/>
          <w:szCs w:val="24"/>
        </w:rPr>
        <w:footnoteReference w:id="2"/>
      </w:r>
      <w:r w:rsidR="009E741B">
        <w:rPr>
          <w:rFonts w:cs="Times New Roman"/>
          <w:szCs w:val="24"/>
        </w:rPr>
        <w:t xml:space="preserve"> </w:t>
      </w:r>
      <w:r w:rsidR="0075476C" w:rsidRPr="001A045F">
        <w:rPr>
          <w:rFonts w:cs="Times New Roman"/>
          <w:szCs w:val="24"/>
        </w:rPr>
        <w:t>e se os procedimentos</w:t>
      </w:r>
      <w:r w:rsidR="00B93BD4" w:rsidRPr="001A045F">
        <w:rPr>
          <w:rFonts w:cs="Times New Roman"/>
          <w:szCs w:val="24"/>
        </w:rPr>
        <w:t xml:space="preserve"> d</w:t>
      </w:r>
      <w:r w:rsidR="0075476C" w:rsidRPr="001A045F">
        <w:rPr>
          <w:rFonts w:cs="Times New Roman"/>
          <w:szCs w:val="24"/>
        </w:rPr>
        <w:t xml:space="preserve">omésticos cumpriram </w:t>
      </w:r>
      <w:r w:rsidR="007E5326">
        <w:rPr>
          <w:rFonts w:cs="Times New Roman"/>
          <w:szCs w:val="24"/>
        </w:rPr>
        <w:t>suas exigências</w:t>
      </w:r>
      <w:r w:rsidR="0075476C" w:rsidRPr="001A045F">
        <w:rPr>
          <w:rFonts w:eastAsia="Droid Serif" w:cs="Times New Roman"/>
          <w:color w:val="000000"/>
          <w:szCs w:val="24"/>
          <w:vertAlign w:val="superscript"/>
        </w:rPr>
        <w:footnoteReference w:id="3"/>
      </w:r>
      <w:r>
        <w:rPr>
          <w:rFonts w:cs="Times New Roman"/>
          <w:szCs w:val="24"/>
        </w:rPr>
        <w:t>.</w:t>
      </w:r>
      <w:r w:rsidR="0075476C" w:rsidRPr="001A045F">
        <w:rPr>
          <w:rFonts w:cs="Times New Roman"/>
          <w:szCs w:val="24"/>
        </w:rPr>
        <w:t xml:space="preserve"> </w:t>
      </w:r>
    </w:p>
    <w:p w:rsidR="0075476C" w:rsidRPr="001A045F" w:rsidRDefault="0075476C" w:rsidP="001A045F">
      <w:pPr>
        <w:rPr>
          <w:rStyle w:val="SubtleReference"/>
          <w:rFonts w:cs="Times New Roman"/>
          <w:bCs/>
          <w:smallCaps w:val="0"/>
          <w:szCs w:val="24"/>
        </w:rPr>
      </w:pPr>
      <w:r w:rsidRPr="001A045F">
        <w:rPr>
          <w:rFonts w:cs="Times New Roman"/>
          <w:szCs w:val="24"/>
        </w:rPr>
        <w:t>Os representantes d</w:t>
      </w:r>
      <w:r w:rsidR="007E5326">
        <w:rPr>
          <w:rFonts w:cs="Times New Roman"/>
          <w:szCs w:val="24"/>
        </w:rPr>
        <w:t>e Cristal</w:t>
      </w:r>
      <w:r w:rsidRPr="001A045F">
        <w:rPr>
          <w:rFonts w:cs="Times New Roman"/>
          <w:szCs w:val="24"/>
        </w:rPr>
        <w:t xml:space="preserve"> tiveram seu recurso de apelação negado </w:t>
      </w:r>
      <w:r w:rsidR="007E5326">
        <w:rPr>
          <w:rFonts w:cs="Times New Roman"/>
          <w:szCs w:val="24"/>
        </w:rPr>
        <w:t>pelo</w:t>
      </w:r>
      <w:r w:rsidRPr="001A045F">
        <w:rPr>
          <w:rFonts w:cs="Times New Roman"/>
          <w:szCs w:val="24"/>
        </w:rPr>
        <w:t xml:space="preserve"> </w:t>
      </w:r>
      <w:r w:rsidR="007E5326">
        <w:rPr>
          <w:rFonts w:cs="Times New Roman"/>
          <w:szCs w:val="24"/>
        </w:rPr>
        <w:t>TA</w:t>
      </w:r>
      <w:r w:rsidRPr="001A045F">
        <w:rPr>
          <w:rFonts w:cs="Times New Roman"/>
          <w:szCs w:val="24"/>
        </w:rPr>
        <w:t xml:space="preserve">, </w:t>
      </w:r>
      <w:r w:rsidR="0091008C">
        <w:rPr>
          <w:rFonts w:cs="Times New Roman"/>
          <w:szCs w:val="24"/>
        </w:rPr>
        <w:t>que</w:t>
      </w:r>
      <w:r w:rsidRPr="001A045F">
        <w:rPr>
          <w:rFonts w:cs="Times New Roman"/>
          <w:szCs w:val="24"/>
        </w:rPr>
        <w:t xml:space="preserve"> concluiu</w:t>
      </w:r>
      <w:r w:rsidR="00162B00" w:rsidRPr="001A045F">
        <w:rPr>
          <w:rFonts w:cs="Times New Roman"/>
          <w:szCs w:val="24"/>
        </w:rPr>
        <w:t xml:space="preserve"> não hav</w:t>
      </w:r>
      <w:r w:rsidR="0091008C">
        <w:rPr>
          <w:rFonts w:cs="Times New Roman"/>
          <w:szCs w:val="24"/>
        </w:rPr>
        <w:t>er</w:t>
      </w:r>
      <w:r w:rsidR="00162B00" w:rsidRPr="001A045F">
        <w:rPr>
          <w:rFonts w:cs="Times New Roman"/>
          <w:szCs w:val="24"/>
        </w:rPr>
        <w:t xml:space="preserve"> abusos por parte d</w:t>
      </w:r>
      <w:r w:rsidR="007E5326">
        <w:rPr>
          <w:rFonts w:cs="Times New Roman"/>
          <w:szCs w:val="24"/>
        </w:rPr>
        <w:t>e Dra. Lira</w:t>
      </w:r>
      <w:r w:rsidR="00162B00" w:rsidRPr="001A045F">
        <w:rPr>
          <w:rFonts w:cs="Times New Roman"/>
          <w:szCs w:val="24"/>
        </w:rPr>
        <w:t>. O único motivo da submissão do caso é um suposto erro na apuração das provas</w:t>
      </w:r>
      <w:r w:rsidR="0091008C">
        <w:rPr>
          <w:rFonts w:cs="Times New Roman"/>
          <w:szCs w:val="24"/>
        </w:rPr>
        <w:t xml:space="preserve"> e a alegação de que a corte dom</w:t>
      </w:r>
      <w:r w:rsidR="007E5326">
        <w:rPr>
          <w:rFonts w:cs="Times New Roman"/>
          <w:szCs w:val="24"/>
        </w:rPr>
        <w:t>é</w:t>
      </w:r>
      <w:r w:rsidR="0091008C">
        <w:rPr>
          <w:rFonts w:cs="Times New Roman"/>
          <w:szCs w:val="24"/>
        </w:rPr>
        <w:t>stica agiu de forma incorreta.</w:t>
      </w:r>
    </w:p>
    <w:p w:rsidR="005A2F96" w:rsidRPr="0075476C" w:rsidRDefault="005A2F96" w:rsidP="005D7B0D">
      <w:pPr>
        <w:pStyle w:val="ListParagraph"/>
        <w:numPr>
          <w:ilvl w:val="1"/>
          <w:numId w:val="2"/>
        </w:numPr>
        <w:tabs>
          <w:tab w:val="left" w:pos="1418"/>
        </w:tabs>
        <w:spacing w:line="480" w:lineRule="auto"/>
        <w:ind w:left="0" w:firstLine="0"/>
        <w:outlineLvl w:val="1"/>
        <w:rPr>
          <w:rStyle w:val="SubtleReference"/>
          <w:rFonts w:cs="Times New Roman"/>
          <w:bCs/>
          <w:smallCaps w:val="0"/>
          <w:szCs w:val="24"/>
        </w:rPr>
      </w:pPr>
      <w:bookmarkStart w:id="10" w:name="_Toc383464270"/>
      <w:r w:rsidRPr="0075476C">
        <w:rPr>
          <w:rStyle w:val="SubtleReference"/>
          <w:rFonts w:cs="Times New Roman"/>
          <w:szCs w:val="24"/>
        </w:rPr>
        <w:t>Exceções preliminares</w:t>
      </w:r>
      <w:bookmarkEnd w:id="10"/>
    </w:p>
    <w:p w:rsidR="005A2F96" w:rsidRPr="00162B00" w:rsidRDefault="005A2F96" w:rsidP="005D7B0D">
      <w:pPr>
        <w:pStyle w:val="ListParagraph"/>
        <w:numPr>
          <w:ilvl w:val="2"/>
          <w:numId w:val="2"/>
        </w:numPr>
        <w:tabs>
          <w:tab w:val="left" w:pos="1418"/>
        </w:tabs>
        <w:spacing w:line="480" w:lineRule="auto"/>
        <w:ind w:left="0" w:firstLine="0"/>
        <w:outlineLvl w:val="2"/>
        <w:rPr>
          <w:rStyle w:val="SubtleReference"/>
          <w:rFonts w:cs="Times New Roman"/>
          <w:bCs/>
          <w:smallCaps w:val="0"/>
          <w:szCs w:val="24"/>
        </w:rPr>
      </w:pPr>
      <w:bookmarkStart w:id="11" w:name="_Toc383464271"/>
      <w:r w:rsidRPr="0075476C">
        <w:rPr>
          <w:rStyle w:val="SubtleReference"/>
          <w:rFonts w:cs="Times New Roman"/>
          <w:smallCaps w:val="0"/>
          <w:szCs w:val="24"/>
        </w:rPr>
        <w:t>Do Não Esgotamento dos Recursos Internos</w:t>
      </w:r>
      <w:bookmarkEnd w:id="11"/>
    </w:p>
    <w:p w:rsidR="00162B00" w:rsidRPr="001A045F" w:rsidRDefault="004907D6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>Antes de submeter um caso</w:t>
      </w:r>
      <w:r w:rsidR="00162B00" w:rsidRPr="001A045F">
        <w:rPr>
          <w:rFonts w:cs="Times New Roman"/>
          <w:szCs w:val="24"/>
        </w:rPr>
        <w:t xml:space="preserve"> à CIDH, as partes devem buscar a solução da controvérsia por vias domésticas ou demonstrar exceção a esta exigência</w:t>
      </w:r>
      <w:r w:rsidR="00162B00" w:rsidRPr="001A045F">
        <w:rPr>
          <w:rFonts w:eastAsia="Droid Serif" w:cs="Times New Roman"/>
          <w:color w:val="000000"/>
          <w:szCs w:val="24"/>
          <w:vertAlign w:val="superscript"/>
        </w:rPr>
        <w:footnoteReference w:id="4"/>
      </w:r>
      <w:r w:rsidR="00162B00" w:rsidRPr="001A045F">
        <w:rPr>
          <w:rFonts w:cs="Times New Roman"/>
          <w:szCs w:val="24"/>
        </w:rPr>
        <w:t>.</w:t>
      </w:r>
      <w:r w:rsidR="006B435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Porém</w:t>
      </w:r>
      <w:r w:rsidR="00162B00" w:rsidRPr="001A045F">
        <w:rPr>
          <w:rFonts w:cs="Times New Roman"/>
          <w:szCs w:val="24"/>
        </w:rPr>
        <w:t xml:space="preserve">, os representantes </w:t>
      </w:r>
      <w:r w:rsidR="009E741B">
        <w:rPr>
          <w:rFonts w:cs="Times New Roman"/>
          <w:szCs w:val="24"/>
        </w:rPr>
        <w:t>de Cristal</w:t>
      </w:r>
      <w:r w:rsidR="00162B00" w:rsidRPr="001A045F">
        <w:rPr>
          <w:rFonts w:cs="Times New Roman"/>
          <w:szCs w:val="24"/>
        </w:rPr>
        <w:t xml:space="preserve"> não exauriram os recursos internos. </w:t>
      </w:r>
      <w:r w:rsidR="009E741B">
        <w:rPr>
          <w:rFonts w:cs="Times New Roman"/>
          <w:szCs w:val="24"/>
        </w:rPr>
        <w:t>A</w:t>
      </w:r>
      <w:r w:rsidR="00162B00" w:rsidRPr="001A045F">
        <w:rPr>
          <w:rFonts w:cs="Times New Roman"/>
          <w:szCs w:val="24"/>
        </w:rPr>
        <w:t xml:space="preserve"> ação de inconstitucionalidade </w:t>
      </w:r>
      <w:r w:rsidR="009E741B">
        <w:rPr>
          <w:rFonts w:cs="Times New Roman"/>
          <w:szCs w:val="24"/>
        </w:rPr>
        <w:t xml:space="preserve">era </w:t>
      </w:r>
      <w:r w:rsidR="0091008C">
        <w:rPr>
          <w:rFonts w:cs="Times New Roman"/>
          <w:szCs w:val="24"/>
        </w:rPr>
        <w:t xml:space="preserve">recurso </w:t>
      </w:r>
      <w:r w:rsidR="0091008C" w:rsidRPr="001A045F">
        <w:rPr>
          <w:rFonts w:cs="Times New Roman"/>
          <w:szCs w:val="24"/>
        </w:rPr>
        <w:t>idôneo para questionar a interdição</w:t>
      </w:r>
      <w:r w:rsidR="009E741B">
        <w:rPr>
          <w:rFonts w:cs="Times New Roman"/>
          <w:szCs w:val="24"/>
        </w:rPr>
        <w:t xml:space="preserve"> e</w:t>
      </w:r>
      <w:r w:rsidR="00162B00" w:rsidRPr="001A045F">
        <w:rPr>
          <w:rFonts w:cs="Times New Roman"/>
          <w:szCs w:val="24"/>
        </w:rPr>
        <w:t xml:space="preserve"> pode</w:t>
      </w:r>
      <w:r w:rsidR="006B435F">
        <w:rPr>
          <w:rFonts w:cs="Times New Roman"/>
          <w:szCs w:val="24"/>
        </w:rPr>
        <w:t>ria</w:t>
      </w:r>
      <w:r w:rsidR="00162B00" w:rsidRPr="001A045F">
        <w:rPr>
          <w:rFonts w:cs="Times New Roman"/>
          <w:szCs w:val="24"/>
        </w:rPr>
        <w:t xml:space="preserve"> </w:t>
      </w:r>
      <w:r w:rsidR="009E741B">
        <w:rPr>
          <w:rFonts w:cs="Times New Roman"/>
          <w:szCs w:val="24"/>
        </w:rPr>
        <w:t>ter sido</w:t>
      </w:r>
      <w:r w:rsidR="00162B00" w:rsidRPr="001A045F">
        <w:rPr>
          <w:rFonts w:cs="Times New Roman"/>
          <w:szCs w:val="24"/>
        </w:rPr>
        <w:t xml:space="preserve"> submetida por </w:t>
      </w:r>
      <w:r w:rsidR="006B435F">
        <w:rPr>
          <w:rFonts w:cs="Times New Roman"/>
          <w:szCs w:val="24"/>
        </w:rPr>
        <w:t>qualquer pessoa. Ademais</w:t>
      </w:r>
      <w:r w:rsidR="00162B00" w:rsidRPr="001A045F">
        <w:rPr>
          <w:rFonts w:cs="Times New Roman"/>
          <w:szCs w:val="24"/>
        </w:rPr>
        <w:t>, ainda existia a possibilidade de recurso na última instância judicial, a Suprema Corte de Justiça.</w:t>
      </w:r>
    </w:p>
    <w:p w:rsidR="00162B00" w:rsidRPr="001A045F" w:rsidRDefault="004A3755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162B00" w:rsidRPr="001A045F">
        <w:rPr>
          <w:rFonts w:cs="Times New Roman"/>
          <w:szCs w:val="24"/>
        </w:rPr>
        <w:t xml:space="preserve"> CtIDH definiu que o requerente não é obrigado a questionar a constitucionalidade de uma norma quando o propósito é a revisão de um julgamento</w:t>
      </w:r>
      <w:r w:rsidR="00162B00" w:rsidRPr="001A045F">
        <w:rPr>
          <w:rFonts w:eastAsia="Droid Serif" w:cs="Times New Roman"/>
          <w:color w:val="000000"/>
          <w:szCs w:val="24"/>
          <w:vertAlign w:val="superscript"/>
        </w:rPr>
        <w:footnoteReference w:id="5"/>
      </w:r>
      <w:r w:rsidR="0091008C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A</w:t>
      </w:r>
      <w:r w:rsidR="00162B00" w:rsidRPr="001A045F">
        <w:rPr>
          <w:rFonts w:cs="Times New Roman"/>
          <w:szCs w:val="24"/>
        </w:rPr>
        <w:t>pesar da importância de decisões anteriores, elas não são v</w:t>
      </w:r>
      <w:r w:rsidR="006B435F">
        <w:rPr>
          <w:rFonts w:cs="Times New Roman"/>
          <w:szCs w:val="24"/>
        </w:rPr>
        <w:t>inculantes e, nesse caso</w:t>
      </w:r>
      <w:r w:rsidR="00162B00" w:rsidRPr="001A045F">
        <w:rPr>
          <w:rFonts w:cs="Times New Roman"/>
          <w:szCs w:val="24"/>
        </w:rPr>
        <w:t>, a</w:t>
      </w:r>
      <w:r w:rsidR="006B435F">
        <w:rPr>
          <w:rFonts w:cs="Times New Roman"/>
          <w:szCs w:val="24"/>
        </w:rPr>
        <w:t xml:space="preserve"> ação de inconstitucionalidade </w:t>
      </w:r>
      <w:r>
        <w:rPr>
          <w:rFonts w:cs="Times New Roman"/>
          <w:szCs w:val="24"/>
        </w:rPr>
        <w:t>era</w:t>
      </w:r>
      <w:r w:rsidR="00162B00" w:rsidRPr="001A045F">
        <w:rPr>
          <w:rFonts w:cs="Times New Roman"/>
          <w:szCs w:val="24"/>
        </w:rPr>
        <w:t xml:space="preserve"> um recurso adequado a ser exaurido. A própria CIDH já adotou essa postura ao negar a admissibilidade de uma petição que não havia esgotado a ação de inconstitucionalidade local</w:t>
      </w:r>
      <w:r w:rsidR="00162B00" w:rsidRPr="001A045F">
        <w:rPr>
          <w:rFonts w:eastAsia="Droid Serif" w:cs="Times New Roman"/>
          <w:color w:val="000000"/>
          <w:szCs w:val="24"/>
          <w:vertAlign w:val="superscript"/>
        </w:rPr>
        <w:footnoteReference w:id="6"/>
      </w:r>
      <w:r w:rsidR="00162B00" w:rsidRPr="001A045F">
        <w:rPr>
          <w:rFonts w:cs="Times New Roman"/>
          <w:szCs w:val="24"/>
        </w:rPr>
        <w:t>, fundament</w:t>
      </w:r>
      <w:r w:rsidR="006B435F">
        <w:rPr>
          <w:rFonts w:cs="Times New Roman"/>
          <w:szCs w:val="24"/>
        </w:rPr>
        <w:t xml:space="preserve">ando-se na disponibilidade e </w:t>
      </w:r>
      <w:r w:rsidR="00162B00" w:rsidRPr="001A045F">
        <w:rPr>
          <w:rFonts w:cs="Times New Roman"/>
          <w:szCs w:val="24"/>
        </w:rPr>
        <w:t xml:space="preserve">eficácia do recurso. Considerando que em Exclutia tratados internacionais </w:t>
      </w:r>
      <w:r>
        <w:rPr>
          <w:rFonts w:cs="Times New Roman"/>
          <w:szCs w:val="24"/>
        </w:rPr>
        <w:t>de</w:t>
      </w:r>
      <w:r w:rsidR="00162B00" w:rsidRPr="001A045F">
        <w:rPr>
          <w:rFonts w:cs="Times New Roman"/>
          <w:szCs w:val="24"/>
        </w:rPr>
        <w:t xml:space="preserve"> direitos humanos possuem </w:t>
      </w:r>
      <w:r w:rsidR="006B435F" w:rsidRPr="004A3755">
        <w:rPr>
          <w:rFonts w:cs="Times New Roman"/>
          <w:i/>
          <w:szCs w:val="24"/>
        </w:rPr>
        <w:t>status</w:t>
      </w:r>
      <w:r w:rsidR="00162B00" w:rsidRPr="001A045F">
        <w:rPr>
          <w:rFonts w:cs="Times New Roman"/>
          <w:szCs w:val="24"/>
        </w:rPr>
        <w:t xml:space="preserve"> constitucional e que a demanda da </w:t>
      </w:r>
      <w:r w:rsidR="0091008C">
        <w:rPr>
          <w:rFonts w:cs="Times New Roman"/>
          <w:szCs w:val="24"/>
        </w:rPr>
        <w:t xml:space="preserve">suposta </w:t>
      </w:r>
      <w:r w:rsidR="006B435F">
        <w:rPr>
          <w:rFonts w:cs="Times New Roman"/>
          <w:szCs w:val="24"/>
        </w:rPr>
        <w:t>vítima relaciona-se</w:t>
      </w:r>
      <w:r w:rsidR="00162B00" w:rsidRPr="001A045F">
        <w:rPr>
          <w:rFonts w:cs="Times New Roman"/>
          <w:szCs w:val="24"/>
        </w:rPr>
        <w:t xml:space="preserve"> a alegadas violações da CADH, a ação de inconstitucionalidade era o recurso mais adequado. Não </w:t>
      </w:r>
      <w:r w:rsidR="00162B00" w:rsidRPr="001A045F">
        <w:rPr>
          <w:rFonts w:cs="Times New Roman"/>
          <w:szCs w:val="24"/>
        </w:rPr>
        <w:lastRenderedPageBreak/>
        <w:t xml:space="preserve">obstante, caso </w:t>
      </w:r>
      <w:r>
        <w:rPr>
          <w:rFonts w:cs="Times New Roman"/>
          <w:szCs w:val="24"/>
        </w:rPr>
        <w:t>tal</w:t>
      </w:r>
      <w:r w:rsidR="00162B00" w:rsidRPr="001A045F">
        <w:rPr>
          <w:rFonts w:cs="Times New Roman"/>
          <w:szCs w:val="24"/>
        </w:rPr>
        <w:t xml:space="preserve"> ação </w:t>
      </w:r>
      <w:r w:rsidR="0091008C">
        <w:rPr>
          <w:rFonts w:cs="Times New Roman"/>
          <w:szCs w:val="24"/>
        </w:rPr>
        <w:t>seja desconsiderada</w:t>
      </w:r>
      <w:r w:rsidR="00162B00" w:rsidRPr="001A045F">
        <w:rPr>
          <w:rFonts w:cs="Times New Roman"/>
          <w:szCs w:val="24"/>
        </w:rPr>
        <w:t>, ainda h</w:t>
      </w:r>
      <w:r>
        <w:rPr>
          <w:rFonts w:cs="Times New Roman"/>
          <w:szCs w:val="24"/>
        </w:rPr>
        <w:t>avia</w:t>
      </w:r>
      <w:r w:rsidR="00162B00" w:rsidRPr="001A045F">
        <w:rPr>
          <w:rFonts w:cs="Times New Roman"/>
          <w:szCs w:val="24"/>
        </w:rPr>
        <w:t xml:space="preserve"> o apelo à Suprema Corte de Justiça, o qual estava disponível e é adequado, apropriado e efetivo</w:t>
      </w:r>
      <w:r w:rsidR="006B435F">
        <w:rPr>
          <w:rFonts w:cs="Times New Roman"/>
          <w:szCs w:val="24"/>
        </w:rPr>
        <w:t>.</w:t>
      </w:r>
    </w:p>
    <w:p w:rsidR="00162B00" w:rsidRPr="001A045F" w:rsidRDefault="0091008C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>Ademais, nenhuma d</w:t>
      </w:r>
      <w:r w:rsidR="00162B00" w:rsidRPr="001A045F">
        <w:rPr>
          <w:rFonts w:cs="Times New Roman"/>
          <w:szCs w:val="24"/>
        </w:rPr>
        <w:t xml:space="preserve">as exceções </w:t>
      </w:r>
      <w:r>
        <w:rPr>
          <w:rFonts w:cs="Times New Roman"/>
          <w:szCs w:val="24"/>
        </w:rPr>
        <w:t>à exigência do esgotamento dos recursos internos</w:t>
      </w:r>
      <w:r w:rsidR="0025637E" w:rsidRPr="001A045F">
        <w:rPr>
          <w:rFonts w:eastAsia="Droid Serif" w:cs="Times New Roman"/>
          <w:color w:val="000000"/>
          <w:szCs w:val="24"/>
          <w:vertAlign w:val="superscript"/>
        </w:rPr>
        <w:footnoteReference w:id="7"/>
      </w:r>
      <w:r>
        <w:rPr>
          <w:rFonts w:cs="Times New Roman"/>
          <w:szCs w:val="24"/>
        </w:rPr>
        <w:t xml:space="preserve"> </w:t>
      </w:r>
      <w:r w:rsidR="0025637E">
        <w:rPr>
          <w:rFonts w:cs="Times New Roman"/>
          <w:szCs w:val="24"/>
        </w:rPr>
        <w:t>aplica-se ao presente caso</w:t>
      </w:r>
      <w:r w:rsidR="006B435F">
        <w:rPr>
          <w:rFonts w:cs="Times New Roman"/>
          <w:szCs w:val="24"/>
        </w:rPr>
        <w:t>, pois</w:t>
      </w:r>
      <w:r w:rsidR="0025637E">
        <w:rPr>
          <w:rFonts w:cs="Times New Roman"/>
          <w:szCs w:val="24"/>
        </w:rPr>
        <w:t xml:space="preserve">: </w:t>
      </w:r>
      <w:r w:rsidR="00162B00" w:rsidRPr="001A045F">
        <w:rPr>
          <w:rFonts w:cs="Times New Roman"/>
          <w:szCs w:val="24"/>
        </w:rPr>
        <w:t>i) havia dois recursos disponibilizad</w:t>
      </w:r>
      <w:r w:rsidR="0025637E">
        <w:rPr>
          <w:rFonts w:cs="Times New Roman"/>
          <w:szCs w:val="24"/>
        </w:rPr>
        <w:t>o</w:t>
      </w:r>
      <w:r w:rsidR="00162B00" w:rsidRPr="001A045F">
        <w:rPr>
          <w:rFonts w:cs="Times New Roman"/>
          <w:szCs w:val="24"/>
        </w:rPr>
        <w:t>s pela legislação</w:t>
      </w:r>
      <w:r w:rsidR="0025637E">
        <w:rPr>
          <w:rFonts w:cs="Times New Roman"/>
          <w:szCs w:val="24"/>
        </w:rPr>
        <w:t xml:space="preserve"> doméstica</w:t>
      </w:r>
      <w:r w:rsidR="00162B00" w:rsidRPr="001A045F">
        <w:rPr>
          <w:rFonts w:cs="Times New Roman"/>
          <w:szCs w:val="24"/>
        </w:rPr>
        <w:t xml:space="preserve">; ii) os representantes da </w:t>
      </w:r>
      <w:r w:rsidR="0025637E">
        <w:rPr>
          <w:rFonts w:cs="Times New Roman"/>
          <w:szCs w:val="24"/>
        </w:rPr>
        <w:t xml:space="preserve">suposta </w:t>
      </w:r>
      <w:r w:rsidR="00162B00" w:rsidRPr="001A045F">
        <w:rPr>
          <w:rFonts w:cs="Times New Roman"/>
          <w:szCs w:val="24"/>
        </w:rPr>
        <w:t xml:space="preserve">vítima não foram impedidos de continuar o processo internamente; e iii) todas decisões foram </w:t>
      </w:r>
      <w:r w:rsidR="004A3755">
        <w:rPr>
          <w:rFonts w:cs="Times New Roman"/>
          <w:szCs w:val="24"/>
        </w:rPr>
        <w:t>expedidas em meses</w:t>
      </w:r>
      <w:r w:rsidR="00162B00" w:rsidRPr="001A045F">
        <w:rPr>
          <w:rFonts w:cs="Times New Roman"/>
          <w:szCs w:val="24"/>
        </w:rPr>
        <w:t xml:space="preserve">, enquanto a CtIDH considera injustificadamente demoradas sentenças que levam </w:t>
      </w:r>
      <w:r w:rsidR="004A3755">
        <w:rPr>
          <w:rFonts w:cs="Times New Roman"/>
          <w:szCs w:val="24"/>
        </w:rPr>
        <w:t xml:space="preserve">mais de </w:t>
      </w:r>
      <w:r w:rsidR="00162B00" w:rsidRPr="001A045F">
        <w:rPr>
          <w:rFonts w:cs="Times New Roman"/>
          <w:szCs w:val="24"/>
        </w:rPr>
        <w:t>cinco anos</w:t>
      </w:r>
      <w:r w:rsidR="00162B00" w:rsidRPr="001A045F">
        <w:rPr>
          <w:rFonts w:eastAsia="Droid Serif" w:cs="Times New Roman"/>
          <w:color w:val="000000"/>
          <w:szCs w:val="24"/>
          <w:vertAlign w:val="superscript"/>
        </w:rPr>
        <w:footnoteReference w:id="8"/>
      </w:r>
      <w:r w:rsidR="00162B00" w:rsidRPr="001A045F">
        <w:rPr>
          <w:rFonts w:cs="Times New Roman"/>
          <w:szCs w:val="24"/>
        </w:rPr>
        <w:t>.</w:t>
      </w:r>
    </w:p>
    <w:p w:rsidR="00162B00" w:rsidRPr="001A045F" w:rsidRDefault="00162B00" w:rsidP="001A045F">
      <w:pPr>
        <w:rPr>
          <w:rStyle w:val="SubtleReference"/>
          <w:rFonts w:cs="Times New Roman"/>
          <w:b w:val="0"/>
          <w:smallCaps w:val="0"/>
          <w:szCs w:val="24"/>
        </w:rPr>
      </w:pPr>
      <w:r w:rsidRPr="001A045F">
        <w:rPr>
          <w:rFonts w:cs="Times New Roman"/>
          <w:szCs w:val="24"/>
        </w:rPr>
        <w:t>O Estado reconhece que a não exaustã</w:t>
      </w:r>
      <w:r w:rsidR="006B435F">
        <w:rPr>
          <w:rFonts w:cs="Times New Roman"/>
          <w:szCs w:val="24"/>
        </w:rPr>
        <w:t xml:space="preserve">o de recursos internos </w:t>
      </w:r>
      <w:r w:rsidR="004A3755">
        <w:rPr>
          <w:rFonts w:cs="Times New Roman"/>
          <w:szCs w:val="24"/>
        </w:rPr>
        <w:t>deve ser alegada</w:t>
      </w:r>
      <w:r w:rsidRPr="001A045F">
        <w:rPr>
          <w:rFonts w:cs="Times New Roman"/>
          <w:szCs w:val="24"/>
        </w:rPr>
        <w:t xml:space="preserve"> perante a CIDH</w:t>
      </w:r>
      <w:r w:rsidRPr="001A045F">
        <w:rPr>
          <w:rFonts w:eastAsia="Droid Serif" w:cs="Times New Roman"/>
          <w:color w:val="000000"/>
          <w:szCs w:val="24"/>
          <w:vertAlign w:val="superscript"/>
        </w:rPr>
        <w:footnoteReference w:id="9"/>
      </w:r>
      <w:r w:rsidR="006B435F">
        <w:rPr>
          <w:rFonts w:cs="Times New Roman"/>
          <w:szCs w:val="24"/>
        </w:rPr>
        <w:t>,</w:t>
      </w:r>
      <w:r w:rsidRPr="001A045F">
        <w:rPr>
          <w:rFonts w:cs="Times New Roman"/>
          <w:szCs w:val="24"/>
        </w:rPr>
        <w:t xml:space="preserve"> em virtude do princípio d</w:t>
      </w:r>
      <w:r w:rsidR="004A3755">
        <w:rPr>
          <w:rFonts w:cs="Times New Roman"/>
          <w:szCs w:val="24"/>
        </w:rPr>
        <w:t>o</w:t>
      </w:r>
      <w:r w:rsidRPr="001A045F">
        <w:rPr>
          <w:rFonts w:cs="Times New Roman"/>
          <w:szCs w:val="24"/>
        </w:rPr>
        <w:t xml:space="preserve"> </w:t>
      </w:r>
      <w:r w:rsidRPr="001A045F">
        <w:rPr>
          <w:rFonts w:cs="Times New Roman"/>
          <w:i/>
          <w:szCs w:val="24"/>
        </w:rPr>
        <w:t>estoppel</w:t>
      </w:r>
      <w:r w:rsidRPr="001A045F">
        <w:rPr>
          <w:rFonts w:cs="Times New Roman"/>
          <w:szCs w:val="24"/>
        </w:rPr>
        <w:t xml:space="preserve">. </w:t>
      </w:r>
      <w:r w:rsidR="006B435F">
        <w:rPr>
          <w:rFonts w:cs="Times New Roman"/>
          <w:szCs w:val="24"/>
        </w:rPr>
        <w:t>Porém</w:t>
      </w:r>
      <w:r w:rsidRPr="001A045F">
        <w:rPr>
          <w:rFonts w:cs="Times New Roman"/>
          <w:szCs w:val="24"/>
        </w:rPr>
        <w:t xml:space="preserve">, </w:t>
      </w:r>
      <w:r w:rsidR="006B435F">
        <w:rPr>
          <w:rFonts w:cs="Times New Roman"/>
          <w:szCs w:val="24"/>
        </w:rPr>
        <w:t>n</w:t>
      </w:r>
      <w:r w:rsidRPr="001A045F">
        <w:rPr>
          <w:rFonts w:cs="Times New Roman"/>
          <w:szCs w:val="24"/>
        </w:rPr>
        <w:t xml:space="preserve">egar ao Estado a possibilidade de alegar </w:t>
      </w:r>
      <w:r w:rsidR="004A3755">
        <w:rPr>
          <w:rFonts w:cs="Times New Roman"/>
          <w:szCs w:val="24"/>
        </w:rPr>
        <w:t>a</w:t>
      </w:r>
      <w:r w:rsidR="006B435F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 xml:space="preserve">exceção perante a CtIDH </w:t>
      </w:r>
      <w:r w:rsidR="004A3755">
        <w:rPr>
          <w:rFonts w:cs="Times New Roman"/>
          <w:szCs w:val="24"/>
        </w:rPr>
        <w:t>violaria</w:t>
      </w:r>
      <w:r w:rsidR="006B435F">
        <w:rPr>
          <w:rFonts w:cs="Times New Roman"/>
          <w:szCs w:val="24"/>
        </w:rPr>
        <w:t xml:space="preserve"> seu direito </w:t>
      </w:r>
      <w:r w:rsidR="004A3755">
        <w:rPr>
          <w:rFonts w:cs="Times New Roman"/>
          <w:szCs w:val="24"/>
        </w:rPr>
        <w:t>à</w:t>
      </w:r>
      <w:r w:rsidR="006B435F">
        <w:rPr>
          <w:rFonts w:cs="Times New Roman"/>
          <w:szCs w:val="24"/>
        </w:rPr>
        <w:t xml:space="preserve"> defesa</w:t>
      </w:r>
      <w:r w:rsidRPr="001A045F">
        <w:rPr>
          <w:rFonts w:cs="Times New Roman"/>
          <w:szCs w:val="24"/>
        </w:rPr>
        <w:t xml:space="preserve">, assim como o espírito de colaboração que orienta a relação </w:t>
      </w:r>
      <w:r w:rsidR="006B435F">
        <w:rPr>
          <w:rFonts w:cs="Times New Roman"/>
          <w:szCs w:val="24"/>
        </w:rPr>
        <w:t>do SIDH com o</w:t>
      </w:r>
      <w:r w:rsidRPr="001A045F">
        <w:rPr>
          <w:rFonts w:cs="Times New Roman"/>
          <w:szCs w:val="24"/>
        </w:rPr>
        <w:t xml:space="preserve">s Estados. Manter a decisão de admissibilidade </w:t>
      </w:r>
      <w:r w:rsidR="004A3755">
        <w:rPr>
          <w:rFonts w:cs="Times New Roman"/>
          <w:szCs w:val="24"/>
        </w:rPr>
        <w:t>d</w:t>
      </w:r>
      <w:r w:rsidRPr="001A045F">
        <w:rPr>
          <w:rFonts w:cs="Times New Roman"/>
          <w:szCs w:val="24"/>
        </w:rPr>
        <w:t xml:space="preserve">a CIDH impediria o Estado </w:t>
      </w:r>
      <w:r w:rsidR="006B435F">
        <w:rPr>
          <w:rFonts w:cs="Times New Roman"/>
          <w:szCs w:val="24"/>
        </w:rPr>
        <w:t>de resolv</w:t>
      </w:r>
      <w:r w:rsidRPr="001A045F">
        <w:rPr>
          <w:rFonts w:cs="Times New Roman"/>
          <w:szCs w:val="24"/>
        </w:rPr>
        <w:t>e</w:t>
      </w:r>
      <w:r w:rsidR="006B435F">
        <w:rPr>
          <w:rFonts w:cs="Times New Roman"/>
          <w:szCs w:val="24"/>
        </w:rPr>
        <w:t>r</w:t>
      </w:r>
      <w:r w:rsidRPr="001A045F">
        <w:rPr>
          <w:rFonts w:cs="Times New Roman"/>
          <w:szCs w:val="24"/>
        </w:rPr>
        <w:t xml:space="preserve"> controvérsias </w:t>
      </w:r>
      <w:r w:rsidR="006B435F">
        <w:rPr>
          <w:rFonts w:cs="Times New Roman"/>
          <w:szCs w:val="24"/>
        </w:rPr>
        <w:t>internamente</w:t>
      </w:r>
      <w:r w:rsidRPr="001A045F">
        <w:rPr>
          <w:rFonts w:cs="Times New Roman"/>
          <w:szCs w:val="24"/>
        </w:rPr>
        <w:t>, comprometendo o princípio da subsidiariedade</w:t>
      </w:r>
      <w:r w:rsidRPr="001A045F">
        <w:rPr>
          <w:rFonts w:eastAsia="Droid Serif" w:cs="Times New Roman"/>
          <w:color w:val="000000"/>
          <w:szCs w:val="24"/>
          <w:vertAlign w:val="superscript"/>
        </w:rPr>
        <w:footnoteReference w:id="10"/>
      </w:r>
      <w:r w:rsidRPr="001A045F">
        <w:rPr>
          <w:rFonts w:cs="Times New Roman"/>
          <w:szCs w:val="24"/>
        </w:rPr>
        <w:t>.</w:t>
      </w:r>
    </w:p>
    <w:p w:rsidR="005A2F96" w:rsidRDefault="005A2F96" w:rsidP="005D7B0D">
      <w:pPr>
        <w:pStyle w:val="ListParagraph"/>
        <w:numPr>
          <w:ilvl w:val="2"/>
          <w:numId w:val="2"/>
        </w:numPr>
        <w:tabs>
          <w:tab w:val="left" w:pos="1418"/>
        </w:tabs>
        <w:spacing w:line="480" w:lineRule="auto"/>
        <w:ind w:left="0" w:firstLine="0"/>
        <w:outlineLvl w:val="2"/>
        <w:rPr>
          <w:rStyle w:val="BookTitle"/>
          <w:rFonts w:cs="Times New Roman"/>
          <w:smallCaps w:val="0"/>
          <w:spacing w:val="0"/>
          <w:sz w:val="24"/>
          <w:szCs w:val="24"/>
        </w:rPr>
      </w:pPr>
      <w:bookmarkStart w:id="12" w:name="_Toc383464272"/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Do Descumprimento da Regra dos Seis Meses</w:t>
      </w:r>
      <w:bookmarkEnd w:id="12"/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Caso a CtIDH determine que os recursos foram esgotados, estará desconsiderando o processo de interdição como relevante para a demanda, visto que, conforme demonstrado, ele não foi de</w:t>
      </w:r>
      <w:r w:rsidR="00CE31D3">
        <w:rPr>
          <w:rFonts w:cs="Times New Roman"/>
          <w:szCs w:val="24"/>
        </w:rPr>
        <w:t>finitivamente encerrado. A</w:t>
      </w:r>
      <w:r w:rsidRPr="001A045F">
        <w:rPr>
          <w:rFonts w:cs="Times New Roman"/>
          <w:szCs w:val="24"/>
        </w:rPr>
        <w:t>ssim, restaria entender que</w:t>
      </w:r>
      <w:r w:rsidR="0025637E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 xml:space="preserve">os recursos foram esgotados pela decisão definitiva do procedimento de amparo, à qual foi emitida em 02/12/2008. A ODNEI peticionou </w:t>
      </w:r>
      <w:r w:rsidR="00777AE2">
        <w:rPr>
          <w:rFonts w:cs="Times New Roman"/>
          <w:szCs w:val="24"/>
        </w:rPr>
        <w:t xml:space="preserve">à </w:t>
      </w:r>
      <w:r w:rsidRPr="001A045F">
        <w:rPr>
          <w:rFonts w:cs="Times New Roman"/>
          <w:szCs w:val="24"/>
        </w:rPr>
        <w:t xml:space="preserve">CIDH apenas em 01/09/2009 – nove meses após o suposto esgotamento dos recursos internos. Violada, portanto, a regra </w:t>
      </w:r>
      <w:r w:rsidR="0025637E">
        <w:rPr>
          <w:rFonts w:cs="Times New Roman"/>
          <w:szCs w:val="24"/>
        </w:rPr>
        <w:t>estabelecida pelo artigo 46.1.b, a qual determina</w:t>
      </w:r>
      <w:r w:rsidR="0025637E" w:rsidRPr="001A045F">
        <w:rPr>
          <w:rFonts w:cs="Times New Roman"/>
          <w:szCs w:val="24"/>
        </w:rPr>
        <w:t xml:space="preserve"> que uma petição é </w:t>
      </w:r>
      <w:r w:rsidR="0025637E" w:rsidRPr="001A045F">
        <w:rPr>
          <w:rFonts w:cs="Times New Roman"/>
          <w:szCs w:val="24"/>
        </w:rPr>
        <w:lastRenderedPageBreak/>
        <w:t>admissível apenas se apresentada à CIDH dentro de seis meses contados a partir da notificação da decisão definitiva que exauriu os recursos internos.</w:t>
      </w:r>
      <w:r w:rsidR="0025637E" w:rsidRPr="001A045F">
        <w:rPr>
          <w:rStyle w:val="FootnoteReference"/>
          <w:rFonts w:cs="Times New Roman"/>
          <w:szCs w:val="24"/>
        </w:rPr>
        <w:footnoteReference w:id="11"/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A CIDH observou que o Estado </w:t>
      </w:r>
      <w:r w:rsidR="00777AE2">
        <w:rPr>
          <w:rFonts w:cs="Times New Roman"/>
          <w:szCs w:val="24"/>
        </w:rPr>
        <w:t>só</w:t>
      </w:r>
      <w:r w:rsidRPr="001A045F">
        <w:rPr>
          <w:rFonts w:cs="Times New Roman"/>
          <w:szCs w:val="24"/>
        </w:rPr>
        <w:t xml:space="preserve"> mencion</w:t>
      </w:r>
      <w:r w:rsidR="00777AE2">
        <w:rPr>
          <w:rFonts w:cs="Times New Roman"/>
          <w:szCs w:val="24"/>
        </w:rPr>
        <w:t>ou</w:t>
      </w:r>
      <w:r w:rsidRPr="001A045F">
        <w:rPr>
          <w:rFonts w:cs="Times New Roman"/>
          <w:szCs w:val="24"/>
        </w:rPr>
        <w:t xml:space="preserve"> o </w:t>
      </w:r>
      <w:r w:rsidR="00CE31D3">
        <w:rPr>
          <w:rFonts w:cs="Times New Roman"/>
          <w:szCs w:val="24"/>
        </w:rPr>
        <w:t xml:space="preserve">artigo 46.1.b de forma genérica. </w:t>
      </w:r>
      <w:r w:rsidRPr="001A045F">
        <w:rPr>
          <w:rFonts w:cs="Times New Roman"/>
          <w:szCs w:val="24"/>
        </w:rPr>
        <w:t xml:space="preserve">De fato, </w:t>
      </w:r>
      <w:r w:rsidR="00CE31D3">
        <w:rPr>
          <w:rFonts w:cs="Times New Roman"/>
          <w:szCs w:val="24"/>
        </w:rPr>
        <w:t>em</w:t>
      </w:r>
      <w:r w:rsidRPr="001A045F">
        <w:rPr>
          <w:rFonts w:cs="Times New Roman"/>
          <w:szCs w:val="24"/>
        </w:rPr>
        <w:t xml:space="preserve"> análise acerca do esgotamento dos recursos internos, a CtIDH já determinou que não cabe aos órgãos </w:t>
      </w:r>
      <w:r w:rsidR="00CE31D3">
        <w:rPr>
          <w:rFonts w:cs="Times New Roman"/>
          <w:szCs w:val="24"/>
        </w:rPr>
        <w:t>do SIDH</w:t>
      </w:r>
      <w:r w:rsidRPr="001A045F">
        <w:rPr>
          <w:rFonts w:cs="Times New Roman"/>
          <w:szCs w:val="24"/>
        </w:rPr>
        <w:t xml:space="preserve"> sanar a falta de precisão dos Estados</w:t>
      </w:r>
      <w:r w:rsidRPr="001A045F">
        <w:rPr>
          <w:rStyle w:val="FootnoteReference"/>
          <w:rFonts w:cs="Times New Roman"/>
          <w:szCs w:val="24"/>
        </w:rPr>
        <w:footnoteReference w:id="12"/>
      </w:r>
      <w:r w:rsidR="00CE31D3">
        <w:rPr>
          <w:rFonts w:cs="Times New Roman"/>
          <w:szCs w:val="24"/>
        </w:rPr>
        <w:t>: eles</w:t>
      </w:r>
      <w:r w:rsidR="0025637E">
        <w:rPr>
          <w:rFonts w:cs="Times New Roman"/>
          <w:szCs w:val="24"/>
        </w:rPr>
        <w:t xml:space="preserve"> devem</w:t>
      </w:r>
      <w:r w:rsidRPr="001A045F">
        <w:rPr>
          <w:rFonts w:cs="Times New Roman"/>
          <w:szCs w:val="24"/>
        </w:rPr>
        <w:t xml:space="preserve"> demonstrar a existência e adequação de recursos a serem esgotados</w:t>
      </w:r>
      <w:r w:rsidRPr="001A045F">
        <w:rPr>
          <w:rStyle w:val="FootnoteReference"/>
          <w:rFonts w:cs="Times New Roman"/>
          <w:szCs w:val="24"/>
        </w:rPr>
        <w:footnoteReference w:id="13"/>
      </w:r>
      <w:r w:rsidRPr="001A045F">
        <w:rPr>
          <w:rFonts w:cs="Times New Roman"/>
          <w:szCs w:val="24"/>
        </w:rPr>
        <w:t xml:space="preserve">. </w:t>
      </w:r>
      <w:r w:rsidR="00CE31D3">
        <w:rPr>
          <w:rFonts w:cs="Times New Roman"/>
          <w:szCs w:val="24"/>
        </w:rPr>
        <w:t>Porém, tal</w:t>
      </w:r>
      <w:r w:rsidRPr="001A045F">
        <w:rPr>
          <w:rFonts w:cs="Times New Roman"/>
          <w:szCs w:val="24"/>
        </w:rPr>
        <w:t xml:space="preserve"> exigência decorre da impossibilidade de </w:t>
      </w:r>
      <w:r w:rsidR="00CE31D3">
        <w:rPr>
          <w:rFonts w:cs="Times New Roman"/>
          <w:szCs w:val="24"/>
        </w:rPr>
        <w:t>a CtIDH identificar</w:t>
      </w:r>
      <w:r w:rsidRPr="001A045F">
        <w:rPr>
          <w:rFonts w:cs="Times New Roman"/>
          <w:szCs w:val="24"/>
        </w:rPr>
        <w:t>, de o</w:t>
      </w:r>
      <w:r w:rsidR="00CE31D3">
        <w:rPr>
          <w:rFonts w:cs="Times New Roman"/>
          <w:szCs w:val="24"/>
        </w:rPr>
        <w:t xml:space="preserve">fício, </w:t>
      </w:r>
      <w:r w:rsidRPr="001A045F">
        <w:rPr>
          <w:rFonts w:cs="Times New Roman"/>
          <w:szCs w:val="24"/>
        </w:rPr>
        <w:t xml:space="preserve">recursos a serem </w:t>
      </w:r>
      <w:r w:rsidR="00CE31D3">
        <w:rPr>
          <w:rFonts w:cs="Times New Roman"/>
          <w:szCs w:val="24"/>
        </w:rPr>
        <w:t>exauridos</w:t>
      </w:r>
      <w:r w:rsidRPr="001A045F">
        <w:rPr>
          <w:rStyle w:val="FootnoteReference"/>
          <w:rFonts w:cs="Times New Roman"/>
          <w:szCs w:val="24"/>
        </w:rPr>
        <w:footnoteReference w:id="14"/>
      </w:r>
      <w:r w:rsidR="00CE31D3">
        <w:rPr>
          <w:rFonts w:cs="Times New Roman"/>
          <w:szCs w:val="24"/>
        </w:rPr>
        <w:t xml:space="preserve">. </w:t>
      </w:r>
      <w:r w:rsidR="00777AE2">
        <w:rPr>
          <w:rFonts w:cs="Times New Roman"/>
          <w:szCs w:val="24"/>
        </w:rPr>
        <w:t>Isto</w:t>
      </w:r>
      <w:r w:rsidR="00CE31D3">
        <w:rPr>
          <w:rFonts w:cs="Times New Roman"/>
          <w:szCs w:val="24"/>
        </w:rPr>
        <w:t xml:space="preserve"> não se aplica</w:t>
      </w:r>
      <w:r w:rsidRPr="001A045F">
        <w:rPr>
          <w:rFonts w:cs="Times New Roman"/>
          <w:szCs w:val="24"/>
        </w:rPr>
        <w:t xml:space="preserve"> à regra dos seis meses: ela é </w:t>
      </w:r>
      <w:r w:rsidR="00CE31D3">
        <w:rPr>
          <w:rFonts w:cs="Times New Roman"/>
          <w:szCs w:val="24"/>
        </w:rPr>
        <w:t xml:space="preserve">precisa e objetiva, </w:t>
      </w:r>
      <w:r w:rsidRPr="001A045F">
        <w:rPr>
          <w:rFonts w:cs="Times New Roman"/>
          <w:szCs w:val="24"/>
        </w:rPr>
        <w:t>depende</w:t>
      </w:r>
      <w:r w:rsidR="00CE31D3">
        <w:rPr>
          <w:rFonts w:cs="Times New Roman"/>
          <w:szCs w:val="24"/>
        </w:rPr>
        <w:t xml:space="preserve">ndo </w:t>
      </w:r>
      <w:r w:rsidR="00777AE2">
        <w:rPr>
          <w:rFonts w:cs="Times New Roman"/>
          <w:szCs w:val="24"/>
        </w:rPr>
        <w:t>apenas</w:t>
      </w:r>
      <w:r w:rsidR="00CE31D3">
        <w:rPr>
          <w:rFonts w:cs="Times New Roman"/>
          <w:szCs w:val="24"/>
        </w:rPr>
        <w:t xml:space="preserve"> de análise</w:t>
      </w:r>
      <w:r w:rsidRPr="001A045F">
        <w:rPr>
          <w:rFonts w:cs="Times New Roman"/>
          <w:szCs w:val="24"/>
        </w:rPr>
        <w:t xml:space="preserve"> da data de </w:t>
      </w:r>
      <w:r w:rsidR="00777AE2">
        <w:rPr>
          <w:rFonts w:cs="Times New Roman"/>
          <w:szCs w:val="24"/>
        </w:rPr>
        <w:t>apresentação da petição</w:t>
      </w:r>
      <w:r w:rsidRPr="001A045F">
        <w:rPr>
          <w:rFonts w:cs="Times New Roman"/>
          <w:szCs w:val="24"/>
        </w:rPr>
        <w:t>.</w:t>
      </w:r>
    </w:p>
    <w:p w:rsidR="00162B00" w:rsidRPr="001A045F" w:rsidRDefault="00230195" w:rsidP="001A045F">
      <w:pPr>
        <w:rPr>
          <w:rStyle w:val="BookTitle"/>
          <w:rFonts w:cs="Times New Roman"/>
          <w:b w:val="0"/>
          <w:bCs w:val="0"/>
          <w:smallCaps w:val="0"/>
          <w:spacing w:val="0"/>
          <w:szCs w:val="24"/>
        </w:rPr>
      </w:pPr>
      <w:r>
        <w:rPr>
          <w:rFonts w:cs="Times New Roman"/>
          <w:szCs w:val="24"/>
        </w:rPr>
        <w:t>A</w:t>
      </w:r>
      <w:r w:rsidR="00162B00" w:rsidRPr="001A045F">
        <w:rPr>
          <w:rFonts w:cs="Times New Roman"/>
          <w:szCs w:val="24"/>
        </w:rPr>
        <w:t xml:space="preserve">ssim, o Estado solicita o controle de legalidade </w:t>
      </w:r>
      <w:r w:rsidR="00BA1438">
        <w:rPr>
          <w:rFonts w:cs="Times New Roman"/>
          <w:szCs w:val="24"/>
        </w:rPr>
        <w:t xml:space="preserve">da CtIDH </w:t>
      </w:r>
      <w:r w:rsidR="00162B00" w:rsidRPr="001A045F">
        <w:rPr>
          <w:rFonts w:cs="Times New Roman"/>
          <w:szCs w:val="24"/>
        </w:rPr>
        <w:t xml:space="preserve">sobre a CIDH para declarar a demanda inadmissível. Ainda que se reconheça a autonomia da CIDH, uma das atribuições da CtIDH é efetuar controle de </w:t>
      </w:r>
      <w:r w:rsidR="00BA1438">
        <w:rPr>
          <w:rFonts w:cs="Times New Roman"/>
          <w:szCs w:val="24"/>
        </w:rPr>
        <w:t>suas</w:t>
      </w:r>
      <w:r w:rsidR="00162B00" w:rsidRPr="001A045F">
        <w:rPr>
          <w:rFonts w:cs="Times New Roman"/>
          <w:szCs w:val="24"/>
        </w:rPr>
        <w:t xml:space="preserve"> ações</w:t>
      </w:r>
      <w:r w:rsidR="00162B00" w:rsidRPr="001A045F">
        <w:rPr>
          <w:rStyle w:val="FootnoteReference"/>
          <w:rFonts w:cs="Times New Roman"/>
          <w:szCs w:val="24"/>
        </w:rPr>
        <w:footnoteReference w:id="15"/>
      </w:r>
      <w:r w:rsidR="00BA1438">
        <w:rPr>
          <w:rFonts w:cs="Times New Roman"/>
          <w:szCs w:val="24"/>
        </w:rPr>
        <w:t>,</w:t>
      </w:r>
      <w:r w:rsidR="00162B00" w:rsidRPr="001A045F">
        <w:rPr>
          <w:rFonts w:cs="Times New Roman"/>
          <w:szCs w:val="24"/>
        </w:rPr>
        <w:t xml:space="preserve"> uma v</w:t>
      </w:r>
      <w:r>
        <w:rPr>
          <w:rFonts w:cs="Times New Roman"/>
          <w:szCs w:val="24"/>
        </w:rPr>
        <w:t>ez que a CADH confere à CtIDH jurisdição</w:t>
      </w:r>
      <w:r w:rsidR="00162B00" w:rsidRPr="001A045F">
        <w:rPr>
          <w:rFonts w:cs="Times New Roman"/>
          <w:szCs w:val="24"/>
        </w:rPr>
        <w:t xml:space="preserve"> plena sobre todas as questões de um caso submetido a seu conhecimento</w:t>
      </w:r>
      <w:r w:rsidR="00162B00" w:rsidRPr="001A045F">
        <w:rPr>
          <w:rStyle w:val="FootnoteReference"/>
          <w:rFonts w:cs="Times New Roman"/>
          <w:szCs w:val="24"/>
        </w:rPr>
        <w:footnoteReference w:id="16"/>
      </w:r>
      <w:r w:rsidR="00162B00" w:rsidRPr="001A045F">
        <w:rPr>
          <w:rFonts w:cs="Times New Roman"/>
          <w:szCs w:val="24"/>
        </w:rPr>
        <w:t>.</w:t>
      </w:r>
    </w:p>
    <w:p w:rsidR="005A2F96" w:rsidRPr="0075476C" w:rsidRDefault="005A2F96" w:rsidP="005D7B0D">
      <w:pPr>
        <w:pStyle w:val="ListParagraph"/>
        <w:numPr>
          <w:ilvl w:val="1"/>
          <w:numId w:val="2"/>
        </w:numPr>
        <w:tabs>
          <w:tab w:val="left" w:pos="1418"/>
        </w:tabs>
        <w:spacing w:line="480" w:lineRule="auto"/>
        <w:ind w:left="0" w:firstLine="0"/>
        <w:outlineLvl w:val="1"/>
        <w:rPr>
          <w:rStyle w:val="SubtleReference"/>
          <w:rFonts w:cs="Times New Roman"/>
          <w:bCs/>
          <w:smallCaps w:val="0"/>
          <w:szCs w:val="24"/>
        </w:rPr>
      </w:pPr>
      <w:bookmarkStart w:id="13" w:name="_Toc383464273"/>
      <w:r w:rsidRPr="0075476C">
        <w:rPr>
          <w:rStyle w:val="SubtleReference"/>
          <w:rFonts w:cs="Times New Roman"/>
          <w:szCs w:val="24"/>
        </w:rPr>
        <w:t>Mérito</w:t>
      </w:r>
      <w:bookmarkEnd w:id="13"/>
    </w:p>
    <w:p w:rsidR="00162B00" w:rsidRPr="00162B00" w:rsidRDefault="005A2F96" w:rsidP="005D7B0D">
      <w:pPr>
        <w:pStyle w:val="ListParagraph"/>
        <w:numPr>
          <w:ilvl w:val="2"/>
          <w:numId w:val="2"/>
        </w:numPr>
        <w:tabs>
          <w:tab w:val="left" w:pos="1418"/>
        </w:tabs>
        <w:spacing w:line="480" w:lineRule="auto"/>
        <w:ind w:left="0" w:firstLine="0"/>
        <w:outlineLvl w:val="2"/>
        <w:rPr>
          <w:rStyle w:val="SubtleReference"/>
          <w:rFonts w:cs="Times New Roman"/>
          <w:bCs/>
          <w:smallCaps w:val="0"/>
          <w:szCs w:val="24"/>
        </w:rPr>
      </w:pPr>
      <w:bookmarkStart w:id="14" w:name="_Toc383464274"/>
      <w:r w:rsidRPr="00162B00">
        <w:rPr>
          <w:rStyle w:val="SubtleReference"/>
          <w:rFonts w:cs="Times New Roman"/>
          <w:smallCaps w:val="0"/>
          <w:szCs w:val="24"/>
        </w:rPr>
        <w:t>Introdução</w:t>
      </w:r>
      <w:bookmarkEnd w:id="14"/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A CDPD entrou em vigor </w:t>
      </w:r>
      <w:r w:rsidR="00777AE2">
        <w:rPr>
          <w:rFonts w:cs="Times New Roman"/>
          <w:szCs w:val="24"/>
        </w:rPr>
        <w:t>em</w:t>
      </w:r>
      <w:r w:rsidR="00AD1B5C">
        <w:rPr>
          <w:rFonts w:cs="Times New Roman"/>
          <w:szCs w:val="24"/>
        </w:rPr>
        <w:t xml:space="preserve"> 2008, concretizando importante passo </w:t>
      </w:r>
      <w:r w:rsidR="00BA62BA">
        <w:rPr>
          <w:rFonts w:cs="Times New Roman"/>
          <w:szCs w:val="24"/>
        </w:rPr>
        <w:t>na</w:t>
      </w:r>
      <w:r w:rsidR="00AD1B5C">
        <w:rPr>
          <w:rFonts w:cs="Times New Roman"/>
          <w:szCs w:val="24"/>
        </w:rPr>
        <w:t xml:space="preserve"> defesa </w:t>
      </w:r>
      <w:r w:rsidR="00BA62BA">
        <w:rPr>
          <w:rFonts w:cs="Times New Roman"/>
          <w:szCs w:val="24"/>
        </w:rPr>
        <w:t xml:space="preserve">das </w:t>
      </w:r>
      <w:r w:rsidRPr="001A045F">
        <w:rPr>
          <w:rFonts w:cs="Times New Roman"/>
          <w:szCs w:val="24"/>
        </w:rPr>
        <w:t>pes</w:t>
      </w:r>
      <w:r w:rsidR="00AD1B5C">
        <w:rPr>
          <w:rFonts w:cs="Times New Roman"/>
          <w:szCs w:val="24"/>
        </w:rPr>
        <w:t>soas com deficiência. Porém</w:t>
      </w:r>
      <w:r w:rsidR="00BA62BA">
        <w:rPr>
          <w:rFonts w:cs="Times New Roman"/>
          <w:szCs w:val="24"/>
        </w:rPr>
        <w:t>,</w:t>
      </w:r>
      <w:r w:rsidRPr="001A045F">
        <w:rPr>
          <w:rFonts w:cs="Times New Roman"/>
          <w:szCs w:val="24"/>
        </w:rPr>
        <w:t xml:space="preserve"> a CDPD não </w:t>
      </w:r>
      <w:r w:rsidR="00BA62BA">
        <w:rPr>
          <w:rFonts w:cs="Times New Roman"/>
          <w:szCs w:val="24"/>
        </w:rPr>
        <w:t>deve ser a base da</w:t>
      </w:r>
      <w:r w:rsidRPr="001A045F">
        <w:rPr>
          <w:rFonts w:cs="Times New Roman"/>
          <w:szCs w:val="24"/>
        </w:rPr>
        <w:t xml:space="preserve"> análise do presente caso, </w:t>
      </w:r>
      <w:r w:rsidR="00BA62BA">
        <w:rPr>
          <w:rFonts w:cs="Times New Roman"/>
          <w:szCs w:val="24"/>
        </w:rPr>
        <w:t>pois</w:t>
      </w:r>
      <w:r w:rsidRPr="001A045F">
        <w:rPr>
          <w:rFonts w:cs="Times New Roman"/>
          <w:szCs w:val="24"/>
        </w:rPr>
        <w:t>:</w:t>
      </w:r>
      <w:r w:rsidR="00BA62BA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 xml:space="preserve">(i) </w:t>
      </w:r>
      <w:r w:rsidRPr="001A045F">
        <w:rPr>
          <w:rFonts w:cs="Times New Roman"/>
          <w:szCs w:val="24"/>
          <w:u w:val="single"/>
        </w:rPr>
        <w:t>A CtIDH não é competente para responsabilizar o Estado por eventual violação da CDPD</w:t>
      </w:r>
      <w:r w:rsidRPr="001A045F">
        <w:rPr>
          <w:rFonts w:cs="Times New Roman"/>
          <w:szCs w:val="24"/>
        </w:rPr>
        <w:t>. A CtIDH não tem jurisdição contenciosa sobre tratados que não a estabelecem como seu órgão supervisor, ainda que o Estado os tenha ratificado.</w:t>
      </w:r>
      <w:r w:rsidRPr="001A045F">
        <w:rPr>
          <w:rStyle w:val="FootnoteReference"/>
          <w:rFonts w:cs="Times New Roman"/>
          <w:szCs w:val="24"/>
        </w:rPr>
        <w:footnoteReference w:id="17"/>
      </w:r>
      <w:r w:rsidRPr="001A045F">
        <w:rPr>
          <w:rFonts w:cs="Times New Roman"/>
          <w:szCs w:val="24"/>
        </w:rPr>
        <w:t xml:space="preserve"> Isto é especialmente verdade para tratados que não são parte do </w:t>
      </w:r>
      <w:r w:rsidRPr="001A045F">
        <w:rPr>
          <w:rFonts w:cs="Times New Roman"/>
          <w:szCs w:val="24"/>
        </w:rPr>
        <w:lastRenderedPageBreak/>
        <w:t>SIDH e que têm seus próprios mecani</w:t>
      </w:r>
      <w:r w:rsidR="00BA62BA">
        <w:rPr>
          <w:rFonts w:cs="Times New Roman"/>
          <w:szCs w:val="24"/>
        </w:rPr>
        <w:t xml:space="preserve">smos de supervisão, como a CDPD; </w:t>
      </w:r>
      <w:r w:rsidRPr="001A045F">
        <w:rPr>
          <w:rFonts w:cs="Times New Roman"/>
          <w:szCs w:val="24"/>
        </w:rPr>
        <w:t xml:space="preserve">ii) </w:t>
      </w:r>
      <w:r w:rsidRPr="001A045F">
        <w:rPr>
          <w:rFonts w:cs="Times New Roman"/>
          <w:szCs w:val="24"/>
          <w:u w:val="single"/>
        </w:rPr>
        <w:t>A CDPD não deve ser utilizada como parâmetro interpretativo da CADH para atos que ocorreram antes de sua ratificação</w:t>
      </w:r>
      <w:r w:rsidRPr="001A045F">
        <w:rPr>
          <w:rFonts w:cs="Times New Roman"/>
          <w:szCs w:val="24"/>
        </w:rPr>
        <w:t>. Ainda que a alteração dos paradigmas relativos aos direitos das pessoa</w:t>
      </w:r>
      <w:r w:rsidR="00AD1B5C">
        <w:rPr>
          <w:rFonts w:cs="Times New Roman"/>
          <w:szCs w:val="24"/>
        </w:rPr>
        <w:t>s com deficiência seja resultado de</w:t>
      </w:r>
      <w:r w:rsidRPr="001A045F">
        <w:rPr>
          <w:rFonts w:cs="Times New Roman"/>
          <w:szCs w:val="24"/>
        </w:rPr>
        <w:t xml:space="preserve"> modificação</w:t>
      </w:r>
      <w:r w:rsidR="00AD1B5C">
        <w:rPr>
          <w:rFonts w:cs="Times New Roman"/>
          <w:szCs w:val="24"/>
        </w:rPr>
        <w:t xml:space="preserve"> gradual do regime </w:t>
      </w:r>
      <w:r w:rsidRPr="001A045F">
        <w:rPr>
          <w:rFonts w:cs="Times New Roman"/>
          <w:szCs w:val="24"/>
        </w:rPr>
        <w:t xml:space="preserve">que os protege, o Estado assumiu obrigações determinadas pela CDPD apenas </w:t>
      </w:r>
      <w:r w:rsidR="00BA62BA">
        <w:rPr>
          <w:rFonts w:cs="Times New Roman"/>
          <w:szCs w:val="24"/>
        </w:rPr>
        <w:t xml:space="preserve">após 2008; </w:t>
      </w:r>
      <w:r w:rsidRPr="001A045F">
        <w:rPr>
          <w:rFonts w:cs="Times New Roman"/>
          <w:szCs w:val="24"/>
        </w:rPr>
        <w:t xml:space="preserve">iii) </w:t>
      </w:r>
      <w:r w:rsidRPr="001A045F">
        <w:rPr>
          <w:rFonts w:cs="Times New Roman"/>
          <w:szCs w:val="24"/>
          <w:u w:val="single"/>
        </w:rPr>
        <w:t xml:space="preserve">Mesmo para atos ocorridos após 2008, a CDPD não deve ser o único parâmetro interpretativo das obrigações </w:t>
      </w:r>
      <w:r w:rsidR="00BA62BA">
        <w:rPr>
          <w:rFonts w:cs="Times New Roman"/>
          <w:szCs w:val="24"/>
          <w:u w:val="single"/>
        </w:rPr>
        <w:t>da</w:t>
      </w:r>
      <w:r w:rsidRPr="001A045F">
        <w:rPr>
          <w:rFonts w:cs="Times New Roman"/>
          <w:szCs w:val="24"/>
          <w:u w:val="single"/>
        </w:rPr>
        <w:t xml:space="preserve"> CADH,</w:t>
      </w:r>
      <w:r w:rsidRPr="001A045F">
        <w:rPr>
          <w:rFonts w:cs="Times New Roman"/>
          <w:szCs w:val="24"/>
        </w:rPr>
        <w:t xml:space="preserve"> pois o regime internacional de proteção das pessoas com deficiência está em um momento de transição.</w:t>
      </w:r>
    </w:p>
    <w:p w:rsidR="00162B00" w:rsidRPr="001A045F" w:rsidRDefault="00230195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CDPD representou </w:t>
      </w:r>
      <w:r w:rsidR="00162B00" w:rsidRPr="001A045F">
        <w:rPr>
          <w:rFonts w:cs="Times New Roman"/>
          <w:szCs w:val="24"/>
        </w:rPr>
        <w:t>ve</w:t>
      </w:r>
      <w:r w:rsidR="00AD1B5C">
        <w:rPr>
          <w:rFonts w:cs="Times New Roman"/>
          <w:szCs w:val="24"/>
        </w:rPr>
        <w:t>rdadeira mudança de paradigma.</w:t>
      </w:r>
      <w:r w:rsidR="00162B00" w:rsidRPr="001A045F">
        <w:rPr>
          <w:rFonts w:cs="Times New Roman"/>
          <w:szCs w:val="24"/>
        </w:rPr>
        <w:t xml:space="preserve"> Passou-se a considerar pessoas com deficiências como partes ativas em tudo o que as envolve</w:t>
      </w:r>
      <w:r w:rsidR="00AD1B5C">
        <w:rPr>
          <w:rFonts w:cs="Times New Roman"/>
          <w:szCs w:val="24"/>
        </w:rPr>
        <w:t xml:space="preserve">. </w:t>
      </w:r>
      <w:r w:rsidR="008632AC">
        <w:rPr>
          <w:rFonts w:cs="Times New Roman"/>
          <w:szCs w:val="24"/>
        </w:rPr>
        <w:t>A</w:t>
      </w:r>
      <w:r w:rsidR="00162B00" w:rsidRPr="001A045F">
        <w:rPr>
          <w:rFonts w:cs="Times New Roman"/>
          <w:szCs w:val="24"/>
        </w:rPr>
        <w:t xml:space="preserve"> CDPD inova ao incorporar ao conceito de ig</w:t>
      </w:r>
      <w:r w:rsidR="00AD1B5C">
        <w:rPr>
          <w:rFonts w:cs="Times New Roman"/>
          <w:szCs w:val="24"/>
        </w:rPr>
        <w:t>ualdade considerações sobre</w:t>
      </w:r>
      <w:r w:rsidR="00162B00" w:rsidRPr="001A045F">
        <w:rPr>
          <w:rFonts w:cs="Times New Roman"/>
          <w:szCs w:val="24"/>
        </w:rPr>
        <w:t xml:space="preserve"> discriminações múltiplas</w:t>
      </w:r>
      <w:r w:rsidR="00651F0D">
        <w:rPr>
          <w:rFonts w:cs="Times New Roman"/>
          <w:szCs w:val="24"/>
        </w:rPr>
        <w:t>, contra as quais</w:t>
      </w:r>
      <w:r w:rsidR="00AD1B5C">
        <w:rPr>
          <w:rFonts w:cs="Times New Roman"/>
          <w:szCs w:val="24"/>
        </w:rPr>
        <w:t xml:space="preserve"> propõe soluções </w:t>
      </w:r>
      <w:r w:rsidR="00651F0D">
        <w:rPr>
          <w:rFonts w:cs="Times New Roman"/>
          <w:szCs w:val="24"/>
        </w:rPr>
        <w:t>interseccionais</w:t>
      </w:r>
      <w:r w:rsidR="00AD1B5C">
        <w:rPr>
          <w:rFonts w:cs="Times New Roman"/>
          <w:szCs w:val="24"/>
        </w:rPr>
        <w:t>. Por isso</w:t>
      </w:r>
      <w:r w:rsidR="00162B00" w:rsidRPr="001A045F">
        <w:rPr>
          <w:rFonts w:cs="Times New Roman"/>
          <w:szCs w:val="24"/>
        </w:rPr>
        <w:t xml:space="preserve">, considera-se que a CDPD deu origem a direitos </w:t>
      </w:r>
      <w:r w:rsidR="00651F0D">
        <w:rPr>
          <w:rFonts w:cs="Times New Roman"/>
          <w:szCs w:val="24"/>
        </w:rPr>
        <w:t>híbridos</w:t>
      </w:r>
      <w:r w:rsidR="00162B00" w:rsidRPr="001A045F">
        <w:rPr>
          <w:rFonts w:cs="Times New Roman"/>
          <w:szCs w:val="24"/>
        </w:rPr>
        <w:t>, que incorporam características de direitos</w:t>
      </w:r>
      <w:r w:rsidR="00AD1B5C">
        <w:rPr>
          <w:rFonts w:cs="Times New Roman"/>
          <w:szCs w:val="24"/>
        </w:rPr>
        <w:t xml:space="preserve"> civis e políticos e também de </w:t>
      </w:r>
      <w:r w:rsidR="00CB0580">
        <w:rPr>
          <w:rFonts w:cs="Times New Roman"/>
          <w:szCs w:val="24"/>
        </w:rPr>
        <w:t>ESC</w:t>
      </w:r>
      <w:r w:rsidR="00162B00" w:rsidRPr="001A045F">
        <w:rPr>
          <w:rStyle w:val="FootnoteReference"/>
          <w:rFonts w:cs="Times New Roman"/>
          <w:szCs w:val="24"/>
        </w:rPr>
        <w:footnoteReference w:id="18"/>
      </w:r>
      <w:r w:rsidR="00CB0580">
        <w:rPr>
          <w:rFonts w:cs="Times New Roman"/>
          <w:szCs w:val="24"/>
        </w:rPr>
        <w:t>.</w:t>
      </w:r>
      <w:r w:rsidR="00162B00" w:rsidRPr="001A045F">
        <w:rPr>
          <w:rFonts w:cs="Times New Roman"/>
          <w:szCs w:val="24"/>
        </w:rPr>
        <w:t xml:space="preserve"> </w:t>
      </w:r>
    </w:p>
    <w:p w:rsidR="00162B00" w:rsidRPr="001A045F" w:rsidRDefault="002C7361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Apó</w:t>
      </w:r>
      <w:r>
        <w:rPr>
          <w:rFonts w:cs="Times New Roman"/>
          <w:szCs w:val="24"/>
        </w:rPr>
        <w:t>s a ratificação da CDPD,</w:t>
      </w:r>
      <w:r w:rsidRPr="001A045F">
        <w:rPr>
          <w:rFonts w:cs="Times New Roman"/>
          <w:szCs w:val="24"/>
        </w:rPr>
        <w:t xml:space="preserve"> Exclutia passou a </w:t>
      </w:r>
      <w:r>
        <w:rPr>
          <w:rFonts w:cs="Times New Roman"/>
          <w:szCs w:val="24"/>
        </w:rPr>
        <w:t>adequar</w:t>
      </w:r>
      <w:r w:rsidR="00162B00" w:rsidRPr="001A045F">
        <w:rPr>
          <w:rFonts w:cs="Times New Roman"/>
          <w:szCs w:val="24"/>
        </w:rPr>
        <w:t xml:space="preserve"> suas políticas </w:t>
      </w:r>
      <w:r>
        <w:rPr>
          <w:rFonts w:cs="Times New Roman"/>
          <w:szCs w:val="24"/>
        </w:rPr>
        <w:t xml:space="preserve">aos novos parâmetros </w:t>
      </w:r>
      <w:r w:rsidR="00162B00" w:rsidRPr="001A045F">
        <w:rPr>
          <w:rFonts w:cs="Times New Roman"/>
          <w:szCs w:val="24"/>
        </w:rPr>
        <w:t>de proteção das pessoas com deficiência. Incrementou o orçamento do CONADISE</w:t>
      </w:r>
      <w:r w:rsidR="00460D72">
        <w:rPr>
          <w:rFonts w:cs="Times New Roman"/>
          <w:szCs w:val="24"/>
        </w:rPr>
        <w:t xml:space="preserve">, </w:t>
      </w:r>
      <w:r w:rsidR="00162B00" w:rsidRPr="001A045F">
        <w:rPr>
          <w:rFonts w:cs="Times New Roman"/>
          <w:szCs w:val="24"/>
        </w:rPr>
        <w:t xml:space="preserve">aprovou </w:t>
      </w:r>
      <w:r w:rsidR="00230195">
        <w:rPr>
          <w:rFonts w:cs="Times New Roman"/>
          <w:szCs w:val="24"/>
        </w:rPr>
        <w:t>l</w:t>
      </w:r>
      <w:r w:rsidR="00162B00" w:rsidRPr="001A045F">
        <w:rPr>
          <w:rFonts w:cs="Times New Roman"/>
          <w:szCs w:val="24"/>
        </w:rPr>
        <w:t>ei nacional para inclusão de pessoas com defic</w:t>
      </w:r>
      <w:r w:rsidR="00460D72">
        <w:rPr>
          <w:rFonts w:cs="Times New Roman"/>
          <w:szCs w:val="24"/>
        </w:rPr>
        <w:t>iência,</w:t>
      </w:r>
      <w:r w:rsidR="00162B00" w:rsidRPr="001A045F">
        <w:rPr>
          <w:rFonts w:cs="Times New Roman"/>
          <w:szCs w:val="24"/>
        </w:rPr>
        <w:t xml:space="preserve"> </w:t>
      </w:r>
      <w:r w:rsidR="00460D72">
        <w:rPr>
          <w:rFonts w:cs="Times New Roman"/>
          <w:szCs w:val="24"/>
        </w:rPr>
        <w:t>c</w:t>
      </w:r>
      <w:r w:rsidR="00162B00" w:rsidRPr="001A045F">
        <w:rPr>
          <w:rFonts w:cs="Times New Roman"/>
          <w:szCs w:val="24"/>
        </w:rPr>
        <w:t xml:space="preserve">riou grupo de diálogo entre o governo e a sociedade civil, </w:t>
      </w:r>
      <w:r w:rsidR="00230195">
        <w:rPr>
          <w:rFonts w:cs="Times New Roman"/>
          <w:szCs w:val="24"/>
        </w:rPr>
        <w:t xml:space="preserve">incluindo </w:t>
      </w:r>
      <w:r w:rsidR="00162B00" w:rsidRPr="001A045F">
        <w:rPr>
          <w:rFonts w:cs="Times New Roman"/>
          <w:szCs w:val="24"/>
        </w:rPr>
        <w:t xml:space="preserve">pessoas com deficiência como entes ativos em processos decisórios que as afetam. Também implementou programas para a erradicar a pobreza extrema, com foco em pessoas com deficiências – refletindo a abordagem interseccional e a natureza híbrida </w:t>
      </w:r>
      <w:r w:rsidR="00230195">
        <w:rPr>
          <w:rFonts w:cs="Times New Roman"/>
          <w:szCs w:val="24"/>
        </w:rPr>
        <w:t>da CDPD. O novo</w:t>
      </w:r>
      <w:r w:rsidR="00162B00" w:rsidRPr="001A045F">
        <w:rPr>
          <w:rFonts w:cs="Times New Roman"/>
          <w:szCs w:val="24"/>
        </w:rPr>
        <w:t xml:space="preserve"> paradigma </w:t>
      </w:r>
      <w:r w:rsidR="00230195">
        <w:rPr>
          <w:rFonts w:cs="Times New Roman"/>
          <w:szCs w:val="24"/>
        </w:rPr>
        <w:t>estabelece</w:t>
      </w:r>
      <w:r w:rsidR="00162B00" w:rsidRPr="001A045F">
        <w:rPr>
          <w:rFonts w:cs="Times New Roman"/>
          <w:szCs w:val="24"/>
        </w:rPr>
        <w:t xml:space="preserve"> ainda que o modelo de decisão assistida deve substituir o de decisão substituída. Nesse sentido, o projeto de lei de alteração do art</w:t>
      </w:r>
      <w:r w:rsidR="00460D72">
        <w:rPr>
          <w:rFonts w:cs="Times New Roman"/>
          <w:szCs w:val="24"/>
        </w:rPr>
        <w:t>.</w:t>
      </w:r>
      <w:r w:rsidR="00162B00" w:rsidRPr="001A045F">
        <w:rPr>
          <w:rFonts w:cs="Times New Roman"/>
          <w:szCs w:val="24"/>
        </w:rPr>
        <w:t xml:space="preserve"> 41 restringe a possibilidade de interdição apenas </w:t>
      </w:r>
      <w:r w:rsidR="00460D72">
        <w:rPr>
          <w:rFonts w:cs="Times New Roman"/>
          <w:szCs w:val="24"/>
        </w:rPr>
        <w:t>a</w:t>
      </w:r>
      <w:r w:rsidR="00162B00" w:rsidRPr="001A045F">
        <w:rPr>
          <w:rFonts w:cs="Times New Roman"/>
          <w:szCs w:val="24"/>
        </w:rPr>
        <w:t xml:space="preserve"> pessoas que não possuem </w:t>
      </w:r>
      <w:r w:rsidR="00460D72">
        <w:rPr>
          <w:rFonts w:cs="Times New Roman"/>
          <w:szCs w:val="24"/>
        </w:rPr>
        <w:t>nenhuma</w:t>
      </w:r>
      <w:r w:rsidR="00162B00" w:rsidRPr="001A045F">
        <w:rPr>
          <w:rFonts w:cs="Times New Roman"/>
          <w:szCs w:val="24"/>
        </w:rPr>
        <w:t xml:space="preserve"> forma de se manifestar.</w:t>
      </w:r>
    </w:p>
    <w:p w:rsidR="00162B00" w:rsidRPr="001A045F" w:rsidRDefault="0095589B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D</w:t>
      </w:r>
      <w:r w:rsidR="00162B00" w:rsidRPr="001A045F">
        <w:rPr>
          <w:rFonts w:cs="Times New Roman"/>
          <w:szCs w:val="24"/>
        </w:rPr>
        <w:t xml:space="preserve">emandar do Estado a imediata implementação </w:t>
      </w:r>
      <w:r>
        <w:rPr>
          <w:rFonts w:cs="Times New Roman"/>
          <w:szCs w:val="24"/>
        </w:rPr>
        <w:t xml:space="preserve">integral </w:t>
      </w:r>
      <w:r w:rsidR="00162B00" w:rsidRPr="001A045F">
        <w:rPr>
          <w:rFonts w:cs="Times New Roman"/>
          <w:szCs w:val="24"/>
        </w:rPr>
        <w:t xml:space="preserve">da CDPD seria ignorar os desafios impostos pela </w:t>
      </w:r>
      <w:r>
        <w:rPr>
          <w:rFonts w:cs="Times New Roman"/>
          <w:szCs w:val="24"/>
        </w:rPr>
        <w:t xml:space="preserve">sua </w:t>
      </w:r>
      <w:r w:rsidR="00162B00" w:rsidRPr="001A045F">
        <w:rPr>
          <w:rFonts w:cs="Times New Roman"/>
          <w:szCs w:val="24"/>
        </w:rPr>
        <w:t xml:space="preserve">essência. Seria incoerente adotar mudanças estruturais para implementar as novas diretrizes sem realizar um diálogo constante com a sociedade civil e sem a participação ativa das pessoas </w:t>
      </w:r>
      <w:r w:rsidR="00AD1B5C">
        <w:rPr>
          <w:rFonts w:cs="Times New Roman"/>
          <w:szCs w:val="24"/>
        </w:rPr>
        <w:t xml:space="preserve">com deficiência – processo que </w:t>
      </w:r>
      <w:r w:rsidR="00162B00" w:rsidRPr="001A045F">
        <w:rPr>
          <w:rFonts w:cs="Times New Roman"/>
          <w:szCs w:val="24"/>
        </w:rPr>
        <w:t>é intrinsecamente mais lento.</w:t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A incoerência em se exigir celeridade irrealista na aplicação da CDPD se deve também à natureza híbrida dos direitos que estabelece. A racionalidade da aplicação progressiva de direitos </w:t>
      </w:r>
      <w:r w:rsidR="0095589B">
        <w:rPr>
          <w:rFonts w:cs="Times New Roman"/>
          <w:szCs w:val="24"/>
        </w:rPr>
        <w:t>ESC</w:t>
      </w:r>
      <w:r w:rsidRPr="001A045F">
        <w:rPr>
          <w:rFonts w:cs="Times New Roman"/>
          <w:szCs w:val="24"/>
        </w:rPr>
        <w:t xml:space="preserve"> é que tais direitos demandam ações positivas por parte do Estado, que envolvem disponibilidade de tempo e alocação de recursos. No caso da CDPD, há dimensão positiva mesmo em</w:t>
      </w:r>
      <w:r w:rsidR="0095589B">
        <w:rPr>
          <w:rFonts w:cs="Times New Roman"/>
          <w:szCs w:val="24"/>
        </w:rPr>
        <w:t xml:space="preserve"> direitos civis e políticos.</w:t>
      </w:r>
    </w:p>
    <w:p w:rsidR="00162B00" w:rsidRPr="001A045F" w:rsidRDefault="00162B00" w:rsidP="001A045F">
      <w:pPr>
        <w:rPr>
          <w:rStyle w:val="SubtleReference"/>
          <w:rFonts w:cs="Times New Roman"/>
          <w:b w:val="0"/>
          <w:smallCaps w:val="0"/>
          <w:szCs w:val="24"/>
        </w:rPr>
      </w:pPr>
      <w:r w:rsidRPr="001A045F">
        <w:rPr>
          <w:rFonts w:cs="Times New Roman"/>
          <w:szCs w:val="24"/>
        </w:rPr>
        <w:t xml:space="preserve">O Estado ressalta que não demanda o total afastamento da CDPD como parâmetro interpretativo, apenas que sua aplicação ao presente caso seja analisada com cautela, considerando sempre o atual estágio de transição. </w:t>
      </w:r>
      <w:r w:rsidR="00DE0E36">
        <w:rPr>
          <w:rFonts w:cs="Times New Roman"/>
          <w:szCs w:val="24"/>
        </w:rPr>
        <w:t>É</w:t>
      </w:r>
      <w:r w:rsidRPr="001A045F">
        <w:rPr>
          <w:rFonts w:cs="Times New Roman"/>
          <w:szCs w:val="24"/>
        </w:rPr>
        <w:t xml:space="preserve"> necessário reconhecer a importância dos demais instrumentos de proteção aos direitos das</w:t>
      </w:r>
      <w:r w:rsidR="00DE0E36">
        <w:rPr>
          <w:rFonts w:cs="Times New Roman"/>
          <w:szCs w:val="24"/>
        </w:rPr>
        <w:t xml:space="preserve"> pessoas com deficiência, como</w:t>
      </w:r>
      <w:r w:rsidRPr="001A045F">
        <w:rPr>
          <w:rFonts w:cs="Times New Roman"/>
          <w:szCs w:val="24"/>
        </w:rPr>
        <w:t xml:space="preserve"> os MI Principles</w:t>
      </w:r>
      <w:r w:rsidR="00DE0E36">
        <w:rPr>
          <w:rFonts w:cs="Times New Roman"/>
          <w:szCs w:val="24"/>
        </w:rPr>
        <w:t>,</w:t>
      </w:r>
      <w:r w:rsidRPr="001A045F">
        <w:rPr>
          <w:rFonts w:cs="Times New Roman"/>
          <w:szCs w:val="24"/>
        </w:rPr>
        <w:t xml:space="preserve"> já adotados pela CtIDH</w:t>
      </w:r>
      <w:r w:rsidRPr="001A045F">
        <w:rPr>
          <w:rStyle w:val="FootnoteReference"/>
          <w:rFonts w:cs="Times New Roman"/>
          <w:szCs w:val="24"/>
        </w:rPr>
        <w:footnoteReference w:id="19"/>
      </w:r>
      <w:r w:rsidRPr="001A045F">
        <w:rPr>
          <w:rFonts w:cs="Times New Roman"/>
          <w:szCs w:val="24"/>
        </w:rPr>
        <w:t xml:space="preserve"> </w:t>
      </w:r>
      <w:r w:rsidR="00DE0E36">
        <w:rPr>
          <w:rFonts w:cs="Times New Roman"/>
          <w:szCs w:val="24"/>
        </w:rPr>
        <w:t xml:space="preserve">e que </w:t>
      </w:r>
      <w:r w:rsidRPr="001A045F">
        <w:rPr>
          <w:rFonts w:cs="Times New Roman"/>
          <w:szCs w:val="24"/>
        </w:rPr>
        <w:t>continuam sendo aplicados pela CtEDH</w:t>
      </w:r>
      <w:r w:rsidRPr="001A045F">
        <w:rPr>
          <w:rStyle w:val="FootnoteReference"/>
          <w:rFonts w:cs="Times New Roman"/>
          <w:szCs w:val="24"/>
        </w:rPr>
        <w:footnoteReference w:id="20"/>
      </w:r>
      <w:r w:rsidRPr="001A045F">
        <w:rPr>
          <w:rFonts w:cs="Times New Roman"/>
          <w:szCs w:val="24"/>
        </w:rPr>
        <w:t xml:space="preserve"> mesmo após a entrada em vigor da CDPD. </w:t>
      </w:r>
      <w:r w:rsidR="00230195">
        <w:rPr>
          <w:rFonts w:cs="Times New Roman"/>
          <w:szCs w:val="24"/>
        </w:rPr>
        <w:t>E</w:t>
      </w:r>
      <w:r w:rsidRPr="001A045F">
        <w:rPr>
          <w:rFonts w:cs="Times New Roman"/>
          <w:szCs w:val="24"/>
        </w:rPr>
        <w:t xml:space="preserve">stes documentos, assim como a jurisprudência das </w:t>
      </w:r>
      <w:r w:rsidR="00DE0E36">
        <w:rPr>
          <w:rFonts w:cs="Times New Roman"/>
          <w:szCs w:val="24"/>
        </w:rPr>
        <w:t>c</w:t>
      </w:r>
      <w:r w:rsidRPr="001A045F">
        <w:rPr>
          <w:rFonts w:cs="Times New Roman"/>
          <w:szCs w:val="24"/>
        </w:rPr>
        <w:t xml:space="preserve">ortes </w:t>
      </w:r>
      <w:r w:rsidR="00DE0E36">
        <w:rPr>
          <w:rFonts w:cs="Times New Roman"/>
          <w:szCs w:val="24"/>
        </w:rPr>
        <w:t>i</w:t>
      </w:r>
      <w:r w:rsidRPr="001A045F">
        <w:rPr>
          <w:rFonts w:cs="Times New Roman"/>
          <w:szCs w:val="24"/>
        </w:rPr>
        <w:t>nternacionais</w:t>
      </w:r>
      <w:r w:rsidR="00DE0E36">
        <w:rPr>
          <w:rFonts w:cs="Times New Roman"/>
          <w:szCs w:val="24"/>
        </w:rPr>
        <w:t>,</w:t>
      </w:r>
      <w:r w:rsidRPr="001A045F">
        <w:rPr>
          <w:rFonts w:cs="Times New Roman"/>
          <w:szCs w:val="24"/>
        </w:rPr>
        <w:t xml:space="preserve"> não devem ser negligenciados em favor de uma aplicação exclusiva da CDPD.</w:t>
      </w:r>
    </w:p>
    <w:p w:rsidR="005A2F96" w:rsidRDefault="007374CB" w:rsidP="005D7B0D">
      <w:pPr>
        <w:pStyle w:val="ListParagraph"/>
        <w:numPr>
          <w:ilvl w:val="2"/>
          <w:numId w:val="2"/>
        </w:numPr>
        <w:tabs>
          <w:tab w:val="left" w:pos="1418"/>
        </w:tabs>
        <w:spacing w:line="480" w:lineRule="auto"/>
        <w:ind w:left="0" w:firstLine="0"/>
        <w:outlineLvl w:val="2"/>
        <w:rPr>
          <w:rStyle w:val="BookTitle"/>
          <w:rFonts w:cs="Times New Roman"/>
          <w:smallCaps w:val="0"/>
          <w:spacing w:val="0"/>
          <w:sz w:val="24"/>
          <w:szCs w:val="24"/>
        </w:rPr>
      </w:pPr>
      <w:bookmarkStart w:id="15" w:name="_Toc383464275"/>
      <w:r w:rsidRPr="00162B00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="005A2F96" w:rsidRPr="00162B00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institucionalização</w:t>
      </w:r>
      <w:bookmarkEnd w:id="15"/>
    </w:p>
    <w:p w:rsidR="00162B00" w:rsidRPr="001A045F" w:rsidRDefault="00230195" w:rsidP="001A045F">
      <w:pPr>
        <w:rPr>
          <w:rStyle w:val="BookTitle"/>
          <w:rFonts w:cs="Times New Roman"/>
          <w:b w:val="0"/>
          <w:bCs w:val="0"/>
          <w:smallCaps w:val="0"/>
          <w:spacing w:val="0"/>
          <w:szCs w:val="24"/>
        </w:rPr>
      </w:pPr>
      <w:r>
        <w:rPr>
          <w:rFonts w:cs="Times New Roman"/>
          <w:szCs w:val="24"/>
        </w:rPr>
        <w:t>Eventual alegação de que</w:t>
      </w:r>
      <w:r w:rsidR="00162B00" w:rsidRPr="001A045F">
        <w:rPr>
          <w:rFonts w:cs="Times New Roman"/>
          <w:szCs w:val="24"/>
        </w:rPr>
        <w:t xml:space="preserve"> a internação de Cristal com base em sua deficiência é, em si, uma violação do DIDH não deve prosperar. Apesar </w:t>
      </w:r>
      <w:r>
        <w:rPr>
          <w:rFonts w:cs="Times New Roman"/>
          <w:szCs w:val="24"/>
        </w:rPr>
        <w:t>do</w:t>
      </w:r>
      <w:r w:rsidR="00162B00" w:rsidRPr="001A045F">
        <w:rPr>
          <w:rFonts w:cs="Times New Roman"/>
          <w:szCs w:val="24"/>
        </w:rPr>
        <w:t xml:space="preserve"> momento de tra</w:t>
      </w:r>
      <w:r w:rsidR="004B61B1">
        <w:rPr>
          <w:rFonts w:cs="Times New Roman"/>
          <w:szCs w:val="24"/>
        </w:rPr>
        <w:t>nsição de paradigmas</w:t>
      </w:r>
      <w:r w:rsidR="00162B00" w:rsidRPr="001A045F">
        <w:rPr>
          <w:rFonts w:cs="Times New Roman"/>
          <w:szCs w:val="24"/>
        </w:rPr>
        <w:t xml:space="preserve">, a institucionalização é, hoje, admitida pelo direito internacional, sendo prevista em diversos </w:t>
      </w:r>
      <w:r w:rsidR="00162B00" w:rsidRPr="001A045F">
        <w:rPr>
          <w:rFonts w:cs="Times New Roman"/>
          <w:szCs w:val="24"/>
        </w:rPr>
        <w:lastRenderedPageBreak/>
        <w:t>instrumentos</w:t>
      </w:r>
      <w:r w:rsidR="00162B00" w:rsidRPr="001A045F">
        <w:rPr>
          <w:rStyle w:val="FootnoteReference"/>
          <w:rFonts w:cs="Times New Roman"/>
          <w:szCs w:val="24"/>
        </w:rPr>
        <w:footnoteReference w:id="21"/>
      </w:r>
      <w:r w:rsidR="00162B00" w:rsidRPr="001A045F">
        <w:rPr>
          <w:rFonts w:cs="Times New Roman"/>
          <w:szCs w:val="24"/>
        </w:rPr>
        <w:t xml:space="preserve"> e admitida por Cortes de Direitos Humanos</w:t>
      </w:r>
      <w:r w:rsidR="00162B00" w:rsidRPr="001A045F">
        <w:rPr>
          <w:rStyle w:val="FootnoteReference"/>
          <w:rFonts w:cs="Times New Roman"/>
          <w:szCs w:val="24"/>
        </w:rPr>
        <w:footnoteReference w:id="22"/>
      </w:r>
      <w:r w:rsidR="00162B00" w:rsidRPr="001A045F">
        <w:rPr>
          <w:rFonts w:cs="Times New Roman"/>
          <w:szCs w:val="24"/>
        </w:rPr>
        <w:t>. A própria CtIDH, no caso Ximenes Lopes, não determinou a institucionaliz</w:t>
      </w:r>
      <w:r w:rsidR="00056F8A">
        <w:rPr>
          <w:rFonts w:cs="Times New Roman"/>
          <w:szCs w:val="24"/>
        </w:rPr>
        <w:t>ação em si como violação de</w:t>
      </w:r>
      <w:r w:rsidR="00162B00" w:rsidRPr="001A045F">
        <w:rPr>
          <w:rFonts w:cs="Times New Roman"/>
          <w:szCs w:val="24"/>
        </w:rPr>
        <w:t xml:space="preserve"> direitos</w:t>
      </w:r>
      <w:r>
        <w:rPr>
          <w:rStyle w:val="FootnoteReference"/>
          <w:rFonts w:cs="Times New Roman"/>
          <w:szCs w:val="24"/>
        </w:rPr>
        <w:footnoteReference w:id="23"/>
      </w:r>
      <w:r w:rsidR="00162B00" w:rsidRPr="001A045F">
        <w:rPr>
          <w:rFonts w:cs="Times New Roman"/>
          <w:szCs w:val="24"/>
        </w:rPr>
        <w:t xml:space="preserve">. Portanto, a ida de Cristal a La Casita pode constituir violação da CADH apenas </w:t>
      </w:r>
      <w:r>
        <w:rPr>
          <w:rFonts w:cs="Times New Roman"/>
          <w:szCs w:val="24"/>
        </w:rPr>
        <w:t>se</w:t>
      </w:r>
      <w:r w:rsidR="00162B00" w:rsidRPr="001A045F">
        <w:rPr>
          <w:rFonts w:cs="Times New Roman"/>
          <w:szCs w:val="24"/>
        </w:rPr>
        <w:t xml:space="preserve"> características da instituição ou aspectos do caso específico </w:t>
      </w:r>
      <w:r>
        <w:rPr>
          <w:rFonts w:cs="Times New Roman"/>
          <w:szCs w:val="24"/>
        </w:rPr>
        <w:t>forem</w:t>
      </w:r>
      <w:r w:rsidR="00162B00" w:rsidRPr="001A045F">
        <w:rPr>
          <w:rFonts w:cs="Times New Roman"/>
          <w:szCs w:val="24"/>
        </w:rPr>
        <w:t xml:space="preserve"> violatórios. Não é este o caso, conforme analisado abaixo.</w:t>
      </w:r>
    </w:p>
    <w:p w:rsidR="005A2F96" w:rsidRDefault="005A2F96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Os 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motivos da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institucionalização de Cristal não violaram a CADH</w:t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A necessidade de levar Cristal a La Casita foi</w:t>
      </w:r>
      <w:r w:rsidR="00866DEC">
        <w:rPr>
          <w:rFonts w:cs="Times New Roman"/>
          <w:szCs w:val="24"/>
        </w:rPr>
        <w:t xml:space="preserve"> determinada pela conjunção de</w:t>
      </w:r>
      <w:r w:rsidRPr="001A045F">
        <w:rPr>
          <w:rFonts w:cs="Times New Roman"/>
          <w:szCs w:val="24"/>
        </w:rPr>
        <w:t xml:space="preserve"> fatores que culminaram com sua permanência na rua. Os representantes da</w:t>
      </w:r>
      <w:r w:rsidR="00056F8A">
        <w:rPr>
          <w:rFonts w:cs="Times New Roman"/>
          <w:szCs w:val="24"/>
        </w:rPr>
        <w:t xml:space="preserve"> suposta</w:t>
      </w:r>
      <w:r w:rsidRPr="001A045F">
        <w:rPr>
          <w:rFonts w:cs="Times New Roman"/>
          <w:szCs w:val="24"/>
        </w:rPr>
        <w:t xml:space="preserve"> vítima poderiam alegar que o Estado deve ser responsabilizado por ditas circunstâncias, evocando o despreparo da escola de Cristal para receber alunos com deficiência visual; a regulação de despejos de Exclutia; a dificuldade de locomoção por meio de transporte público; e a inexistência de uma política que garantisse emprego. Entretanto, a razão não assiste a estas alegações, por três motivos:</w:t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Primeiramente, estas circunstâncias referem-se a direitos </w:t>
      </w:r>
      <w:r w:rsidR="00230195">
        <w:rPr>
          <w:rFonts w:cs="Times New Roman"/>
          <w:szCs w:val="24"/>
        </w:rPr>
        <w:t>ESC</w:t>
      </w:r>
      <w:r w:rsidRPr="001A045F">
        <w:rPr>
          <w:rFonts w:cs="Times New Roman"/>
          <w:szCs w:val="24"/>
        </w:rPr>
        <w:t xml:space="preserve">, protegidos pelo artigo 26 da CADH. Tais direitos </w:t>
      </w:r>
      <w:r w:rsidR="00230195">
        <w:rPr>
          <w:rFonts w:cs="Times New Roman"/>
          <w:szCs w:val="24"/>
        </w:rPr>
        <w:t>têm</w:t>
      </w:r>
      <w:r w:rsidRPr="001A045F">
        <w:rPr>
          <w:rFonts w:cs="Times New Roman"/>
          <w:szCs w:val="24"/>
        </w:rPr>
        <w:t xml:space="preserve"> aplicação progressiva, de modo que é exigível do Estado a adoção de providências na medida dos recursos financeiros de que disponha</w:t>
      </w:r>
      <w:r w:rsidRPr="001A045F">
        <w:rPr>
          <w:rStyle w:val="FootnoteReference"/>
          <w:rFonts w:cs="Times New Roman"/>
          <w:szCs w:val="24"/>
        </w:rPr>
        <w:footnoteReference w:id="24"/>
      </w:r>
      <w:r w:rsidR="00230195">
        <w:rPr>
          <w:rFonts w:cs="Times New Roman"/>
          <w:szCs w:val="24"/>
        </w:rPr>
        <w:t>. N</w:t>
      </w:r>
      <w:r w:rsidRPr="001A045F">
        <w:rPr>
          <w:rFonts w:cs="Times New Roman"/>
          <w:szCs w:val="24"/>
        </w:rPr>
        <w:t xml:space="preserve">os últimos anos, Exclutia implementou uma série de medidas visando </w:t>
      </w:r>
      <w:r w:rsidR="00056F8A">
        <w:rPr>
          <w:rFonts w:cs="Times New Roman"/>
          <w:szCs w:val="24"/>
        </w:rPr>
        <w:t xml:space="preserve">a </w:t>
      </w:r>
      <w:r w:rsidRPr="001A045F">
        <w:rPr>
          <w:rFonts w:cs="Times New Roman"/>
          <w:szCs w:val="24"/>
        </w:rPr>
        <w:t xml:space="preserve">diminuir a desigualdade e melhorar as condições de grupos vulneráveis, como pessoas com deficiência. Entretanto, a efetividade de direitos </w:t>
      </w:r>
      <w:r w:rsidR="00230195">
        <w:rPr>
          <w:rFonts w:cs="Times New Roman"/>
          <w:szCs w:val="24"/>
        </w:rPr>
        <w:t>ESC</w:t>
      </w:r>
      <w:r w:rsidRPr="001A045F">
        <w:rPr>
          <w:rFonts w:cs="Times New Roman"/>
          <w:szCs w:val="24"/>
        </w:rPr>
        <w:t xml:space="preserve"> não é alcançada em um curto período de tempo</w:t>
      </w:r>
      <w:r w:rsidRPr="001A045F">
        <w:rPr>
          <w:rStyle w:val="FootnoteReference"/>
          <w:rFonts w:cs="Times New Roman"/>
          <w:szCs w:val="24"/>
        </w:rPr>
        <w:footnoteReference w:id="25"/>
      </w:r>
      <w:r w:rsidRPr="001A045F">
        <w:rPr>
          <w:rFonts w:cs="Times New Roman"/>
          <w:szCs w:val="24"/>
        </w:rPr>
        <w:t>. Por isso, a CtIDH determinou que seu desenvolvimento deve ser medido em função da crescente abrangência do direito em questão sobre o conjunto da população, não em função do caso específico de uma pessoa em particular.</w:t>
      </w:r>
      <w:r w:rsidRPr="001A045F">
        <w:rPr>
          <w:rStyle w:val="FootnoteReference"/>
          <w:rFonts w:cs="Times New Roman"/>
          <w:szCs w:val="24"/>
        </w:rPr>
        <w:footnoteReference w:id="26"/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lastRenderedPageBreak/>
        <w:t xml:space="preserve">Em segundo lugar, se poderia alegar que, apesar de pertencer à categoria dos direitos </w:t>
      </w:r>
      <w:r w:rsidR="00256C3D">
        <w:rPr>
          <w:rFonts w:cs="Times New Roman"/>
          <w:szCs w:val="24"/>
        </w:rPr>
        <w:t>ESC</w:t>
      </w:r>
      <w:r w:rsidRPr="001A045F">
        <w:rPr>
          <w:rFonts w:cs="Times New Roman"/>
          <w:szCs w:val="24"/>
        </w:rPr>
        <w:t>, o direito à educação foi determinado como justiciável pelo PSS</w:t>
      </w:r>
      <w:r w:rsidRPr="001A045F">
        <w:rPr>
          <w:rStyle w:val="FootnoteReference"/>
          <w:rFonts w:cs="Times New Roman"/>
          <w:szCs w:val="24"/>
        </w:rPr>
        <w:footnoteReference w:id="27"/>
      </w:r>
      <w:r w:rsidRPr="001A045F">
        <w:rPr>
          <w:rFonts w:cs="Times New Roman"/>
          <w:szCs w:val="24"/>
        </w:rPr>
        <w:t>. Logo, o fato de Cristal não ter tido acesso à educação poderia constituir eventual violação d</w:t>
      </w:r>
      <w:r w:rsidR="00256C3D">
        <w:rPr>
          <w:rFonts w:cs="Times New Roman"/>
          <w:szCs w:val="24"/>
        </w:rPr>
        <w:t>e seu</w:t>
      </w:r>
      <w:r w:rsidRPr="001A045F">
        <w:rPr>
          <w:rFonts w:cs="Times New Roman"/>
          <w:szCs w:val="24"/>
        </w:rPr>
        <w:t xml:space="preserve"> artigo 13</w:t>
      </w:r>
      <w:r w:rsidR="00256C3D">
        <w:rPr>
          <w:rFonts w:cs="Times New Roman"/>
          <w:szCs w:val="24"/>
        </w:rPr>
        <w:t>. Contudo</w:t>
      </w:r>
      <w:r w:rsidRPr="001A045F">
        <w:rPr>
          <w:rFonts w:cs="Times New Roman"/>
          <w:szCs w:val="24"/>
        </w:rPr>
        <w:t xml:space="preserve">, Cristal saiu da escola em 1996, enquanto que o PSS entrou em vigor em 1999, e Exclutia o ratificou em 2001. A obrigação internacional, portanto, inexisita à época em que ocorreram tais fatos. </w:t>
      </w:r>
    </w:p>
    <w:p w:rsidR="00162B00" w:rsidRPr="001A045F" w:rsidRDefault="00162B00" w:rsidP="001A045F">
      <w:pPr>
        <w:rPr>
          <w:rStyle w:val="BookTitle"/>
          <w:rFonts w:cs="Times New Roman"/>
          <w:b w:val="0"/>
          <w:bCs w:val="0"/>
          <w:smallCaps w:val="0"/>
          <w:spacing w:val="0"/>
          <w:szCs w:val="24"/>
        </w:rPr>
      </w:pPr>
      <w:r w:rsidRPr="001A045F">
        <w:rPr>
          <w:rFonts w:cs="Times New Roman"/>
          <w:szCs w:val="24"/>
        </w:rPr>
        <w:t>Em terceiro lugar, se poderia alegar que a CADH deve ser lida à luz do direito</w:t>
      </w:r>
      <w:r w:rsidR="00256C3D">
        <w:rPr>
          <w:rFonts w:cs="Times New Roman"/>
          <w:szCs w:val="24"/>
        </w:rPr>
        <w:t xml:space="preserve"> à</w:t>
      </w:r>
      <w:r w:rsidRPr="001A045F">
        <w:rPr>
          <w:rFonts w:cs="Times New Roman"/>
          <w:szCs w:val="24"/>
        </w:rPr>
        <w:t xml:space="preserve"> integração na comunidade </w:t>
      </w:r>
      <w:r w:rsidR="00256C3D">
        <w:rPr>
          <w:rFonts w:cs="Times New Roman"/>
          <w:szCs w:val="24"/>
        </w:rPr>
        <w:t>contido na</w:t>
      </w:r>
      <w:r w:rsidRPr="001A045F">
        <w:rPr>
          <w:rFonts w:cs="Times New Roman"/>
          <w:szCs w:val="24"/>
        </w:rPr>
        <w:t xml:space="preserve"> CDPD. No entanto, estes fatos ocorreram antes de sua entrada em vigor</w:t>
      </w:r>
      <w:r w:rsidR="00256C3D">
        <w:rPr>
          <w:rFonts w:cs="Times New Roman"/>
          <w:szCs w:val="24"/>
        </w:rPr>
        <w:t>.</w:t>
      </w:r>
      <w:r w:rsidRPr="001A045F">
        <w:rPr>
          <w:rFonts w:cs="Times New Roman"/>
          <w:szCs w:val="24"/>
        </w:rPr>
        <w:t xml:space="preserve"> </w:t>
      </w:r>
      <w:r w:rsidR="00256C3D">
        <w:rPr>
          <w:rFonts w:cs="Times New Roman"/>
          <w:szCs w:val="24"/>
        </w:rPr>
        <w:t>N</w:t>
      </w:r>
      <w:r w:rsidRPr="001A045F">
        <w:rPr>
          <w:rFonts w:cs="Times New Roman"/>
          <w:szCs w:val="24"/>
        </w:rPr>
        <w:t>ão se pode determinar como exigíveis obrigações que</w:t>
      </w:r>
      <w:r w:rsidR="00256C3D">
        <w:rPr>
          <w:rFonts w:cs="Times New Roman"/>
          <w:szCs w:val="24"/>
        </w:rPr>
        <w:t>, à época,</w:t>
      </w:r>
      <w:r w:rsidRPr="001A045F">
        <w:rPr>
          <w:rFonts w:cs="Times New Roman"/>
          <w:szCs w:val="24"/>
        </w:rPr>
        <w:t xml:space="preserve"> não haviam sido constituídas.</w:t>
      </w:r>
    </w:p>
    <w:p w:rsidR="005A2F96" w:rsidRDefault="005A2F96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A institucionalizaçã</w:t>
      </w:r>
      <w:r w:rsidR="00162B00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o de Cristal não violou 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="00162B00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rt. 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7º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da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CADH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</w:t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O DIDH reconhece a existência de instituições que, embora </w:t>
      </w:r>
      <w:r w:rsidR="00056F8A">
        <w:rPr>
          <w:rFonts w:cs="Times New Roman"/>
          <w:szCs w:val="24"/>
        </w:rPr>
        <w:t>caus</w:t>
      </w:r>
      <w:r w:rsidRPr="001A045F">
        <w:rPr>
          <w:rFonts w:cs="Times New Roman"/>
          <w:szCs w:val="24"/>
        </w:rPr>
        <w:t>em certas restrições à movimentação de seus residentes, não se caracterizam como locais de detenção – preservando ass</w:t>
      </w:r>
      <w:r w:rsidR="00256C3D">
        <w:rPr>
          <w:rFonts w:cs="Times New Roman"/>
          <w:szCs w:val="24"/>
        </w:rPr>
        <w:t>im o direito à</w:t>
      </w:r>
      <w:r w:rsidRPr="001A045F">
        <w:rPr>
          <w:rFonts w:cs="Times New Roman"/>
          <w:szCs w:val="24"/>
        </w:rPr>
        <w:t xml:space="preserve"> liberdade. Cite-se, por exemplo, a ala infantil de um hospital</w:t>
      </w:r>
      <w:r w:rsidRPr="001A045F">
        <w:rPr>
          <w:rStyle w:val="FootnoteReference"/>
          <w:rFonts w:cs="Times New Roman"/>
          <w:szCs w:val="24"/>
        </w:rPr>
        <w:footnoteReference w:id="28"/>
      </w:r>
      <w:r w:rsidRPr="001A045F">
        <w:rPr>
          <w:rFonts w:cs="Times New Roman"/>
          <w:szCs w:val="24"/>
        </w:rPr>
        <w:t xml:space="preserve"> e instituições psiquiátricas</w:t>
      </w:r>
      <w:r w:rsidRPr="001A045F">
        <w:rPr>
          <w:rStyle w:val="FootnoteReference"/>
          <w:rFonts w:cs="Times New Roman"/>
          <w:szCs w:val="24"/>
        </w:rPr>
        <w:footnoteReference w:id="29"/>
      </w:r>
      <w:r w:rsidRPr="001A045F">
        <w:rPr>
          <w:rFonts w:cs="Times New Roman"/>
          <w:szCs w:val="24"/>
        </w:rPr>
        <w:t>. A própria CtIDH já mencionou a possibilidade de haver situações de mera restrição que não configuram detenção</w:t>
      </w:r>
      <w:r w:rsidRPr="001A045F">
        <w:rPr>
          <w:rStyle w:val="FootnoteReference"/>
          <w:rFonts w:cs="Times New Roman"/>
          <w:szCs w:val="24"/>
        </w:rPr>
        <w:footnoteReference w:id="30"/>
      </w:r>
      <w:r w:rsidRPr="001A045F">
        <w:rPr>
          <w:rFonts w:cs="Times New Roman"/>
          <w:szCs w:val="24"/>
        </w:rPr>
        <w:t>, embora nunca tenha analisado um caso assim. Logo, recorre-se primariamente à jurisprudência da CtEDH.</w:t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A distinção entre situações de detenção e mera restrição de liberdade é feita com base na situação concreta, considerando critérios como tipo, duração, efeito e modo de implementação.</w:t>
      </w:r>
      <w:r w:rsidRPr="001A045F">
        <w:rPr>
          <w:rStyle w:val="FootnoteReference"/>
          <w:rFonts w:cs="Times New Roman"/>
          <w:szCs w:val="24"/>
        </w:rPr>
        <w:footnoteReference w:id="31"/>
      </w:r>
      <w:r w:rsidR="004B61B1">
        <w:rPr>
          <w:rFonts w:cs="Times New Roman"/>
          <w:szCs w:val="24"/>
        </w:rPr>
        <w:t xml:space="preserve"> Neste sentido, </w:t>
      </w:r>
      <w:r w:rsidRPr="001A045F">
        <w:rPr>
          <w:rFonts w:cs="Times New Roman"/>
          <w:szCs w:val="24"/>
        </w:rPr>
        <w:t>La Casita não se caracteriz</w:t>
      </w:r>
      <w:r w:rsidR="00866DEC">
        <w:rPr>
          <w:rFonts w:cs="Times New Roman"/>
          <w:szCs w:val="24"/>
        </w:rPr>
        <w:t xml:space="preserve">a como instituição de detenção, pois </w:t>
      </w:r>
      <w:r w:rsidRPr="001A045F">
        <w:rPr>
          <w:rFonts w:cs="Times New Roman"/>
          <w:szCs w:val="24"/>
        </w:rPr>
        <w:t>Cristal não foi coagida a ir a La Casita</w:t>
      </w:r>
      <w:r w:rsidR="00866DEC">
        <w:rPr>
          <w:rFonts w:cs="Times New Roman"/>
          <w:szCs w:val="24"/>
        </w:rPr>
        <w:t>;</w:t>
      </w:r>
      <w:r w:rsidRPr="001A045F">
        <w:rPr>
          <w:rFonts w:cs="Times New Roman"/>
          <w:szCs w:val="24"/>
        </w:rPr>
        <w:t xml:space="preserve"> </w:t>
      </w:r>
      <w:r w:rsidR="004B61B1">
        <w:rPr>
          <w:rFonts w:cs="Times New Roman"/>
          <w:szCs w:val="24"/>
        </w:rPr>
        <w:t>não manifest</w:t>
      </w:r>
      <w:r w:rsidRPr="001A045F">
        <w:rPr>
          <w:rFonts w:cs="Times New Roman"/>
          <w:szCs w:val="24"/>
        </w:rPr>
        <w:t>o</w:t>
      </w:r>
      <w:r w:rsidR="004B61B1">
        <w:rPr>
          <w:rFonts w:cs="Times New Roman"/>
          <w:szCs w:val="24"/>
        </w:rPr>
        <w:t>u</w:t>
      </w:r>
      <w:r w:rsidRPr="001A045F">
        <w:rPr>
          <w:rFonts w:cs="Times New Roman"/>
          <w:szCs w:val="24"/>
        </w:rPr>
        <w:t xml:space="preserve"> qualquer in</w:t>
      </w:r>
      <w:r w:rsidR="00866DEC">
        <w:rPr>
          <w:rFonts w:cs="Times New Roman"/>
          <w:szCs w:val="24"/>
        </w:rPr>
        <w:t>tenção de sair da instituição</w:t>
      </w:r>
      <w:r w:rsidRPr="001A045F">
        <w:rPr>
          <w:rFonts w:cs="Times New Roman"/>
          <w:szCs w:val="24"/>
        </w:rPr>
        <w:t xml:space="preserve"> </w:t>
      </w:r>
      <w:r w:rsidR="00866DEC">
        <w:rPr>
          <w:rFonts w:cs="Times New Roman"/>
          <w:szCs w:val="24"/>
        </w:rPr>
        <w:t>a funcionários de La Casita; e tinha</w:t>
      </w:r>
      <w:r w:rsidRPr="001A045F">
        <w:rPr>
          <w:rFonts w:cs="Times New Roman"/>
          <w:szCs w:val="24"/>
        </w:rPr>
        <w:t xml:space="preserve"> liberdade de moviment</w:t>
      </w:r>
      <w:r w:rsidR="002355DB">
        <w:rPr>
          <w:rFonts w:cs="Times New Roman"/>
          <w:szCs w:val="24"/>
        </w:rPr>
        <w:t>o</w:t>
      </w:r>
      <w:r w:rsidRPr="001A045F">
        <w:rPr>
          <w:rFonts w:cs="Times New Roman"/>
          <w:szCs w:val="24"/>
        </w:rPr>
        <w:t xml:space="preserve"> em La Casita, como exemplificado </w:t>
      </w:r>
      <w:r w:rsidR="002355DB">
        <w:rPr>
          <w:rFonts w:cs="Times New Roman"/>
          <w:szCs w:val="24"/>
        </w:rPr>
        <w:t>pelo</w:t>
      </w:r>
      <w:r w:rsidRPr="001A045F">
        <w:rPr>
          <w:rFonts w:cs="Times New Roman"/>
          <w:szCs w:val="24"/>
        </w:rPr>
        <w:t xml:space="preserve"> acesso não controlado </w:t>
      </w:r>
      <w:r w:rsidR="002355DB">
        <w:rPr>
          <w:rFonts w:cs="Times New Roman"/>
          <w:szCs w:val="24"/>
        </w:rPr>
        <w:t>a</w:t>
      </w:r>
      <w:r w:rsidRPr="001A045F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lastRenderedPageBreak/>
        <w:t xml:space="preserve">áreas verdes. Assim, ainda que </w:t>
      </w:r>
      <w:r w:rsidR="002355DB">
        <w:rPr>
          <w:rFonts w:cs="Times New Roman"/>
          <w:szCs w:val="24"/>
        </w:rPr>
        <w:t>os</w:t>
      </w:r>
      <w:r w:rsidRPr="001A045F">
        <w:rPr>
          <w:rFonts w:cs="Times New Roman"/>
          <w:szCs w:val="24"/>
        </w:rPr>
        <w:t xml:space="preserve"> residentes não tenham liberdade total de movimento, isto não é suficiente para que a instituição </w:t>
      </w:r>
      <w:r w:rsidR="00256C3D">
        <w:rPr>
          <w:rFonts w:cs="Times New Roman"/>
          <w:szCs w:val="24"/>
        </w:rPr>
        <w:t>constitua</w:t>
      </w:r>
      <w:r w:rsidRPr="001A045F">
        <w:rPr>
          <w:rFonts w:cs="Times New Roman"/>
          <w:szCs w:val="24"/>
        </w:rPr>
        <w:t xml:space="preserve"> local de detenção.</w:t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866DEC">
        <w:rPr>
          <w:rFonts w:cs="Times New Roman"/>
          <w:szCs w:val="24"/>
          <w:u w:val="single"/>
        </w:rPr>
        <w:t>Ainda que La Casita fosse considerada instituição de detenção</w:t>
      </w:r>
      <w:r w:rsidRPr="001A045F">
        <w:rPr>
          <w:rFonts w:cs="Times New Roman"/>
          <w:szCs w:val="24"/>
        </w:rPr>
        <w:t xml:space="preserve">, não haveria violação do direito à liberdade. </w:t>
      </w:r>
      <w:r w:rsidR="00256C3D">
        <w:rPr>
          <w:rFonts w:cs="Times New Roman"/>
          <w:szCs w:val="24"/>
        </w:rPr>
        <w:t>A</w:t>
      </w:r>
      <w:r w:rsidRPr="001A045F">
        <w:rPr>
          <w:rFonts w:cs="Times New Roman"/>
          <w:szCs w:val="24"/>
        </w:rPr>
        <w:t xml:space="preserve"> deficiência mental pode, em </w:t>
      </w:r>
      <w:r w:rsidR="00256C3D">
        <w:rPr>
          <w:rFonts w:cs="Times New Roman"/>
          <w:szCs w:val="24"/>
        </w:rPr>
        <w:t>cert</w:t>
      </w:r>
      <w:r w:rsidRPr="001A045F">
        <w:rPr>
          <w:rFonts w:cs="Times New Roman"/>
          <w:szCs w:val="24"/>
        </w:rPr>
        <w:t>as circunstâncias, dar origem a situações legítimas de detenção</w:t>
      </w:r>
      <w:r w:rsidRPr="001A045F">
        <w:rPr>
          <w:rStyle w:val="FootnoteReference"/>
          <w:rFonts w:cs="Times New Roman"/>
          <w:szCs w:val="24"/>
        </w:rPr>
        <w:footnoteReference w:id="32"/>
      </w:r>
      <w:r w:rsidR="00256C3D">
        <w:rPr>
          <w:rFonts w:cs="Times New Roman"/>
          <w:szCs w:val="24"/>
        </w:rPr>
        <w:t>, desde que</w:t>
      </w:r>
      <w:r w:rsidRPr="001A045F">
        <w:rPr>
          <w:rFonts w:cs="Times New Roman"/>
          <w:szCs w:val="24"/>
        </w:rPr>
        <w:t xml:space="preserve"> observados alguns critérios</w:t>
      </w:r>
      <w:r w:rsidR="00756C01">
        <w:rPr>
          <w:rStyle w:val="FootnoteReference"/>
          <w:rFonts w:cs="Times New Roman"/>
          <w:szCs w:val="24"/>
        </w:rPr>
        <w:footnoteReference w:id="33"/>
      </w:r>
      <w:r w:rsidR="00256C3D">
        <w:rPr>
          <w:rFonts w:cs="Times New Roman"/>
          <w:szCs w:val="24"/>
        </w:rPr>
        <w:t>:</w:t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056F8A">
        <w:rPr>
          <w:rFonts w:cs="Times New Roman"/>
          <w:szCs w:val="24"/>
          <w:u w:val="single"/>
        </w:rPr>
        <w:t>i) Uma deficiência mental verdadeira deve ser demonstrada por uma autoridade competente com base em análise médica objetiva</w:t>
      </w:r>
      <w:r w:rsidRPr="001A045F">
        <w:rPr>
          <w:rFonts w:cs="Times New Roman"/>
          <w:szCs w:val="24"/>
        </w:rPr>
        <w:t>. A deficiência de Cristal foi co</w:t>
      </w:r>
      <w:r w:rsidR="00056F8A">
        <w:rPr>
          <w:rFonts w:cs="Times New Roman"/>
          <w:szCs w:val="24"/>
        </w:rPr>
        <w:t xml:space="preserve">nstatada por um Juiz competente, </w:t>
      </w:r>
      <w:r w:rsidRPr="001A045F">
        <w:rPr>
          <w:rFonts w:cs="Times New Roman"/>
          <w:szCs w:val="24"/>
        </w:rPr>
        <w:t xml:space="preserve">com base na avaliação de dois médicos diferentes, um deles designado judicialmente. </w:t>
      </w:r>
      <w:r w:rsidR="00256C3D">
        <w:rPr>
          <w:rFonts w:cs="Times New Roman"/>
          <w:szCs w:val="24"/>
        </w:rPr>
        <w:t>Eventual alegação de</w:t>
      </w:r>
      <w:r w:rsidRPr="001A045F">
        <w:rPr>
          <w:rFonts w:cs="Times New Roman"/>
          <w:szCs w:val="24"/>
        </w:rPr>
        <w:t xml:space="preserve"> erro médico </w:t>
      </w:r>
      <w:r w:rsidR="00256C3D">
        <w:rPr>
          <w:rFonts w:cs="Times New Roman"/>
          <w:szCs w:val="24"/>
        </w:rPr>
        <w:t>não deve prosperar, pois não cabe à CtIDH</w:t>
      </w:r>
      <w:r w:rsidRPr="001A045F">
        <w:rPr>
          <w:rFonts w:cs="Times New Roman"/>
          <w:szCs w:val="24"/>
        </w:rPr>
        <w:t xml:space="preserve"> avaliar o diagnóstico de Cristal, apenas analisar se o processo de determinação de tal diagnóstico foi adequado</w:t>
      </w:r>
      <w:r w:rsidRPr="001A045F">
        <w:rPr>
          <w:rStyle w:val="FootnoteReference"/>
          <w:rFonts w:cs="Times New Roman"/>
          <w:szCs w:val="24"/>
        </w:rPr>
        <w:footnoteReference w:id="34"/>
      </w:r>
      <w:r w:rsidRPr="001A045F">
        <w:rPr>
          <w:rFonts w:cs="Times New Roman"/>
          <w:szCs w:val="24"/>
        </w:rPr>
        <w:t xml:space="preserve">. Apesar de eventuais críticas por parte dos peticionários, não há razões para duvidar da objetividade e confiabilidade das avaliações médicas, </w:t>
      </w:r>
      <w:r w:rsidR="00256C3D">
        <w:rPr>
          <w:rFonts w:cs="Times New Roman"/>
          <w:szCs w:val="24"/>
        </w:rPr>
        <w:t xml:space="preserve">especialmente </w:t>
      </w:r>
      <w:r w:rsidR="004B61B1">
        <w:rPr>
          <w:rFonts w:cs="Times New Roman"/>
          <w:szCs w:val="24"/>
        </w:rPr>
        <w:t>por</w:t>
      </w:r>
      <w:r w:rsidR="00256C3D">
        <w:rPr>
          <w:rFonts w:cs="Times New Roman"/>
          <w:szCs w:val="24"/>
        </w:rPr>
        <w:t>que</w:t>
      </w:r>
      <w:r w:rsidRPr="001A045F">
        <w:rPr>
          <w:rFonts w:cs="Times New Roman"/>
          <w:szCs w:val="24"/>
        </w:rPr>
        <w:t xml:space="preserve"> uma delas estava protegida pelas garantias que envolvem uma perícia judicial. Ademais, a CtIDH determinou responsabilidade internacional de Estados por falhas médicas</w:t>
      </w:r>
      <w:r w:rsidR="00056F8A">
        <w:rPr>
          <w:rFonts w:cs="Times New Roman"/>
          <w:szCs w:val="24"/>
        </w:rPr>
        <w:t xml:space="preserve"> apenas</w:t>
      </w:r>
      <w:r w:rsidRPr="001A045F">
        <w:rPr>
          <w:rFonts w:cs="Times New Roman"/>
          <w:szCs w:val="24"/>
        </w:rPr>
        <w:t xml:space="preserve"> em casos de denegação de atendimento, algo substancialmente distinto de eventuais erros de diagnóstico.</w:t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ii) </w:t>
      </w:r>
      <w:r w:rsidRPr="00056F8A">
        <w:rPr>
          <w:rFonts w:cs="Times New Roman"/>
          <w:szCs w:val="24"/>
          <w:u w:val="single"/>
        </w:rPr>
        <w:t>Essa deficiência deve ser de um tipo ou grau que permitia confinamento compulsório</w:t>
      </w:r>
      <w:r w:rsidRPr="001A045F">
        <w:rPr>
          <w:rFonts w:cs="Times New Roman"/>
          <w:szCs w:val="24"/>
        </w:rPr>
        <w:t xml:space="preserve">. A decisão de alocar Cristal à ala hospitalar destinada a pessoas com deficiência foi tomada por autoridades administrativas com base em laudo médico. Ainda, a análise de dois médicos foi considerada por um Juiz independente como suficiente para que se estabelecesse que ela não tinha condições de tomar decisões </w:t>
      </w:r>
      <w:r w:rsidR="00756C01">
        <w:rPr>
          <w:rFonts w:cs="Times New Roman"/>
          <w:szCs w:val="24"/>
        </w:rPr>
        <w:t>sem assistência</w:t>
      </w:r>
      <w:r w:rsidRPr="001A045F">
        <w:rPr>
          <w:rFonts w:cs="Times New Roman"/>
          <w:szCs w:val="24"/>
        </w:rPr>
        <w:t>.</w:t>
      </w:r>
    </w:p>
    <w:p w:rsidR="00162B00" w:rsidRPr="001A045F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lastRenderedPageBreak/>
        <w:t xml:space="preserve">iii) </w:t>
      </w:r>
      <w:r w:rsidRPr="00056F8A">
        <w:rPr>
          <w:rFonts w:cs="Times New Roman"/>
          <w:szCs w:val="24"/>
          <w:u w:val="single"/>
        </w:rPr>
        <w:t>A validade do confinamento deve depender da persistência da deficiência</w:t>
      </w:r>
      <w:r w:rsidRPr="001A045F">
        <w:rPr>
          <w:rFonts w:cs="Times New Roman"/>
          <w:szCs w:val="24"/>
        </w:rPr>
        <w:t xml:space="preserve">. Em La Casita, </w:t>
      </w:r>
      <w:r w:rsidR="00256C3D">
        <w:rPr>
          <w:rFonts w:cs="Times New Roman"/>
          <w:szCs w:val="24"/>
        </w:rPr>
        <w:t>médicos realiza</w:t>
      </w:r>
      <w:r w:rsidR="00080EBE">
        <w:rPr>
          <w:rFonts w:cs="Times New Roman"/>
          <w:szCs w:val="24"/>
        </w:rPr>
        <w:t>m</w:t>
      </w:r>
      <w:r w:rsidRPr="001A045F">
        <w:rPr>
          <w:rFonts w:cs="Times New Roman"/>
          <w:szCs w:val="24"/>
        </w:rPr>
        <w:t xml:space="preserve"> acompanhamento </w:t>
      </w:r>
      <w:r w:rsidR="004B61B1">
        <w:rPr>
          <w:rFonts w:cs="Times New Roman"/>
          <w:szCs w:val="24"/>
        </w:rPr>
        <w:t>clínic</w:t>
      </w:r>
      <w:r w:rsidRPr="001A045F">
        <w:rPr>
          <w:rFonts w:cs="Times New Roman"/>
          <w:szCs w:val="24"/>
        </w:rPr>
        <w:t xml:space="preserve">o de Cristal. </w:t>
      </w:r>
      <w:r w:rsidR="00080EBE">
        <w:rPr>
          <w:rFonts w:cs="Times New Roman"/>
          <w:szCs w:val="24"/>
        </w:rPr>
        <w:t>Caso</w:t>
      </w:r>
      <w:r w:rsidRPr="001A045F">
        <w:rPr>
          <w:rFonts w:cs="Times New Roman"/>
          <w:szCs w:val="24"/>
        </w:rPr>
        <w:t xml:space="preserve"> sua deficiência não mais persist</w:t>
      </w:r>
      <w:r w:rsidR="004B61B1">
        <w:rPr>
          <w:rFonts w:cs="Times New Roman"/>
          <w:szCs w:val="24"/>
        </w:rPr>
        <w:t>a</w:t>
      </w:r>
      <w:r w:rsidRPr="001A045F">
        <w:rPr>
          <w:rFonts w:cs="Times New Roman"/>
          <w:szCs w:val="24"/>
        </w:rPr>
        <w:t xml:space="preserve">, não </w:t>
      </w:r>
      <w:r w:rsidR="00080EBE">
        <w:rPr>
          <w:rFonts w:cs="Times New Roman"/>
          <w:szCs w:val="24"/>
        </w:rPr>
        <w:t>há</w:t>
      </w:r>
      <w:r w:rsidRPr="001A045F">
        <w:rPr>
          <w:rFonts w:cs="Times New Roman"/>
          <w:szCs w:val="24"/>
        </w:rPr>
        <w:t xml:space="preserve"> r</w:t>
      </w:r>
      <w:r w:rsidR="004B61B1">
        <w:rPr>
          <w:rFonts w:cs="Times New Roman"/>
          <w:szCs w:val="24"/>
        </w:rPr>
        <w:t>azão para crer que ela não sairá</w:t>
      </w:r>
      <w:r w:rsidRPr="001A045F">
        <w:rPr>
          <w:rFonts w:cs="Times New Roman"/>
          <w:szCs w:val="24"/>
        </w:rPr>
        <w:t xml:space="preserve"> da ala “B”. Ainda, </w:t>
      </w:r>
      <w:r w:rsidR="00512EE9">
        <w:rPr>
          <w:rFonts w:cs="Times New Roman"/>
          <w:szCs w:val="24"/>
        </w:rPr>
        <w:t>há revisão anual da curatela</w:t>
      </w:r>
      <w:r w:rsidRPr="001A045F">
        <w:rPr>
          <w:rFonts w:cs="Times New Roman"/>
          <w:szCs w:val="24"/>
        </w:rPr>
        <w:t>.</w:t>
      </w:r>
    </w:p>
    <w:p w:rsidR="00162B00" w:rsidRPr="001A045F" w:rsidRDefault="00080EBE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162B00" w:rsidRPr="001A045F">
        <w:rPr>
          <w:rFonts w:cs="Times New Roman"/>
          <w:szCs w:val="24"/>
        </w:rPr>
        <w:t>erante o SIDH, para que uma</w:t>
      </w:r>
      <w:r>
        <w:rPr>
          <w:rFonts w:cs="Times New Roman"/>
          <w:szCs w:val="24"/>
        </w:rPr>
        <w:t xml:space="preserve"> situação de detenção não seja </w:t>
      </w:r>
      <w:r w:rsidR="00162B00" w:rsidRPr="001A045F">
        <w:rPr>
          <w:rFonts w:cs="Times New Roman"/>
          <w:szCs w:val="24"/>
        </w:rPr>
        <w:t xml:space="preserve">arbitrária, não é suficiente </w:t>
      </w:r>
      <w:r>
        <w:rPr>
          <w:rFonts w:cs="Times New Roman"/>
          <w:szCs w:val="24"/>
        </w:rPr>
        <w:t>a previsão</w:t>
      </w:r>
      <w:r w:rsidR="00162B00" w:rsidRPr="001A045F">
        <w:rPr>
          <w:rFonts w:cs="Times New Roman"/>
          <w:szCs w:val="24"/>
        </w:rPr>
        <w:t xml:space="preserve"> em lei. </w:t>
      </w:r>
      <w:r>
        <w:rPr>
          <w:rFonts w:cs="Times New Roman"/>
          <w:szCs w:val="24"/>
        </w:rPr>
        <w:t>Ela deve ainda ter</w:t>
      </w:r>
      <w:r w:rsidR="00162B00" w:rsidRPr="001A045F">
        <w:rPr>
          <w:rFonts w:cs="Times New Roman"/>
          <w:szCs w:val="24"/>
        </w:rPr>
        <w:t xml:space="preserve"> finalidad</w:t>
      </w:r>
      <w:r>
        <w:rPr>
          <w:rFonts w:cs="Times New Roman"/>
          <w:szCs w:val="24"/>
        </w:rPr>
        <w:t>e compatível com a CADH e ser</w:t>
      </w:r>
      <w:r w:rsidR="00162B00" w:rsidRPr="001A045F">
        <w:rPr>
          <w:rFonts w:cs="Times New Roman"/>
          <w:szCs w:val="24"/>
        </w:rPr>
        <w:t xml:space="preserve"> uma medida idônea, necessária e proporcional</w:t>
      </w:r>
      <w:r w:rsidR="00162B00" w:rsidRPr="001A045F">
        <w:rPr>
          <w:rStyle w:val="FootnoteReference"/>
          <w:rFonts w:cs="Times New Roman"/>
          <w:szCs w:val="24"/>
        </w:rPr>
        <w:footnoteReference w:id="35"/>
      </w:r>
      <w:r>
        <w:rPr>
          <w:rFonts w:cs="Times New Roman"/>
          <w:szCs w:val="24"/>
        </w:rPr>
        <w:t>. Tais</w:t>
      </w:r>
      <w:r w:rsidR="00162B00" w:rsidRPr="001A045F">
        <w:rPr>
          <w:rFonts w:cs="Times New Roman"/>
          <w:szCs w:val="24"/>
        </w:rPr>
        <w:t xml:space="preserve"> exigências foram cumpridas, conforme exposto abaixo.</w:t>
      </w:r>
      <w:bookmarkStart w:id="16" w:name="h.95qfniw9x6tf" w:colFirst="0" w:colLast="0"/>
      <w:bookmarkEnd w:id="16"/>
    </w:p>
    <w:p w:rsidR="005A2F96" w:rsidRDefault="005A2F96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A institucionalização de Cristal não violou 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rt. 11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da 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CADH</w:t>
      </w:r>
    </w:p>
    <w:p w:rsidR="00162B00" w:rsidRPr="001A045F" w:rsidRDefault="00823424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 </w:t>
      </w:r>
      <w:r w:rsidR="00162B00" w:rsidRPr="001A045F">
        <w:rPr>
          <w:rFonts w:cs="Times New Roman"/>
          <w:szCs w:val="24"/>
        </w:rPr>
        <w:t xml:space="preserve">direito à vida privada </w:t>
      </w:r>
      <w:r>
        <w:rPr>
          <w:rFonts w:cs="Times New Roman"/>
          <w:szCs w:val="24"/>
        </w:rPr>
        <w:t>tem amplo âmbito de proteção</w:t>
      </w:r>
      <w:r w:rsidR="00080EBE">
        <w:rPr>
          <w:rFonts w:cs="Times New Roman"/>
          <w:szCs w:val="24"/>
        </w:rPr>
        <w:t>.</w:t>
      </w:r>
      <w:r w:rsidR="00162B00" w:rsidRPr="001A045F">
        <w:rPr>
          <w:rFonts w:cs="Times New Roman"/>
          <w:szCs w:val="24"/>
        </w:rPr>
        <w:t xml:space="preserve"> </w:t>
      </w:r>
      <w:r w:rsidR="00080EBE">
        <w:rPr>
          <w:rFonts w:cs="Times New Roman"/>
          <w:szCs w:val="24"/>
        </w:rPr>
        <w:t>A</w:t>
      </w:r>
      <w:r w:rsidR="00162B00" w:rsidRPr="001A045F">
        <w:rPr>
          <w:rFonts w:cs="Times New Roman"/>
          <w:szCs w:val="24"/>
        </w:rPr>
        <w:t xml:space="preserve">lém </w:t>
      </w:r>
      <w:r w:rsidR="00056F8A">
        <w:rPr>
          <w:rFonts w:cs="Times New Roman"/>
          <w:szCs w:val="24"/>
        </w:rPr>
        <w:t>da</w:t>
      </w:r>
      <w:r w:rsidR="00162B00" w:rsidRPr="001A045F">
        <w:rPr>
          <w:rFonts w:cs="Times New Roman"/>
          <w:szCs w:val="24"/>
        </w:rPr>
        <w:t xml:space="preserve"> privacidade, a</w:t>
      </w:r>
      <w:r w:rsidR="00080EBE">
        <w:rPr>
          <w:rFonts w:cs="Times New Roman"/>
          <w:szCs w:val="24"/>
        </w:rPr>
        <w:t>barca a</w:t>
      </w:r>
      <w:r w:rsidR="00162B00" w:rsidRPr="001A045F">
        <w:rPr>
          <w:rFonts w:cs="Times New Roman"/>
          <w:szCs w:val="24"/>
        </w:rPr>
        <w:t xml:space="preserve"> capacidade de desenvolver a própria personalidade e definir sua relação com </w:t>
      </w:r>
      <w:r w:rsidR="00056F8A">
        <w:rPr>
          <w:rFonts w:cs="Times New Roman"/>
          <w:szCs w:val="24"/>
        </w:rPr>
        <w:t xml:space="preserve">os </w:t>
      </w:r>
      <w:r w:rsidR="00162B00" w:rsidRPr="001A045F">
        <w:rPr>
          <w:rFonts w:cs="Times New Roman"/>
          <w:szCs w:val="24"/>
        </w:rPr>
        <w:t>outros e com o mundo</w:t>
      </w:r>
      <w:r w:rsidR="00162B00" w:rsidRPr="001A045F">
        <w:rPr>
          <w:rStyle w:val="FootnoteReference"/>
          <w:rFonts w:cs="Times New Roman"/>
          <w:szCs w:val="24"/>
        </w:rPr>
        <w:footnoteReference w:id="36"/>
      </w:r>
      <w:r w:rsidR="00162B00" w:rsidRPr="001A045F">
        <w:rPr>
          <w:rFonts w:cs="Times New Roman"/>
          <w:szCs w:val="24"/>
        </w:rPr>
        <w:t xml:space="preserve">. Neste sentido, a capacidade de se autodeterminar caracteriza-se </w:t>
      </w:r>
      <w:r w:rsidR="00056F8A">
        <w:rPr>
          <w:rFonts w:cs="Times New Roman"/>
          <w:szCs w:val="24"/>
        </w:rPr>
        <w:t>pela isenção</w:t>
      </w:r>
      <w:r w:rsidR="00162B00" w:rsidRPr="001A045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de</w:t>
      </w:r>
      <w:r w:rsidR="00162B00" w:rsidRPr="001A045F">
        <w:rPr>
          <w:rFonts w:cs="Times New Roman"/>
          <w:szCs w:val="24"/>
        </w:rPr>
        <w:t xml:space="preserve"> invasões abusivas ou arbitrárias por terceiros ou autoridades públicas</w:t>
      </w:r>
      <w:r w:rsidR="00162B00" w:rsidRPr="001A045F">
        <w:rPr>
          <w:rStyle w:val="FootnoteReference"/>
          <w:rFonts w:cs="Times New Roman"/>
          <w:szCs w:val="24"/>
        </w:rPr>
        <w:footnoteReference w:id="37"/>
      </w:r>
      <w:r w:rsidR="00162B00" w:rsidRPr="001A045F">
        <w:rPr>
          <w:rFonts w:cs="Times New Roman"/>
          <w:szCs w:val="24"/>
        </w:rPr>
        <w:t>.</w:t>
      </w:r>
    </w:p>
    <w:p w:rsidR="0024563E" w:rsidRDefault="00162B00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O Estado reconhece que interferiu no direito protegido pelo artigo 11 da CADH ao retirar Cristal das ruas e levá-la a La Casita. Entretanto, tal interferência não foi arbitrária ou abusiva, já que</w:t>
      </w:r>
      <w:r w:rsidR="00080EBE">
        <w:rPr>
          <w:rFonts w:cs="Times New Roman"/>
          <w:szCs w:val="24"/>
        </w:rPr>
        <w:t>:</w:t>
      </w:r>
      <w:r w:rsidRPr="001A045F">
        <w:rPr>
          <w:rFonts w:cs="Times New Roman"/>
          <w:szCs w:val="24"/>
        </w:rPr>
        <w:t xml:space="preserve"> i) </w:t>
      </w:r>
      <w:r w:rsidRPr="00056F8A">
        <w:rPr>
          <w:rFonts w:cs="Times New Roman"/>
          <w:szCs w:val="24"/>
          <w:u w:val="single"/>
        </w:rPr>
        <w:t>estava prevista em lei em sentido formal e material</w:t>
      </w:r>
      <w:r w:rsidR="00080EBE">
        <w:rPr>
          <w:rFonts w:cs="Times New Roman"/>
          <w:szCs w:val="24"/>
        </w:rPr>
        <w:t xml:space="preserve">, pois </w:t>
      </w:r>
      <w:r w:rsidR="00080EBE" w:rsidRPr="001A045F">
        <w:rPr>
          <w:rFonts w:cs="Times New Roman"/>
          <w:szCs w:val="24"/>
        </w:rPr>
        <w:t xml:space="preserve">La Casita é uma instituição cuja existência e orçamento </w:t>
      </w:r>
      <w:r w:rsidR="00823424">
        <w:rPr>
          <w:rFonts w:cs="Times New Roman"/>
          <w:szCs w:val="24"/>
        </w:rPr>
        <w:t>são determinados por</w:t>
      </w:r>
      <w:r w:rsidR="00080EBE" w:rsidRPr="001A045F">
        <w:rPr>
          <w:rFonts w:cs="Times New Roman"/>
          <w:szCs w:val="24"/>
        </w:rPr>
        <w:t xml:space="preserve"> lei, </w:t>
      </w:r>
      <w:r w:rsidR="00080EBE">
        <w:rPr>
          <w:rFonts w:cs="Times New Roman"/>
          <w:szCs w:val="24"/>
        </w:rPr>
        <w:t xml:space="preserve">de forma acessível e previsível, </w:t>
      </w:r>
      <w:r w:rsidR="00080EBE" w:rsidRPr="001A045F">
        <w:rPr>
          <w:rFonts w:cs="Times New Roman"/>
          <w:szCs w:val="24"/>
        </w:rPr>
        <w:t>de modo que não se poderia afirmar que a institucionalização é estranha ao o</w:t>
      </w:r>
      <w:r w:rsidR="00AD1B5C">
        <w:rPr>
          <w:rFonts w:cs="Times New Roman"/>
          <w:szCs w:val="24"/>
        </w:rPr>
        <w:t xml:space="preserve">rdenamento jurídico de Exclutia; </w:t>
      </w:r>
      <w:r w:rsidR="00080EBE">
        <w:rPr>
          <w:rFonts w:cs="Times New Roman"/>
          <w:szCs w:val="24"/>
        </w:rPr>
        <w:t xml:space="preserve">ii) </w:t>
      </w:r>
      <w:r w:rsidR="00080EBE" w:rsidRPr="00056F8A">
        <w:rPr>
          <w:rFonts w:cs="Times New Roman"/>
          <w:szCs w:val="24"/>
          <w:u w:val="single"/>
        </w:rPr>
        <w:t>perseguiu fim legítimo</w:t>
      </w:r>
      <w:r w:rsidR="00080EBE">
        <w:rPr>
          <w:rFonts w:cs="Times New Roman"/>
          <w:szCs w:val="24"/>
        </w:rPr>
        <w:t>, pois a</w:t>
      </w:r>
      <w:r w:rsidR="00080EBE" w:rsidRPr="001A045F">
        <w:rPr>
          <w:rFonts w:cs="Times New Roman"/>
          <w:szCs w:val="24"/>
        </w:rPr>
        <w:t xml:space="preserve"> transferência de Cristal a La Casita </w:t>
      </w:r>
      <w:r w:rsidR="00080EBE">
        <w:rPr>
          <w:rFonts w:cs="Times New Roman"/>
          <w:szCs w:val="24"/>
        </w:rPr>
        <w:t>visava</w:t>
      </w:r>
      <w:r w:rsidR="00080EBE" w:rsidRPr="001A045F">
        <w:rPr>
          <w:rFonts w:cs="Times New Roman"/>
          <w:szCs w:val="24"/>
        </w:rPr>
        <w:t xml:space="preserve"> preservar sua vida e sua saúde. Cristal encontrava-se na rua, sem condições de higiene, saúde ou segurança – situação de vulnerabilidade agravada por sua condição de mulher com deficiência mental e sensorial. Em caso similar, a CtEDH considerou que, tendo em vista a qualidade de vida da vítima, a transferência dela para uma instituição foi adequada por ter sido feita no seu próprio interesse</w:t>
      </w:r>
      <w:r w:rsidR="00080EBE" w:rsidRPr="001A045F">
        <w:rPr>
          <w:rStyle w:val="FootnoteReference"/>
          <w:rFonts w:cs="Times New Roman"/>
          <w:szCs w:val="24"/>
        </w:rPr>
        <w:footnoteReference w:id="38"/>
      </w:r>
      <w:r w:rsidR="0024563E">
        <w:rPr>
          <w:rFonts w:cs="Times New Roman"/>
          <w:szCs w:val="24"/>
        </w:rPr>
        <w:t>;</w:t>
      </w:r>
    </w:p>
    <w:p w:rsidR="00162B00" w:rsidRPr="001A045F" w:rsidRDefault="00162B00" w:rsidP="001A045F">
      <w:pPr>
        <w:rPr>
          <w:rStyle w:val="BookTitle"/>
          <w:rFonts w:cs="Times New Roman"/>
          <w:b w:val="0"/>
          <w:bCs w:val="0"/>
          <w:smallCaps w:val="0"/>
          <w:spacing w:val="0"/>
          <w:szCs w:val="24"/>
        </w:rPr>
      </w:pPr>
      <w:r w:rsidRPr="001A045F">
        <w:rPr>
          <w:rFonts w:cs="Times New Roman"/>
          <w:szCs w:val="24"/>
        </w:rPr>
        <w:lastRenderedPageBreak/>
        <w:t xml:space="preserve">iii) </w:t>
      </w:r>
      <w:r w:rsidRPr="00056F8A">
        <w:rPr>
          <w:rFonts w:cs="Times New Roman"/>
          <w:szCs w:val="24"/>
          <w:u w:val="single"/>
        </w:rPr>
        <w:t>cumpriu os requisitos de idoneidade, necessidade e proporcionalidade</w:t>
      </w:r>
      <w:r w:rsidRPr="001A045F">
        <w:rPr>
          <w:rStyle w:val="FootnoteReference"/>
          <w:rFonts w:cs="Times New Roman"/>
          <w:szCs w:val="24"/>
        </w:rPr>
        <w:footnoteReference w:id="39"/>
      </w:r>
      <w:r w:rsidRPr="001A045F">
        <w:rPr>
          <w:rFonts w:cs="Times New Roman"/>
          <w:szCs w:val="24"/>
        </w:rPr>
        <w:t xml:space="preserve">. </w:t>
      </w:r>
      <w:r w:rsidR="00823424">
        <w:rPr>
          <w:rFonts w:cs="Times New Roman"/>
          <w:szCs w:val="24"/>
        </w:rPr>
        <w:t>A medida foi i</w:t>
      </w:r>
      <w:r w:rsidRPr="001A045F">
        <w:rPr>
          <w:rFonts w:cs="Times New Roman"/>
          <w:szCs w:val="24"/>
        </w:rPr>
        <w:t xml:space="preserve">dônea, pois forneceu moradia, alimentação e tratamento adequados. Nada indica que o tratamento ministrado a Cristal fosse inadequado – pelo contrário, após uma semana em hospital distinto, foi estabelecido que ela deveria voltar a La Casita. Necessária, pois absolutamente indispensável para proteger </w:t>
      </w:r>
      <w:r w:rsidR="00225276">
        <w:rPr>
          <w:rFonts w:cs="Times New Roman"/>
          <w:szCs w:val="24"/>
        </w:rPr>
        <w:t>su</w:t>
      </w:r>
      <w:r w:rsidRPr="001A045F">
        <w:rPr>
          <w:rFonts w:cs="Times New Roman"/>
          <w:szCs w:val="24"/>
        </w:rPr>
        <w:t>a vida e saúde. A internação era a opção menos gravosa a disposição do Estado</w:t>
      </w:r>
      <w:r w:rsidR="0024563E">
        <w:rPr>
          <w:rFonts w:cs="Times New Roman"/>
          <w:szCs w:val="24"/>
        </w:rPr>
        <w:t>, já que a</w:t>
      </w:r>
      <w:r w:rsidRPr="001A045F">
        <w:rPr>
          <w:rFonts w:cs="Times New Roman"/>
          <w:szCs w:val="24"/>
        </w:rPr>
        <w:t xml:space="preserve"> inclusão de Cristal em outro tipo de política pública seria insuficiente, visto que o acompanhamento seria incompleto. Proporc</w:t>
      </w:r>
      <w:r w:rsidR="00225276">
        <w:rPr>
          <w:rFonts w:cs="Times New Roman"/>
          <w:szCs w:val="24"/>
        </w:rPr>
        <w:t>ional, pois o bem alcançado – a</w:t>
      </w:r>
      <w:r w:rsidRPr="001A045F">
        <w:rPr>
          <w:rFonts w:cs="Times New Roman"/>
          <w:szCs w:val="24"/>
        </w:rPr>
        <w:t xml:space="preserve"> preservação da saúde e vida de Cristal – é suficientemente forte para justificar a internação. Ressalte-se que se trata de uma instituição em que há liberdade de movimento, contato constante com pessoas na mesma situação e condições adequadas de tratamento.</w:t>
      </w:r>
    </w:p>
    <w:p w:rsidR="00517718" w:rsidRDefault="00517718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A institucionalização de Cristal não violou 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rt. 25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da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CADH</w:t>
      </w:r>
    </w:p>
    <w:p w:rsidR="008F12CD" w:rsidRPr="001A045F" w:rsidRDefault="008F12CD" w:rsidP="001A045F">
      <w:pPr>
        <w:rPr>
          <w:rStyle w:val="BookTitle"/>
          <w:rFonts w:cs="Times New Roman"/>
          <w:b w:val="0"/>
          <w:bCs w:val="0"/>
          <w:smallCaps w:val="0"/>
          <w:spacing w:val="0"/>
          <w:szCs w:val="24"/>
        </w:rPr>
      </w:pPr>
      <w:r w:rsidRPr="001A045F">
        <w:rPr>
          <w:rFonts w:cs="Times New Roman"/>
          <w:szCs w:val="24"/>
        </w:rPr>
        <w:t>O artigo 25 da CADH promove o direito à ampla proteção judicial, na medida em que exige o “direito a um recurso simples e rápido ou a qualquer outro recurso efetivo”, materializado na exigência de recurso de amparo ou ação similar</w:t>
      </w:r>
      <w:r w:rsidRPr="001A045F">
        <w:rPr>
          <w:rStyle w:val="FootnoteReference"/>
          <w:rFonts w:cs="Times New Roman"/>
          <w:szCs w:val="24"/>
        </w:rPr>
        <w:footnoteReference w:id="40"/>
      </w:r>
      <w:r w:rsidRPr="001A045F">
        <w:rPr>
          <w:rFonts w:cs="Times New Roman"/>
          <w:szCs w:val="24"/>
        </w:rPr>
        <w:t>.</w:t>
      </w:r>
      <w:r w:rsidR="00056F8A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 xml:space="preserve">O </w:t>
      </w:r>
      <w:r w:rsidR="00311864">
        <w:rPr>
          <w:rFonts w:cs="Times New Roman"/>
          <w:szCs w:val="24"/>
        </w:rPr>
        <w:t>HC</w:t>
      </w:r>
      <w:r w:rsidR="00056F8A">
        <w:rPr>
          <w:rFonts w:cs="Times New Roman"/>
          <w:szCs w:val="24"/>
        </w:rPr>
        <w:t xml:space="preserve"> representa, dentre </w:t>
      </w:r>
      <w:r w:rsidRPr="001A045F">
        <w:rPr>
          <w:rFonts w:cs="Times New Roman"/>
          <w:szCs w:val="24"/>
        </w:rPr>
        <w:t>as garantias judiciais indispensáveis, o meio idôneo para garantir a liberdade e controlar o respeito a vida e a integridade da pessoa</w:t>
      </w:r>
      <w:r w:rsidRPr="001A045F">
        <w:rPr>
          <w:rStyle w:val="FootnoteReference"/>
          <w:rFonts w:cs="Times New Roman"/>
          <w:szCs w:val="24"/>
        </w:rPr>
        <w:footnoteReference w:id="41"/>
      </w:r>
      <w:r w:rsidRPr="001A045F">
        <w:rPr>
          <w:rFonts w:cs="Times New Roman"/>
          <w:szCs w:val="24"/>
        </w:rPr>
        <w:t xml:space="preserve">. Além de ser uma garantia para pessoas em situação de detenção, o recurso de </w:t>
      </w:r>
      <w:r w:rsidR="00311864">
        <w:rPr>
          <w:rFonts w:cs="Times New Roman"/>
          <w:szCs w:val="24"/>
        </w:rPr>
        <w:t>HC</w:t>
      </w:r>
      <w:r w:rsidRPr="001A045F">
        <w:rPr>
          <w:rFonts w:cs="Times New Roman"/>
          <w:szCs w:val="24"/>
        </w:rPr>
        <w:t xml:space="preserve"> está disponível também para indivíduos que desejem questionar situações de mera restrição de movimento</w:t>
      </w:r>
      <w:r w:rsidRPr="001A045F">
        <w:rPr>
          <w:rStyle w:val="FootnoteReference"/>
          <w:rFonts w:cs="Times New Roman"/>
          <w:szCs w:val="24"/>
        </w:rPr>
        <w:footnoteReference w:id="42"/>
      </w:r>
      <w:r w:rsidRPr="001A045F">
        <w:rPr>
          <w:rFonts w:cs="Times New Roman"/>
          <w:szCs w:val="24"/>
        </w:rPr>
        <w:t>. A legislação de Exclutia prevê tal recurso, sendo que qualquer</w:t>
      </w:r>
      <w:r w:rsidR="00056F8A">
        <w:rPr>
          <w:rFonts w:cs="Times New Roman"/>
          <w:szCs w:val="24"/>
        </w:rPr>
        <w:t xml:space="preserve"> pessoa é legitima</w:t>
      </w:r>
      <w:r w:rsidRPr="001A045F">
        <w:rPr>
          <w:rFonts w:cs="Times New Roman"/>
          <w:szCs w:val="24"/>
        </w:rPr>
        <w:t xml:space="preserve"> para </w:t>
      </w:r>
      <w:r w:rsidR="00056F8A">
        <w:rPr>
          <w:rFonts w:cs="Times New Roman"/>
          <w:szCs w:val="24"/>
        </w:rPr>
        <w:t>propô-lo</w:t>
      </w:r>
      <w:r w:rsidRPr="001A045F">
        <w:rPr>
          <w:rStyle w:val="FootnoteReference"/>
          <w:rFonts w:cs="Times New Roman"/>
          <w:szCs w:val="24"/>
        </w:rPr>
        <w:footnoteReference w:id="43"/>
      </w:r>
      <w:r w:rsidRPr="001A045F">
        <w:rPr>
          <w:rFonts w:cs="Times New Roman"/>
          <w:szCs w:val="24"/>
        </w:rPr>
        <w:t xml:space="preserve">. Portanto, o ordenamento de Exclutia disponibiliza recurso adequado para que se questione a permanência de Cristal em La Casita, caso ela ou seus representantes desejem fazê-lo. </w:t>
      </w:r>
      <w:r w:rsidRPr="001A045F">
        <w:rPr>
          <w:rFonts w:cs="Times New Roman"/>
          <w:szCs w:val="24"/>
        </w:rPr>
        <w:lastRenderedPageBreak/>
        <w:t xml:space="preserve">O </w:t>
      </w:r>
      <w:r w:rsidR="00311864">
        <w:rPr>
          <w:rFonts w:cs="Times New Roman"/>
          <w:szCs w:val="24"/>
        </w:rPr>
        <w:t>HC</w:t>
      </w:r>
      <w:r w:rsidRPr="001A045F">
        <w:rPr>
          <w:rFonts w:cs="Times New Roman"/>
          <w:szCs w:val="24"/>
        </w:rPr>
        <w:t xml:space="preserve"> é, por natureza, simples e rápido, e esteve disponível durante todo o período da estada da suposta vítima na instituição.</w:t>
      </w:r>
    </w:p>
    <w:p w:rsidR="00517718" w:rsidRPr="0075476C" w:rsidRDefault="00517718" w:rsidP="005D7B0D">
      <w:pPr>
        <w:pStyle w:val="ListParagraph"/>
        <w:numPr>
          <w:ilvl w:val="2"/>
          <w:numId w:val="2"/>
        </w:numPr>
        <w:tabs>
          <w:tab w:val="left" w:pos="1418"/>
        </w:tabs>
        <w:spacing w:line="480" w:lineRule="auto"/>
        <w:ind w:left="0" w:firstLine="0"/>
        <w:outlineLvl w:val="2"/>
        <w:rPr>
          <w:rStyle w:val="BookTitle"/>
          <w:rFonts w:cs="Times New Roman"/>
          <w:smallCaps w:val="0"/>
          <w:spacing w:val="0"/>
          <w:sz w:val="24"/>
          <w:szCs w:val="24"/>
        </w:rPr>
      </w:pPr>
      <w:bookmarkStart w:id="17" w:name="_Toc383464276"/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A vida em La Casita</w:t>
      </w:r>
      <w:bookmarkEnd w:id="17"/>
    </w:p>
    <w:p w:rsidR="00517718" w:rsidRDefault="00517718" w:rsidP="00811CD6">
      <w:pPr>
        <w:pStyle w:val="ListParagraph"/>
        <w:numPr>
          <w:ilvl w:val="3"/>
          <w:numId w:val="2"/>
        </w:numPr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As condições de vida em La Casita não violam 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rt. 5º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da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CADH</w:t>
      </w:r>
    </w:p>
    <w:p w:rsidR="008F12CD" w:rsidRPr="001A045F" w:rsidRDefault="008F12CD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As condições de habitação, higiene e alimentação em La Casita não consistem em violações da CADH, pois não atingem os parâmetros desenvolvidos pela CtIDH para que se estabeleça uma violação do direito a integridade pessoal protegido pelo artigo 5°.</w:t>
      </w:r>
    </w:p>
    <w:p w:rsidR="008F12CD" w:rsidRPr="001A045F" w:rsidRDefault="005910EE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8F12CD" w:rsidRPr="001A045F">
        <w:rPr>
          <w:rFonts w:cs="Times New Roman"/>
          <w:szCs w:val="24"/>
        </w:rPr>
        <w:t xml:space="preserve"> Estado se encontra em uma posição especial de garante quando autoridades estatais exercem controle sobre pessoas sujeitas a custódia</w:t>
      </w:r>
      <w:r w:rsidR="008F12CD" w:rsidRPr="001A045F">
        <w:rPr>
          <w:rStyle w:val="FootnoteReference"/>
          <w:rFonts w:cs="Times New Roman"/>
          <w:szCs w:val="24"/>
          <w:lang w:val="es-ES"/>
        </w:rPr>
        <w:footnoteReference w:id="44"/>
      </w:r>
      <w:r w:rsidR="008F12CD" w:rsidRPr="001A045F">
        <w:rPr>
          <w:rFonts w:cs="Times New Roman"/>
          <w:szCs w:val="24"/>
        </w:rPr>
        <w:t>. Embora La Casita não seja uma instituição de detenção, o Estado considera t</w:t>
      </w:r>
      <w:r w:rsidR="00AD1B5C">
        <w:rPr>
          <w:rFonts w:cs="Times New Roman"/>
          <w:szCs w:val="24"/>
        </w:rPr>
        <w:t>er dever de garante, pois</w:t>
      </w:r>
      <w:r w:rsidR="008F12CD" w:rsidRPr="001A045F">
        <w:rPr>
          <w:rFonts w:cs="Times New Roman"/>
          <w:szCs w:val="24"/>
        </w:rPr>
        <w:t xml:space="preserve"> </w:t>
      </w:r>
      <w:r w:rsidR="002355DB">
        <w:rPr>
          <w:rFonts w:cs="Times New Roman"/>
          <w:szCs w:val="24"/>
        </w:rPr>
        <w:t>os residentes</w:t>
      </w:r>
      <w:r w:rsidR="00AD1B5C">
        <w:rPr>
          <w:rFonts w:cs="Times New Roman"/>
          <w:szCs w:val="24"/>
        </w:rPr>
        <w:t xml:space="preserve"> estão sob seus cuidado</w:t>
      </w:r>
      <w:r w:rsidR="0024563E">
        <w:rPr>
          <w:rFonts w:cs="Times New Roman"/>
          <w:szCs w:val="24"/>
        </w:rPr>
        <w:t>s</w:t>
      </w:r>
      <w:r w:rsidR="008F12CD" w:rsidRPr="001A045F">
        <w:rPr>
          <w:rFonts w:cs="Times New Roman"/>
          <w:szCs w:val="24"/>
        </w:rPr>
        <w:t>. Por isso, dispõe de terapeutas e assistente sociais e segue parâmetros internacionais em relaç</w:t>
      </w:r>
      <w:r w:rsidR="00AD1B5C">
        <w:rPr>
          <w:rFonts w:cs="Times New Roman"/>
          <w:szCs w:val="24"/>
        </w:rPr>
        <w:t>ão à institucionalização: na</w:t>
      </w:r>
      <w:r w:rsidR="008F12CD" w:rsidRPr="001A045F">
        <w:rPr>
          <w:rFonts w:cs="Times New Roman"/>
          <w:szCs w:val="24"/>
        </w:rPr>
        <w:t xml:space="preserve"> admissão, separa indivíduos conforme suas necessidades de cuidado, registra os residentes, realiza exame médico e fornece informações a </w:t>
      </w:r>
      <w:r>
        <w:rPr>
          <w:rFonts w:cs="Times New Roman"/>
          <w:szCs w:val="24"/>
        </w:rPr>
        <w:t>possíveis</w:t>
      </w:r>
      <w:r w:rsidR="008F12CD" w:rsidRPr="001A045F">
        <w:rPr>
          <w:rFonts w:cs="Times New Roman"/>
          <w:szCs w:val="24"/>
        </w:rPr>
        <w:t xml:space="preserve"> interessados</w:t>
      </w:r>
      <w:r w:rsidR="008F12CD" w:rsidRPr="001A045F">
        <w:rPr>
          <w:rStyle w:val="FootnoteReference"/>
          <w:rFonts w:cs="Times New Roman"/>
          <w:szCs w:val="24"/>
        </w:rPr>
        <w:footnoteReference w:id="45"/>
      </w:r>
      <w:r w:rsidR="008F12CD" w:rsidRPr="001A045F">
        <w:rPr>
          <w:rFonts w:cs="Times New Roman"/>
          <w:szCs w:val="24"/>
        </w:rPr>
        <w:t>.</w:t>
      </w:r>
    </w:p>
    <w:p w:rsidR="008F12CD" w:rsidRPr="001A045F" w:rsidRDefault="005910EE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8F12CD" w:rsidRPr="001A045F">
        <w:rPr>
          <w:rFonts w:cs="Times New Roman"/>
          <w:szCs w:val="24"/>
        </w:rPr>
        <w:t xml:space="preserve"> CtIDH já considerou que más condições de detenção podem ser em si violatórias do artigo 5°, dependendo de sua intensidade e duração, uma vez que podem causar sofrimento e sentimentos de humilhação e inferioridade</w:t>
      </w:r>
      <w:r w:rsidR="008F12CD" w:rsidRPr="001A045F">
        <w:rPr>
          <w:rStyle w:val="FootnoteReference"/>
          <w:rFonts w:cs="Times New Roman"/>
          <w:szCs w:val="24"/>
          <w:lang w:val="es-ES"/>
        </w:rPr>
        <w:footnoteReference w:id="46"/>
      </w:r>
      <w:r w:rsidR="008F12CD" w:rsidRPr="001A045F">
        <w:rPr>
          <w:rFonts w:cs="Times New Roman"/>
          <w:szCs w:val="24"/>
        </w:rPr>
        <w:t>. Condições que foram consideradas como violatórias incluem a ausência de banheiros, de iluminação e de ventilação</w:t>
      </w:r>
      <w:r w:rsidR="008F12CD" w:rsidRPr="001A045F">
        <w:rPr>
          <w:rStyle w:val="FootnoteReference"/>
          <w:rFonts w:cs="Times New Roman"/>
          <w:szCs w:val="24"/>
          <w:lang w:val="es-ES"/>
        </w:rPr>
        <w:footnoteReference w:id="47"/>
      </w:r>
      <w:r w:rsidR="008F12CD" w:rsidRPr="001A045F">
        <w:rPr>
          <w:rFonts w:cs="Times New Roman"/>
          <w:szCs w:val="24"/>
        </w:rPr>
        <w:t>. Embora à época da admissão de Cristal La Casita tivesse problemas como o fornecimento de roupas em tamanho inadequado, estas limitações não causam sofrimento excessivo ou humilhação constante, de modo que não constituem violação do artigo 5°, ainda que se considere o dever especial de garante.</w:t>
      </w:r>
    </w:p>
    <w:p w:rsidR="008F12CD" w:rsidRPr="001A045F" w:rsidRDefault="008F12CD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lastRenderedPageBreak/>
        <w:t>Em relação à falta de água, a CtIDH já determinou que ela pode dar causa a violações do artigo 5°</w:t>
      </w:r>
      <w:r w:rsidRPr="001A045F">
        <w:rPr>
          <w:rStyle w:val="FootnoteReference"/>
          <w:rFonts w:cs="Times New Roman"/>
          <w:szCs w:val="24"/>
          <w:lang w:val="es-ES"/>
        </w:rPr>
        <w:footnoteReference w:id="48"/>
      </w:r>
      <w:r w:rsidR="00056F8A">
        <w:rPr>
          <w:rFonts w:cs="Times New Roman"/>
          <w:szCs w:val="24"/>
        </w:rPr>
        <w:t>. Porém</w:t>
      </w:r>
      <w:r w:rsidRPr="001A045F">
        <w:rPr>
          <w:rFonts w:cs="Times New Roman"/>
          <w:szCs w:val="24"/>
        </w:rPr>
        <w:t>, o fez em um contexto em que a falta de água se prolongou por semanas – e quando havia água, esta era de má qualidade, causando desidratação e diarreia. Diferentemente, em</w:t>
      </w:r>
      <w:r w:rsidR="00056F8A">
        <w:rPr>
          <w:rFonts w:cs="Times New Roman"/>
          <w:szCs w:val="24"/>
        </w:rPr>
        <w:t xml:space="preserve"> La Casita se está diante de</w:t>
      </w:r>
      <w:r w:rsidRPr="001A045F">
        <w:rPr>
          <w:rFonts w:cs="Times New Roman"/>
          <w:szCs w:val="24"/>
        </w:rPr>
        <w:t xml:space="preserve"> restrição de poucas horas, previamente comunicada, que não causa danos à saúde.</w:t>
      </w:r>
      <w:r w:rsidR="00056F8A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 xml:space="preserve">De maneira similar, o direito </w:t>
      </w:r>
      <w:r w:rsidR="00106B01">
        <w:rPr>
          <w:rFonts w:cs="Times New Roman"/>
          <w:szCs w:val="24"/>
        </w:rPr>
        <w:t>à</w:t>
      </w:r>
      <w:r w:rsidRPr="001A045F">
        <w:rPr>
          <w:rFonts w:cs="Times New Roman"/>
          <w:szCs w:val="24"/>
        </w:rPr>
        <w:t xml:space="preserve"> alimentação saudável é previsto pelo </w:t>
      </w:r>
      <w:r w:rsidR="00056F8A">
        <w:rPr>
          <w:rFonts w:cs="Times New Roman"/>
          <w:szCs w:val="24"/>
        </w:rPr>
        <w:t>PSS</w:t>
      </w:r>
      <w:r w:rsidRPr="001A045F">
        <w:rPr>
          <w:rStyle w:val="FootnoteReference"/>
          <w:rFonts w:cs="Times New Roman"/>
          <w:szCs w:val="24"/>
        </w:rPr>
        <w:footnoteReference w:id="49"/>
      </w:r>
      <w:r w:rsidRPr="001A045F">
        <w:rPr>
          <w:rFonts w:cs="Times New Roman"/>
          <w:szCs w:val="24"/>
        </w:rPr>
        <w:t>. Entretanto, este artigo não é justiciável</w:t>
      </w:r>
      <w:r w:rsidRPr="001A045F">
        <w:rPr>
          <w:rStyle w:val="FootnoteReference"/>
          <w:rFonts w:cs="Times New Roman"/>
          <w:szCs w:val="24"/>
        </w:rPr>
        <w:footnoteReference w:id="50"/>
      </w:r>
      <w:r w:rsidRPr="001A045F">
        <w:rPr>
          <w:rFonts w:cs="Times New Roman"/>
          <w:szCs w:val="24"/>
        </w:rPr>
        <w:t xml:space="preserve">. Por </w:t>
      </w:r>
      <w:r w:rsidR="00056F8A">
        <w:rPr>
          <w:rFonts w:cs="Times New Roman"/>
          <w:szCs w:val="24"/>
        </w:rPr>
        <w:t>iss</w:t>
      </w:r>
      <w:r w:rsidRPr="001A045F">
        <w:rPr>
          <w:rFonts w:cs="Times New Roman"/>
          <w:szCs w:val="24"/>
        </w:rPr>
        <w:t>o, esta Corte só teria competência para analisar eventual inadequação dos alimentos caso houvesse danos à integridade dos residentes</w:t>
      </w:r>
      <w:r w:rsidR="005910EE">
        <w:rPr>
          <w:rFonts w:cs="Times New Roman"/>
          <w:szCs w:val="24"/>
        </w:rPr>
        <w:t>, o que não ocorreu</w:t>
      </w:r>
      <w:r w:rsidRPr="001A045F">
        <w:rPr>
          <w:rFonts w:cs="Times New Roman"/>
          <w:szCs w:val="24"/>
        </w:rPr>
        <w:t>.</w:t>
      </w:r>
    </w:p>
    <w:p w:rsidR="00517718" w:rsidRDefault="008F12CD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>
        <w:rPr>
          <w:rStyle w:val="BookTitle"/>
          <w:rFonts w:cs="Times New Roman"/>
          <w:smallCaps w:val="0"/>
          <w:spacing w:val="0"/>
          <w:sz w:val="24"/>
          <w:szCs w:val="24"/>
        </w:rPr>
        <w:t>O tratamento de Cristal em La Casita</w:t>
      </w:r>
      <w:r w:rsidR="00517718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não v</w:t>
      </w:r>
      <w:r>
        <w:rPr>
          <w:rStyle w:val="BookTitle"/>
          <w:rFonts w:cs="Times New Roman"/>
          <w:smallCaps w:val="0"/>
          <w:spacing w:val="0"/>
          <w:sz w:val="24"/>
          <w:szCs w:val="24"/>
        </w:rPr>
        <w:t>iola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="00517718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rt. 11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da</w:t>
      </w:r>
      <w:r w:rsidR="00517718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CADH</w:t>
      </w:r>
    </w:p>
    <w:p w:rsidR="008F12CD" w:rsidRPr="001A045F" w:rsidRDefault="004F695B" w:rsidP="001A045F">
      <w:pPr>
        <w:rPr>
          <w:rFonts w:cs="Times New Roman"/>
          <w:szCs w:val="24"/>
        </w:rPr>
      </w:pPr>
      <w:r w:rsidRPr="004F695B">
        <w:rPr>
          <w:rFonts w:cs="Times New Roman"/>
          <w:szCs w:val="24"/>
        </w:rPr>
        <w:t>Em relação a tratamentos médicos, a CtIDH determinou que a capacidade de se autodeterminar relaciona o escopo de proteção dos artigos 5°, 7° e 11 da CADH</w:t>
      </w:r>
      <w:r w:rsidRPr="00FB317F">
        <w:rPr>
          <w:rFonts w:cs="Times New Roman"/>
          <w:szCs w:val="24"/>
          <w:vertAlign w:val="superscript"/>
        </w:rPr>
        <w:footnoteReference w:id="51"/>
      </w:r>
      <w:r w:rsidRPr="004F695B">
        <w:rPr>
          <w:rFonts w:cs="Times New Roman"/>
          <w:szCs w:val="24"/>
        </w:rPr>
        <w:t>. Logo, sua análise será feita de forma conjunta.</w:t>
      </w:r>
      <w:r w:rsidR="00F22535">
        <w:rPr>
          <w:rFonts w:cs="Times New Roman"/>
          <w:szCs w:val="24"/>
        </w:rPr>
        <w:t xml:space="preserve"> </w:t>
      </w:r>
      <w:r w:rsidR="008F12CD" w:rsidRPr="001A045F">
        <w:rPr>
          <w:rFonts w:cs="Times New Roman"/>
          <w:szCs w:val="24"/>
        </w:rPr>
        <w:t>O Estado não disputa</w:t>
      </w:r>
      <w:r w:rsidR="00F22535">
        <w:rPr>
          <w:rFonts w:cs="Times New Roman"/>
          <w:szCs w:val="24"/>
        </w:rPr>
        <w:t xml:space="preserve"> que houve uma interferência n</w:t>
      </w:r>
      <w:r w:rsidR="008F12CD" w:rsidRPr="001A045F">
        <w:rPr>
          <w:rFonts w:cs="Times New Roman"/>
          <w:szCs w:val="24"/>
        </w:rPr>
        <w:t xml:space="preserve">o direito de autodeterminação </w:t>
      </w:r>
      <w:r w:rsidR="00F22535">
        <w:rPr>
          <w:rFonts w:cs="Times New Roman"/>
          <w:szCs w:val="24"/>
        </w:rPr>
        <w:t>de Cristal,</w:t>
      </w:r>
      <w:r w:rsidR="00F22535" w:rsidRPr="00F22535">
        <w:rPr>
          <w:rFonts w:cs="Times New Roman"/>
          <w:szCs w:val="24"/>
        </w:rPr>
        <w:t xml:space="preserve"> </w:t>
      </w:r>
      <w:r w:rsidR="00F22535" w:rsidRPr="001A045F">
        <w:rPr>
          <w:rFonts w:cs="Times New Roman"/>
          <w:szCs w:val="24"/>
        </w:rPr>
        <w:t>já que decisões relativas ao tratamento foram tomadas sem ap</w:t>
      </w:r>
      <w:r w:rsidR="00F22535">
        <w:rPr>
          <w:rFonts w:cs="Times New Roman"/>
          <w:szCs w:val="24"/>
        </w:rPr>
        <w:t>arente participação da paciente</w:t>
      </w:r>
      <w:r w:rsidR="008F12CD" w:rsidRPr="001A045F">
        <w:rPr>
          <w:rFonts w:cs="Times New Roman"/>
          <w:szCs w:val="24"/>
        </w:rPr>
        <w:t>. Porém, este direito não é absoluto: ele pode ser restringido desde que dita intervenção não seja arbitrária</w:t>
      </w:r>
      <w:r w:rsidR="008F12CD" w:rsidRPr="001A045F">
        <w:rPr>
          <w:rFonts w:cs="Times New Roman"/>
          <w:szCs w:val="24"/>
          <w:vertAlign w:val="superscript"/>
        </w:rPr>
        <w:footnoteReference w:id="52"/>
      </w:r>
      <w:r w:rsidR="008F12CD" w:rsidRPr="001A045F">
        <w:rPr>
          <w:rFonts w:cs="Times New Roman"/>
          <w:szCs w:val="24"/>
        </w:rPr>
        <w:t xml:space="preserve">. Para tanto, a restrição deve </w:t>
      </w:r>
      <w:r w:rsidR="005910EE">
        <w:rPr>
          <w:rFonts w:cs="Times New Roman"/>
          <w:szCs w:val="24"/>
        </w:rPr>
        <w:t xml:space="preserve">cumpri as seguintes </w:t>
      </w:r>
      <w:r w:rsidR="008F12CD" w:rsidRPr="001A045F">
        <w:rPr>
          <w:rFonts w:cs="Times New Roman"/>
          <w:szCs w:val="24"/>
        </w:rPr>
        <w:t>exigências:</w:t>
      </w:r>
    </w:p>
    <w:p w:rsidR="008F12CD" w:rsidRPr="001A045F" w:rsidRDefault="008F12CD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i) </w:t>
      </w:r>
      <w:r w:rsidRPr="001A045F">
        <w:rPr>
          <w:rFonts w:cs="Times New Roman"/>
          <w:szCs w:val="24"/>
          <w:u w:val="single"/>
        </w:rPr>
        <w:t>Previsão em lei.</w:t>
      </w:r>
      <w:r w:rsidRPr="001A045F">
        <w:rPr>
          <w:rFonts w:cs="Times New Roman"/>
          <w:szCs w:val="24"/>
        </w:rPr>
        <w:t xml:space="preserve"> A possibilidade de que decisões refer</w:t>
      </w:r>
      <w:r w:rsidR="00F22535">
        <w:rPr>
          <w:rFonts w:cs="Times New Roman"/>
          <w:szCs w:val="24"/>
        </w:rPr>
        <w:t>entes a pessoas com deficiência</w:t>
      </w:r>
      <w:r w:rsidRPr="001A045F">
        <w:rPr>
          <w:rFonts w:cs="Times New Roman"/>
          <w:szCs w:val="24"/>
        </w:rPr>
        <w:t xml:space="preserve"> sejam tomadas por seu representante legal está devidamente regulada pelo </w:t>
      </w:r>
      <w:r w:rsidR="00906054">
        <w:rPr>
          <w:rFonts w:cs="Times New Roman"/>
          <w:szCs w:val="24"/>
        </w:rPr>
        <w:t>CC</w:t>
      </w:r>
      <w:r w:rsidRPr="001A045F">
        <w:rPr>
          <w:rFonts w:cs="Times New Roman"/>
          <w:szCs w:val="24"/>
        </w:rPr>
        <w:t>. Na esfera internacional, há previsão específica sobre a tomada de decisões referentes a tratamento de pessoas com deficiência. Processos de tratamento são orientados pelo conceito de consentimento informado</w:t>
      </w:r>
      <w:r w:rsidR="006A576E">
        <w:rPr>
          <w:rFonts w:cs="Times New Roman"/>
          <w:szCs w:val="24"/>
        </w:rPr>
        <w:t xml:space="preserve"> </w:t>
      </w:r>
      <w:r w:rsidR="004863E5">
        <w:rPr>
          <w:rFonts w:cs="Times New Roman"/>
          <w:szCs w:val="24"/>
        </w:rPr>
        <w:t>que</w:t>
      </w:r>
      <w:r w:rsidRPr="001A045F">
        <w:rPr>
          <w:rFonts w:cs="Times New Roman"/>
          <w:szCs w:val="24"/>
          <w:vertAlign w:val="superscript"/>
        </w:rPr>
        <w:footnoteReference w:id="53"/>
      </w:r>
      <w:r w:rsidR="004863E5">
        <w:rPr>
          <w:rFonts w:cs="Times New Roman"/>
          <w:szCs w:val="24"/>
        </w:rPr>
        <w:t>, n</w:t>
      </w:r>
      <w:r w:rsidRPr="001A045F">
        <w:rPr>
          <w:rFonts w:cs="Times New Roman"/>
          <w:szCs w:val="24"/>
        </w:rPr>
        <w:t>o caso de pessoas que não gozam de capacidade devido a deficiência mental, deve ser d</w:t>
      </w:r>
      <w:r w:rsidR="00F22535">
        <w:rPr>
          <w:rFonts w:cs="Times New Roman"/>
          <w:szCs w:val="24"/>
        </w:rPr>
        <w:t xml:space="preserve">ado </w:t>
      </w:r>
      <w:r w:rsidR="00F22535">
        <w:rPr>
          <w:rFonts w:cs="Times New Roman"/>
          <w:szCs w:val="24"/>
        </w:rPr>
        <w:lastRenderedPageBreak/>
        <w:t>por seu representante legal</w:t>
      </w:r>
      <w:r w:rsidRPr="001A045F">
        <w:rPr>
          <w:rFonts w:cs="Times New Roman"/>
          <w:szCs w:val="24"/>
        </w:rPr>
        <w:t>.</w:t>
      </w:r>
      <w:r w:rsidRPr="001A045F">
        <w:rPr>
          <w:rFonts w:cs="Times New Roman"/>
          <w:szCs w:val="24"/>
          <w:vertAlign w:val="superscript"/>
        </w:rPr>
        <w:footnoteReference w:id="54"/>
      </w:r>
      <w:r w:rsidRPr="001A045F">
        <w:rPr>
          <w:rFonts w:cs="Times New Roman"/>
          <w:szCs w:val="24"/>
        </w:rPr>
        <w:t xml:space="preserve"> A Dra Lira, curadora de Cristal, é diretora de La Casita. Portanto, as incumbências tradicionais de um curador em relação ao tratamento do curatelado (que envolvem informação e autorização) foram acrescidas </w:t>
      </w:r>
      <w:r w:rsidR="00F22535">
        <w:rPr>
          <w:rFonts w:cs="Times New Roman"/>
          <w:szCs w:val="24"/>
        </w:rPr>
        <w:t xml:space="preserve">ainda </w:t>
      </w:r>
      <w:r w:rsidRPr="001A045F">
        <w:rPr>
          <w:rFonts w:cs="Times New Roman"/>
          <w:szCs w:val="24"/>
        </w:rPr>
        <w:t>da possibilidade de acompanhamento próximo e supervisão direta das decisões médica</w:t>
      </w:r>
      <w:r w:rsidR="002355DB">
        <w:rPr>
          <w:rFonts w:cs="Times New Roman"/>
          <w:szCs w:val="24"/>
        </w:rPr>
        <w:t>s</w:t>
      </w:r>
      <w:r w:rsidRPr="001A045F">
        <w:rPr>
          <w:rFonts w:cs="Times New Roman"/>
          <w:szCs w:val="24"/>
        </w:rPr>
        <w:t xml:space="preserve">. </w:t>
      </w:r>
    </w:p>
    <w:p w:rsidR="008F12CD" w:rsidRPr="001A045F" w:rsidRDefault="008F12CD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ii) </w:t>
      </w:r>
      <w:r w:rsidRPr="001A045F">
        <w:rPr>
          <w:rFonts w:cs="Times New Roman"/>
          <w:szCs w:val="24"/>
          <w:u w:val="single"/>
        </w:rPr>
        <w:t xml:space="preserve">Persecução de um fim legítimo. </w:t>
      </w:r>
      <w:r w:rsidR="004863E5">
        <w:rPr>
          <w:rFonts w:cs="Times New Roman"/>
          <w:szCs w:val="24"/>
        </w:rPr>
        <w:t>As</w:t>
      </w:r>
      <w:r w:rsidRPr="001A045F">
        <w:rPr>
          <w:rFonts w:cs="Times New Roman"/>
          <w:szCs w:val="24"/>
        </w:rPr>
        <w:t xml:space="preserve"> intervenções </w:t>
      </w:r>
      <w:r w:rsidR="00906054">
        <w:rPr>
          <w:rFonts w:cs="Times New Roman"/>
          <w:szCs w:val="24"/>
        </w:rPr>
        <w:t>tiveram</w:t>
      </w:r>
      <w:r w:rsidRPr="001A045F">
        <w:rPr>
          <w:rFonts w:cs="Times New Roman"/>
          <w:szCs w:val="24"/>
        </w:rPr>
        <w:t xml:space="preserve"> por base a preservação </w:t>
      </w:r>
      <w:r w:rsidR="00906054">
        <w:rPr>
          <w:rFonts w:cs="Times New Roman"/>
          <w:szCs w:val="24"/>
        </w:rPr>
        <w:t>d</w:t>
      </w:r>
      <w:r w:rsidRPr="001A045F">
        <w:rPr>
          <w:rFonts w:cs="Times New Roman"/>
          <w:szCs w:val="24"/>
        </w:rPr>
        <w:t>a saúde. Este é não apenas um objetivo legítimo perante a CADH, como também foi entendido pela CtIDH como obrigação decorrente do direito a integridade física de pessoas sob tutela estatal</w:t>
      </w:r>
      <w:r w:rsidRPr="001A045F">
        <w:rPr>
          <w:rFonts w:cs="Times New Roman"/>
          <w:szCs w:val="24"/>
          <w:vertAlign w:val="superscript"/>
        </w:rPr>
        <w:footnoteReference w:id="55"/>
      </w:r>
      <w:r w:rsidRPr="001A045F">
        <w:rPr>
          <w:rFonts w:cs="Times New Roman"/>
          <w:szCs w:val="24"/>
        </w:rPr>
        <w:t>.</w:t>
      </w:r>
    </w:p>
    <w:p w:rsidR="008F12CD" w:rsidRPr="001A045F" w:rsidRDefault="008F12CD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iii) </w:t>
      </w:r>
      <w:r w:rsidRPr="001A045F">
        <w:rPr>
          <w:rFonts w:cs="Times New Roman"/>
          <w:szCs w:val="24"/>
          <w:u w:val="single"/>
        </w:rPr>
        <w:t>Idoneidade, necessidade e proporcionalidade.</w:t>
      </w:r>
      <w:r w:rsidRPr="001A045F">
        <w:rPr>
          <w:rFonts w:cs="Times New Roman"/>
          <w:szCs w:val="24"/>
        </w:rPr>
        <w:t xml:space="preserve"> Para atender a este requisito, é necessário que a medida </w:t>
      </w:r>
      <w:r w:rsidR="00992331">
        <w:rPr>
          <w:rFonts w:cs="Times New Roman"/>
          <w:szCs w:val="24"/>
        </w:rPr>
        <w:t xml:space="preserve">satisfaça </w:t>
      </w:r>
      <w:r w:rsidRPr="001A045F">
        <w:rPr>
          <w:rFonts w:cs="Times New Roman"/>
          <w:szCs w:val="24"/>
        </w:rPr>
        <w:t>o objetivo de proteger a saúde de Cristal, sem tornar totalmente ineficaz o direito a participar das dec</w:t>
      </w:r>
      <w:r w:rsidR="00992331">
        <w:rPr>
          <w:rFonts w:cs="Times New Roman"/>
          <w:szCs w:val="24"/>
        </w:rPr>
        <w:t>isões</w:t>
      </w:r>
      <w:r w:rsidRPr="001A045F">
        <w:rPr>
          <w:rFonts w:cs="Times New Roman"/>
          <w:szCs w:val="24"/>
          <w:vertAlign w:val="superscript"/>
        </w:rPr>
        <w:footnoteReference w:id="56"/>
      </w:r>
      <w:r w:rsidRPr="001A045F">
        <w:rPr>
          <w:rFonts w:cs="Times New Roman"/>
          <w:szCs w:val="24"/>
        </w:rPr>
        <w:t xml:space="preserve">. </w:t>
      </w:r>
      <w:r w:rsidR="00992331">
        <w:rPr>
          <w:rFonts w:cs="Times New Roman"/>
          <w:szCs w:val="24"/>
        </w:rPr>
        <w:t>A</w:t>
      </w:r>
      <w:r w:rsidRPr="001A045F">
        <w:rPr>
          <w:rFonts w:cs="Times New Roman"/>
          <w:szCs w:val="24"/>
        </w:rPr>
        <w:t>inda que um paciente não tenha capacidade legal, é importante envolvê-lo no processo de determinação de seu tratamento</w:t>
      </w:r>
      <w:r w:rsidRPr="001A045F">
        <w:rPr>
          <w:rFonts w:cs="Times New Roman"/>
          <w:szCs w:val="24"/>
          <w:vertAlign w:val="superscript"/>
        </w:rPr>
        <w:footnoteReference w:id="57"/>
      </w:r>
      <w:r w:rsidRPr="001A045F">
        <w:rPr>
          <w:rFonts w:cs="Times New Roman"/>
          <w:szCs w:val="24"/>
        </w:rPr>
        <w:t>. Nesse sentido, Cristal pode fazer perguntas sobre o tratamento</w:t>
      </w:r>
      <w:r w:rsidRPr="001A045F">
        <w:rPr>
          <w:rFonts w:cs="Times New Roman"/>
          <w:szCs w:val="24"/>
          <w:vertAlign w:val="superscript"/>
        </w:rPr>
        <w:footnoteReference w:id="58"/>
      </w:r>
      <w:r w:rsidRPr="001A045F">
        <w:rPr>
          <w:rFonts w:cs="Times New Roman"/>
          <w:szCs w:val="24"/>
        </w:rPr>
        <w:t>, e as preocupações que expressou foram tomadas em consideração para aprimorá-lo</w:t>
      </w:r>
      <w:r w:rsidRPr="001A045F">
        <w:rPr>
          <w:rFonts w:cs="Times New Roman"/>
          <w:szCs w:val="24"/>
          <w:vertAlign w:val="superscript"/>
        </w:rPr>
        <w:footnoteReference w:id="59"/>
      </w:r>
      <w:r w:rsidRPr="001A045F">
        <w:rPr>
          <w:rFonts w:cs="Times New Roman"/>
          <w:szCs w:val="24"/>
        </w:rPr>
        <w:t>. Ainda, Cristal nunca manifestou a funcionários de La Casita dese</w:t>
      </w:r>
      <w:r w:rsidR="00992331">
        <w:rPr>
          <w:rFonts w:cs="Times New Roman"/>
          <w:szCs w:val="24"/>
        </w:rPr>
        <w:t>jo de deixar o tratamento</w:t>
      </w:r>
      <w:r w:rsidRPr="001A045F">
        <w:rPr>
          <w:rFonts w:cs="Times New Roman"/>
          <w:szCs w:val="24"/>
        </w:rPr>
        <w:t>. Por outro lado, o tratamento foi de fundamental importância para que sua condição de saúde não se deteriorasse. A necessidade de atenção à saúde de Cristal é agravada pelo fato de ela ter passado um período na rua e pelas demandas de cuidado específicas causadas pela cegueira. Portanto, embora tenha havido restrição à sua participação em decisões relativas ao tratamento, estas foram proporcionais</w:t>
      </w:r>
      <w:r w:rsidR="004863E5">
        <w:rPr>
          <w:rFonts w:cs="Times New Roman"/>
          <w:szCs w:val="24"/>
        </w:rPr>
        <w:t xml:space="preserve"> aos bens protegidos</w:t>
      </w:r>
      <w:r w:rsidRPr="001A045F">
        <w:rPr>
          <w:rFonts w:cs="Times New Roman"/>
          <w:szCs w:val="24"/>
        </w:rPr>
        <w:t>.</w:t>
      </w:r>
    </w:p>
    <w:p w:rsidR="008F12CD" w:rsidRPr="001A045F" w:rsidRDefault="008F12CD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lastRenderedPageBreak/>
        <w:t xml:space="preserve">Finalmente, os representantes da </w:t>
      </w:r>
      <w:r w:rsidR="004863E5">
        <w:rPr>
          <w:rFonts w:cs="Times New Roman"/>
          <w:szCs w:val="24"/>
        </w:rPr>
        <w:t xml:space="preserve">suposta </w:t>
      </w:r>
      <w:r w:rsidRPr="001A045F">
        <w:rPr>
          <w:rFonts w:cs="Times New Roman"/>
          <w:szCs w:val="24"/>
        </w:rPr>
        <w:t xml:space="preserve">vítima poderiam alegar que esta argumentação se aplica apenas a antidepressivos e psicotrópicos, não a anticoncepcionais. Entretanto, </w:t>
      </w:r>
      <w:r w:rsidR="00992331">
        <w:rPr>
          <w:rFonts w:cs="Times New Roman"/>
          <w:szCs w:val="24"/>
        </w:rPr>
        <w:t>estes</w:t>
      </w:r>
      <w:r w:rsidRPr="001A045F">
        <w:rPr>
          <w:rFonts w:cs="Times New Roman"/>
          <w:szCs w:val="24"/>
        </w:rPr>
        <w:t xml:space="preserve"> eram parte integrante do tratamento de Cristal, pois eventual gravidez poderia </w:t>
      </w:r>
      <w:r w:rsidR="00992331">
        <w:rPr>
          <w:rFonts w:cs="Times New Roman"/>
          <w:szCs w:val="24"/>
        </w:rPr>
        <w:t>a</w:t>
      </w:r>
      <w:r w:rsidRPr="001A045F">
        <w:rPr>
          <w:rFonts w:cs="Times New Roman"/>
          <w:szCs w:val="24"/>
        </w:rPr>
        <w:t>grava</w:t>
      </w:r>
      <w:r w:rsidR="00992331">
        <w:rPr>
          <w:rFonts w:cs="Times New Roman"/>
          <w:szCs w:val="24"/>
        </w:rPr>
        <w:t>r</w:t>
      </w:r>
      <w:r w:rsidRPr="001A045F">
        <w:rPr>
          <w:rFonts w:cs="Times New Roman"/>
          <w:szCs w:val="24"/>
        </w:rPr>
        <w:t xml:space="preserve"> seu quadro clínico e provocar riscos. O segundo maior fator de risco pré concepção para o desenvolvimento de depressão pós parto é o histórico de doenças psiquiátricas</w:t>
      </w:r>
      <w:r w:rsidR="00992331">
        <w:rPr>
          <w:rFonts w:cs="Times New Roman"/>
          <w:szCs w:val="24"/>
        </w:rPr>
        <w:t>, com</w:t>
      </w:r>
      <w:r w:rsidRPr="001A045F">
        <w:rPr>
          <w:rFonts w:cs="Times New Roman"/>
          <w:szCs w:val="24"/>
        </w:rPr>
        <w:t xml:space="preserve"> alta probabilidade de agravamento do quadro clínico da mãe</w:t>
      </w:r>
      <w:r w:rsidR="00992331" w:rsidRPr="001A045F">
        <w:rPr>
          <w:rFonts w:cs="Times New Roman"/>
          <w:szCs w:val="24"/>
          <w:vertAlign w:val="superscript"/>
        </w:rPr>
        <w:footnoteReference w:id="60"/>
      </w:r>
      <w:r w:rsidRPr="001A045F">
        <w:rPr>
          <w:rFonts w:cs="Times New Roman"/>
          <w:szCs w:val="24"/>
        </w:rPr>
        <w:t xml:space="preserve">. No caso de Cristal, </w:t>
      </w:r>
      <w:r w:rsidR="002355DB">
        <w:rPr>
          <w:rFonts w:cs="Times New Roman"/>
          <w:szCs w:val="24"/>
        </w:rPr>
        <w:t>o</w:t>
      </w:r>
      <w:r w:rsidRPr="001A045F">
        <w:rPr>
          <w:rFonts w:cs="Times New Roman"/>
          <w:szCs w:val="24"/>
        </w:rPr>
        <w:t xml:space="preserve"> risco é ainda maior, </w:t>
      </w:r>
      <w:r w:rsidR="002355DB">
        <w:rPr>
          <w:rFonts w:cs="Times New Roman"/>
          <w:szCs w:val="24"/>
        </w:rPr>
        <w:t>já</w:t>
      </w:r>
      <w:r w:rsidRPr="001A045F">
        <w:rPr>
          <w:rFonts w:cs="Times New Roman"/>
          <w:szCs w:val="24"/>
        </w:rPr>
        <w:t xml:space="preserve"> que é aumentado pela ocorrência de desfortúnios em sua vida</w:t>
      </w:r>
      <w:r w:rsidRPr="001A045F">
        <w:rPr>
          <w:rFonts w:cs="Times New Roman"/>
          <w:szCs w:val="24"/>
          <w:vertAlign w:val="superscript"/>
        </w:rPr>
        <w:footnoteReference w:id="61"/>
      </w:r>
      <w:r w:rsidRPr="001A045F">
        <w:rPr>
          <w:rFonts w:cs="Times New Roman"/>
          <w:szCs w:val="24"/>
        </w:rPr>
        <w:t>. Portanto, um médico que notasse a ocorrência de relações sexuais em La Casita e não atentasse para estas consequências estaria incorrendo em grave negligência, condenada pela CtIDH</w:t>
      </w:r>
      <w:r w:rsidRPr="001A045F">
        <w:rPr>
          <w:rFonts w:cs="Times New Roman"/>
          <w:szCs w:val="24"/>
          <w:vertAlign w:val="superscript"/>
        </w:rPr>
        <w:footnoteReference w:id="62"/>
      </w:r>
      <w:r w:rsidRPr="001A045F">
        <w:rPr>
          <w:rFonts w:cs="Times New Roman"/>
          <w:szCs w:val="24"/>
        </w:rPr>
        <w:t xml:space="preserve">. </w:t>
      </w:r>
    </w:p>
    <w:p w:rsidR="008F12CD" w:rsidRPr="001A045F" w:rsidRDefault="008F12CD" w:rsidP="001A045F">
      <w:pPr>
        <w:rPr>
          <w:rStyle w:val="BookTitle"/>
          <w:rFonts w:cs="Times New Roman"/>
          <w:b w:val="0"/>
          <w:bCs w:val="0"/>
          <w:smallCaps w:val="0"/>
          <w:spacing w:val="0"/>
          <w:szCs w:val="24"/>
        </w:rPr>
      </w:pPr>
      <w:r w:rsidRPr="001A045F">
        <w:rPr>
          <w:rFonts w:cs="Times New Roman"/>
          <w:szCs w:val="24"/>
        </w:rPr>
        <w:t xml:space="preserve">Alternativamente, </w:t>
      </w:r>
      <w:r w:rsidR="004B52E7">
        <w:rPr>
          <w:rFonts w:cs="Times New Roman"/>
          <w:szCs w:val="24"/>
        </w:rPr>
        <w:t xml:space="preserve">se </w:t>
      </w:r>
      <w:r w:rsidRPr="001A045F">
        <w:rPr>
          <w:rFonts w:cs="Times New Roman"/>
          <w:szCs w:val="24"/>
        </w:rPr>
        <w:t>poderia alegar que, ainda que parte do tratamento, a administração de anticoncepcionais a Cristal violaria o entendimento da CtIDH sobre direitos reprodutivos</w:t>
      </w:r>
      <w:r w:rsidRPr="001A045F">
        <w:rPr>
          <w:rFonts w:cs="Times New Roman"/>
          <w:szCs w:val="24"/>
          <w:vertAlign w:val="superscript"/>
        </w:rPr>
        <w:footnoteReference w:id="63"/>
      </w:r>
      <w:r w:rsidRPr="001A045F">
        <w:rPr>
          <w:rFonts w:cs="Times New Roman"/>
          <w:szCs w:val="24"/>
        </w:rPr>
        <w:t xml:space="preserve">, podendo remontar a tratamento inumano ou degradante, </w:t>
      </w:r>
      <w:r w:rsidR="00ED1DA0">
        <w:rPr>
          <w:rFonts w:cs="Times New Roman"/>
          <w:szCs w:val="24"/>
        </w:rPr>
        <w:t>conforme</w:t>
      </w:r>
      <w:r w:rsidRPr="001A045F">
        <w:rPr>
          <w:rFonts w:cs="Times New Roman"/>
          <w:szCs w:val="24"/>
        </w:rPr>
        <w:t xml:space="preserve"> a jurisprudência da CtEDH</w:t>
      </w:r>
      <w:r w:rsidRPr="001A045F">
        <w:rPr>
          <w:rFonts w:cs="Times New Roman"/>
          <w:szCs w:val="24"/>
          <w:vertAlign w:val="superscript"/>
        </w:rPr>
        <w:footnoteReference w:id="64"/>
      </w:r>
      <w:r w:rsidRPr="001A045F">
        <w:rPr>
          <w:rFonts w:cs="Times New Roman"/>
          <w:szCs w:val="24"/>
        </w:rPr>
        <w:t xml:space="preserve">. Entretanto, há uma diferença fundamental entre </w:t>
      </w:r>
      <w:r w:rsidR="00ED1DA0">
        <w:rPr>
          <w:rFonts w:cs="Times New Roman"/>
          <w:szCs w:val="24"/>
        </w:rPr>
        <w:t xml:space="preserve">os </w:t>
      </w:r>
      <w:r w:rsidRPr="001A045F">
        <w:rPr>
          <w:rFonts w:cs="Times New Roman"/>
          <w:szCs w:val="24"/>
        </w:rPr>
        <w:t xml:space="preserve">casos </w:t>
      </w:r>
      <w:r w:rsidR="00ED1DA0">
        <w:rPr>
          <w:rFonts w:cs="Times New Roman"/>
          <w:szCs w:val="24"/>
        </w:rPr>
        <w:t xml:space="preserve">citados </w:t>
      </w:r>
      <w:r w:rsidRPr="001A045F">
        <w:rPr>
          <w:rFonts w:cs="Times New Roman"/>
          <w:szCs w:val="24"/>
        </w:rPr>
        <w:t xml:space="preserve">e a situação de Cristal Tovar. Em ambas as análises, as Cortes concederam fundamental importância ao fato de que as medidas intervinham de forma agressiva e permanente na saúde reprodutiva das vítimas – na CtIDH, devido à proibição absoluta de procedimentos de Fertilização In Vitro; na CtEDH, devido à esterilização da vítima. O caso de Cristal não é, de forma alguma, análogo a essas circunstâncias. Pelo contrário, </w:t>
      </w:r>
      <w:r w:rsidRPr="001A045F">
        <w:rPr>
          <w:rFonts w:cs="Times New Roman"/>
          <w:szCs w:val="24"/>
        </w:rPr>
        <w:lastRenderedPageBreak/>
        <w:t>os anticoncepcionais são uma medida sem qualquer efeito permanente, e não há motivos para crer que ela não será suspensa quando o tratamento da vítima não mais demandá-la.</w:t>
      </w:r>
    </w:p>
    <w:p w:rsidR="00517718" w:rsidRDefault="00517718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O isolamento involuntário não 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violou 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="008F12CD">
        <w:rPr>
          <w:rStyle w:val="BookTitle"/>
          <w:rFonts w:cs="Times New Roman"/>
          <w:smallCaps w:val="0"/>
          <w:spacing w:val="0"/>
          <w:sz w:val="24"/>
          <w:szCs w:val="24"/>
        </w:rPr>
        <w:t>rt. 5º da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CADH</w:t>
      </w:r>
    </w:p>
    <w:p w:rsidR="004267FC" w:rsidRDefault="00B93BD4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Embora a CtIDH já tenha considerado determinadas circunstâncias de isola</w:t>
      </w:r>
      <w:r w:rsidR="00D74E07">
        <w:rPr>
          <w:rFonts w:cs="Times New Roman"/>
          <w:szCs w:val="24"/>
        </w:rPr>
        <w:t>mento como violatórias do art.</w:t>
      </w:r>
      <w:r w:rsidRPr="001A045F">
        <w:rPr>
          <w:rFonts w:cs="Times New Roman"/>
          <w:szCs w:val="24"/>
        </w:rPr>
        <w:t xml:space="preserve"> 5.2 da CADH, </w:t>
      </w:r>
      <w:r w:rsidR="004267FC">
        <w:rPr>
          <w:rFonts w:cs="Times New Roman"/>
          <w:szCs w:val="24"/>
        </w:rPr>
        <w:t xml:space="preserve">a medida </w:t>
      </w:r>
      <w:r w:rsidRPr="001A045F">
        <w:rPr>
          <w:rFonts w:cs="Times New Roman"/>
          <w:szCs w:val="24"/>
        </w:rPr>
        <w:t xml:space="preserve">a que Cristal foi submetida não deve ser </w:t>
      </w:r>
      <w:r w:rsidR="004267FC" w:rsidRPr="001A045F">
        <w:rPr>
          <w:rFonts w:cs="Times New Roman"/>
          <w:szCs w:val="24"/>
        </w:rPr>
        <w:t>considerad</w:t>
      </w:r>
      <w:r w:rsidR="004267FC">
        <w:rPr>
          <w:rFonts w:cs="Times New Roman"/>
          <w:szCs w:val="24"/>
        </w:rPr>
        <w:t>a</w:t>
      </w:r>
      <w:r w:rsidR="004267FC" w:rsidRPr="001A045F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 xml:space="preserve">uma violação, </w:t>
      </w:r>
      <w:r w:rsidR="004267FC">
        <w:rPr>
          <w:rFonts w:cs="Times New Roman"/>
          <w:szCs w:val="24"/>
        </w:rPr>
        <w:t>pelas seguintes</w:t>
      </w:r>
      <w:r w:rsidRPr="001A045F">
        <w:rPr>
          <w:rFonts w:cs="Times New Roman"/>
          <w:szCs w:val="24"/>
        </w:rPr>
        <w:t xml:space="preserve"> razões:</w:t>
      </w:r>
    </w:p>
    <w:p w:rsidR="00B93BD4" w:rsidRPr="001A045F" w:rsidRDefault="00B93BD4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Primeiramente, apenas o isolamento </w:t>
      </w:r>
      <w:r w:rsidRPr="001A045F">
        <w:rPr>
          <w:rFonts w:cs="Times New Roman"/>
          <w:szCs w:val="24"/>
          <w:u w:val="single"/>
        </w:rPr>
        <w:t>prolongado</w:t>
      </w:r>
      <w:r w:rsidRPr="001A045F">
        <w:rPr>
          <w:rFonts w:cs="Times New Roman"/>
          <w:szCs w:val="24"/>
        </w:rPr>
        <w:t xml:space="preserve"> foi considerado pela CtIDH como violatório</w:t>
      </w:r>
      <w:r w:rsidRPr="001A045F">
        <w:rPr>
          <w:rFonts w:cs="Times New Roman"/>
          <w:szCs w:val="24"/>
          <w:vertAlign w:val="superscript"/>
        </w:rPr>
        <w:footnoteReference w:id="65"/>
      </w:r>
      <w:r w:rsidRPr="001A045F">
        <w:rPr>
          <w:rFonts w:cs="Times New Roman"/>
          <w:szCs w:val="24"/>
        </w:rPr>
        <w:t xml:space="preserve">, </w:t>
      </w:r>
      <w:r w:rsidR="002355DB">
        <w:rPr>
          <w:rFonts w:cs="Times New Roman"/>
          <w:szCs w:val="24"/>
        </w:rPr>
        <w:t>já</w:t>
      </w:r>
      <w:r w:rsidRPr="001A045F">
        <w:rPr>
          <w:rFonts w:cs="Times New Roman"/>
          <w:szCs w:val="24"/>
        </w:rPr>
        <w:t xml:space="preserve"> que pode lesionar seriamente a integridade física e moral do indivíduo. De forma oposta, Cristal apenas ficou isolada por quatro horas, ciente de que não permaneceria ali por </w:t>
      </w:r>
      <w:r w:rsidR="004267FC">
        <w:rPr>
          <w:rFonts w:cs="Times New Roman"/>
          <w:szCs w:val="24"/>
        </w:rPr>
        <w:t>mais de</w:t>
      </w:r>
      <w:r w:rsidRPr="001A045F">
        <w:rPr>
          <w:rFonts w:cs="Times New Roman"/>
          <w:szCs w:val="24"/>
        </w:rPr>
        <w:t xml:space="preserve"> cinco horas. A</w:t>
      </w:r>
      <w:r w:rsidR="002355DB">
        <w:rPr>
          <w:rFonts w:cs="Times New Roman"/>
          <w:szCs w:val="24"/>
        </w:rPr>
        <w:t>inda</w:t>
      </w:r>
      <w:r w:rsidRPr="001A045F">
        <w:rPr>
          <w:rFonts w:cs="Times New Roman"/>
          <w:szCs w:val="24"/>
        </w:rPr>
        <w:t>, não há motivos para inferir que os profissionais de La Casita que realizam o tratamento de Cristal permitiriam esta prática caso houvesse risco de danos psicológicos.</w:t>
      </w:r>
    </w:p>
    <w:p w:rsidR="00B93BD4" w:rsidRDefault="00B93BD4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Em segundo lugar, o isolamento de Cristal não pode ser caracterizado como tortura, pois não possui dois de seus três elementos constitutivos.</w:t>
      </w:r>
      <w:r w:rsidR="00D74E07">
        <w:rPr>
          <w:rFonts w:cs="Times New Roman"/>
          <w:szCs w:val="24"/>
        </w:rPr>
        <w:t xml:space="preserve"> U</w:t>
      </w:r>
      <w:r w:rsidRPr="001A045F">
        <w:rPr>
          <w:rFonts w:cs="Times New Roman"/>
          <w:szCs w:val="24"/>
        </w:rPr>
        <w:t>m ato é considerado como tortura quando: i) é intencional; ii) causa severo sofrimento físico ou mental; e iii) é cometido com o propósito</w:t>
      </w:r>
      <w:r w:rsidR="00D74E07">
        <w:rPr>
          <w:rFonts w:cs="Times New Roman"/>
          <w:szCs w:val="24"/>
        </w:rPr>
        <w:t xml:space="preserve"> </w:t>
      </w:r>
      <w:r w:rsidR="004267FC">
        <w:rPr>
          <w:rFonts w:cs="Times New Roman"/>
          <w:szCs w:val="24"/>
        </w:rPr>
        <w:t>de</w:t>
      </w:r>
      <w:r w:rsidRPr="001A045F">
        <w:rPr>
          <w:rFonts w:cs="Times New Roman"/>
          <w:szCs w:val="24"/>
        </w:rPr>
        <w:t xml:space="preserve"> obter informações, intimidar ou castigar</w:t>
      </w:r>
      <w:r w:rsidRPr="001A045F">
        <w:rPr>
          <w:rFonts w:cs="Times New Roman"/>
          <w:szCs w:val="24"/>
          <w:vertAlign w:val="superscript"/>
        </w:rPr>
        <w:footnoteReference w:id="66"/>
      </w:r>
      <w:r w:rsidRPr="001A045F">
        <w:rPr>
          <w:rFonts w:cs="Times New Roman"/>
          <w:szCs w:val="24"/>
        </w:rPr>
        <w:t>. Embora o isolamento tenha sido prat</w:t>
      </w:r>
      <w:r w:rsidR="00D74E07">
        <w:rPr>
          <w:rFonts w:cs="Times New Roman"/>
          <w:szCs w:val="24"/>
        </w:rPr>
        <w:t xml:space="preserve">icado </w:t>
      </w:r>
      <w:r w:rsidRPr="001A045F">
        <w:rPr>
          <w:rFonts w:cs="Times New Roman"/>
          <w:szCs w:val="24"/>
        </w:rPr>
        <w:t>de forma intencional, não se pode dizer que os eventuais sofrimentos causados tenham atingido o parâmetro de severidade fixado pela CtIDH. Em relação à finalidade da ação, o propósito do isolamento foi salvaguardar a segurança de Cristal, dos funcionários e dos moradores de La Casita. Não se tratou de punição ou de qualquer outro método relacionado a disciplina, conforme atestado pelos profissionais da instituição.</w:t>
      </w:r>
    </w:p>
    <w:p w:rsidR="0047105B" w:rsidRPr="001A045F" w:rsidRDefault="0047105B" w:rsidP="0047105B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lastRenderedPageBreak/>
        <w:t>Finalmente, eventual tentativa de caracterização do isolamento como prática inadequada de contenção não deve prosperar</w:t>
      </w:r>
      <w:r>
        <w:rPr>
          <w:rFonts w:cs="Times New Roman"/>
          <w:szCs w:val="24"/>
        </w:rPr>
        <w:t xml:space="preserve">, pois </w:t>
      </w:r>
      <w:r w:rsidRPr="001A045F">
        <w:rPr>
          <w:rFonts w:cs="Times New Roman"/>
          <w:szCs w:val="24"/>
        </w:rPr>
        <w:t>os parâmetros estabelecidos pela CtIDH</w:t>
      </w:r>
      <w:r>
        <w:rPr>
          <w:rFonts w:cs="Times New Roman"/>
          <w:szCs w:val="24"/>
        </w:rPr>
        <w:t xml:space="preserve"> para esta prática</w:t>
      </w:r>
      <w:r>
        <w:rPr>
          <w:rStyle w:val="FootnoteReference"/>
          <w:rFonts w:cs="Times New Roman"/>
          <w:szCs w:val="24"/>
        </w:rPr>
        <w:footnoteReference w:id="67"/>
      </w:r>
      <w:r w:rsidRPr="001A045F">
        <w:rPr>
          <w:rFonts w:cs="Times New Roman"/>
          <w:szCs w:val="24"/>
        </w:rPr>
        <w:t xml:space="preserve"> foram respeitado</w:t>
      </w:r>
      <w:r>
        <w:rPr>
          <w:rFonts w:cs="Times New Roman"/>
          <w:szCs w:val="24"/>
        </w:rPr>
        <w:t>s: a contenção foi</w:t>
      </w:r>
      <w:r w:rsidRPr="001A045F">
        <w:rPr>
          <w:rFonts w:cs="Times New Roman"/>
          <w:szCs w:val="24"/>
        </w:rPr>
        <w:t xml:space="preserve"> utilizada como último recurso</w:t>
      </w:r>
      <w:r>
        <w:rPr>
          <w:rFonts w:cs="Times New Roman"/>
          <w:szCs w:val="24"/>
        </w:rPr>
        <w:t>; teve</w:t>
      </w:r>
      <w:r w:rsidRPr="001A045F">
        <w:rPr>
          <w:rFonts w:cs="Times New Roman"/>
          <w:szCs w:val="24"/>
        </w:rPr>
        <w:t xml:space="preserve"> a finalidade única de proteger o</w:t>
      </w:r>
      <w:r>
        <w:rPr>
          <w:rFonts w:cs="Times New Roman"/>
          <w:szCs w:val="24"/>
        </w:rPr>
        <w:t xml:space="preserve"> paciente, o pessoal médico e terceiros;</w:t>
      </w:r>
      <w:r w:rsidRPr="001A045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os funcionário de La Casita eram profissionais qualificado</w:t>
      </w:r>
      <w:r w:rsidRPr="001A045F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; teve</w:t>
      </w:r>
      <w:r w:rsidRPr="001A045F">
        <w:rPr>
          <w:rFonts w:cs="Times New Roman"/>
          <w:szCs w:val="24"/>
        </w:rPr>
        <w:t xml:space="preserve"> por base o melhor interesse do paciente</w:t>
      </w:r>
      <w:r>
        <w:rPr>
          <w:rFonts w:cs="Times New Roman"/>
          <w:szCs w:val="24"/>
        </w:rPr>
        <w:t xml:space="preserve">, </w:t>
      </w:r>
      <w:r w:rsidRPr="001A045F">
        <w:rPr>
          <w:rFonts w:cs="Times New Roman"/>
          <w:szCs w:val="24"/>
        </w:rPr>
        <w:t xml:space="preserve">uma vez que ela poderia ser agredida </w:t>
      </w:r>
      <w:r>
        <w:rPr>
          <w:rFonts w:cs="Times New Roman"/>
          <w:szCs w:val="24"/>
        </w:rPr>
        <w:t xml:space="preserve">retributivamente ou se machucar; </w:t>
      </w:r>
      <w:r w:rsidRPr="001A045F">
        <w:rPr>
          <w:rFonts w:cs="Times New Roman"/>
          <w:szCs w:val="24"/>
        </w:rPr>
        <w:t>utiliz</w:t>
      </w:r>
      <w:r>
        <w:rPr>
          <w:rFonts w:cs="Times New Roman"/>
          <w:szCs w:val="24"/>
        </w:rPr>
        <w:t>ou</w:t>
      </w:r>
      <w:r w:rsidRPr="001A045F">
        <w:rPr>
          <w:rFonts w:cs="Times New Roman"/>
          <w:szCs w:val="24"/>
        </w:rPr>
        <w:t xml:space="preserve"> o método menos restritivo, </w:t>
      </w:r>
      <w:r>
        <w:rPr>
          <w:rFonts w:cs="Times New Roman"/>
          <w:szCs w:val="24"/>
        </w:rPr>
        <w:t xml:space="preserve">pois </w:t>
      </w:r>
      <w:r w:rsidR="003D1CCD">
        <w:rPr>
          <w:rFonts w:cs="Times New Roman"/>
          <w:szCs w:val="24"/>
        </w:rPr>
        <w:t>não constituiu nenhuma das formas de contenção rechaçadas pela CtIDH, como amarração e imobilização</w:t>
      </w:r>
      <w:r w:rsidR="0089765F">
        <w:rPr>
          <w:rFonts w:cs="Times New Roman"/>
          <w:szCs w:val="24"/>
        </w:rPr>
        <w:t>; e durou quatro horas</w:t>
      </w:r>
      <w:r>
        <w:rPr>
          <w:rFonts w:cs="Times New Roman"/>
          <w:szCs w:val="24"/>
        </w:rPr>
        <w:t xml:space="preserve"> em condições </w:t>
      </w:r>
      <w:r w:rsidR="0089765F">
        <w:rPr>
          <w:rFonts w:cs="Times New Roman"/>
          <w:szCs w:val="24"/>
        </w:rPr>
        <w:t>dignas</w:t>
      </w:r>
      <w:r>
        <w:rPr>
          <w:rStyle w:val="FootnoteReference"/>
          <w:rFonts w:cs="Times New Roman"/>
          <w:szCs w:val="24"/>
        </w:rPr>
        <w:footnoteReference w:id="68"/>
      </w:r>
      <w:r w:rsidR="001B159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:rsidR="00B93BD4" w:rsidRPr="001A045F" w:rsidRDefault="00B93BD4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De acordo com os critérios expostos acima, o isolamento pode ser considerado uma medida de detenção</w:t>
      </w:r>
      <w:r w:rsidRPr="001A045F">
        <w:rPr>
          <w:rFonts w:cs="Times New Roman"/>
          <w:szCs w:val="24"/>
          <w:vertAlign w:val="superscript"/>
        </w:rPr>
        <w:footnoteReference w:id="69"/>
      </w:r>
      <w:r w:rsidRPr="001A045F">
        <w:rPr>
          <w:rFonts w:cs="Times New Roman"/>
          <w:szCs w:val="24"/>
        </w:rPr>
        <w:t xml:space="preserve">, justificada por seu caráter emergencial. </w:t>
      </w:r>
      <w:r w:rsidR="0047105B">
        <w:rPr>
          <w:rFonts w:cs="Times New Roman"/>
          <w:szCs w:val="24"/>
        </w:rPr>
        <w:t>A</w:t>
      </w:r>
      <w:r w:rsidRPr="001A045F">
        <w:rPr>
          <w:rFonts w:cs="Times New Roman"/>
          <w:szCs w:val="24"/>
        </w:rPr>
        <w:t xml:space="preserve"> detenção de uma pessoa com deficiência mental pode ser autorizada por autoridades administrativas como medida emergencial para preservar o indivíduo e aqueles ao seu redor. Para tanto, duas exigências devem ser obedecidas: a detenção deve ter curta duração e deve haver recurso judicial disponível para questioná-la</w:t>
      </w:r>
      <w:r w:rsidRPr="001A045F">
        <w:rPr>
          <w:rFonts w:cs="Times New Roman"/>
          <w:szCs w:val="24"/>
          <w:vertAlign w:val="superscript"/>
        </w:rPr>
        <w:footnoteReference w:id="70"/>
      </w:r>
      <w:r w:rsidRPr="001A045F">
        <w:rPr>
          <w:rFonts w:cs="Times New Roman"/>
          <w:szCs w:val="24"/>
        </w:rPr>
        <w:t>. No presente caso, a detenção durou apenas quatro horas - sendo que a CtEDH já determinou que períodos tão extensos quanto seis semanas não são longos o suficiente para tornar inadequada a detenção emergencial</w:t>
      </w:r>
      <w:r w:rsidRPr="001A045F">
        <w:rPr>
          <w:rFonts w:cs="Times New Roman"/>
          <w:szCs w:val="24"/>
          <w:vertAlign w:val="superscript"/>
        </w:rPr>
        <w:footnoteReference w:id="71"/>
      </w:r>
      <w:r w:rsidRPr="001A045F">
        <w:rPr>
          <w:rFonts w:cs="Times New Roman"/>
          <w:szCs w:val="24"/>
        </w:rPr>
        <w:t xml:space="preserve">. Ainda segundo a jurisprudência de dita Corte, o recurso de </w:t>
      </w:r>
      <w:r w:rsidR="00311864">
        <w:rPr>
          <w:rFonts w:cs="Times New Roman"/>
          <w:szCs w:val="24"/>
        </w:rPr>
        <w:t>HC</w:t>
      </w:r>
      <w:r w:rsidRPr="001A045F">
        <w:rPr>
          <w:rFonts w:cs="Times New Roman"/>
          <w:szCs w:val="24"/>
        </w:rPr>
        <w:t xml:space="preserve"> é um procedimento adequado para que se questione a detenção emergencial de pessoas com deficiência. Portanto, não há razoes para afirmar que a prática não se adéqua aos parâmetros internacionais de detenção emergencial de pessoas com deficiência.</w:t>
      </w:r>
    </w:p>
    <w:p w:rsidR="00517718" w:rsidRPr="0075476C" w:rsidRDefault="00517718" w:rsidP="00AD4362">
      <w:pPr>
        <w:pStyle w:val="ListParagraph"/>
        <w:numPr>
          <w:ilvl w:val="2"/>
          <w:numId w:val="2"/>
        </w:numPr>
        <w:tabs>
          <w:tab w:val="left" w:pos="1418"/>
        </w:tabs>
        <w:spacing w:line="480" w:lineRule="auto"/>
        <w:ind w:left="0" w:firstLine="0"/>
        <w:outlineLvl w:val="2"/>
        <w:rPr>
          <w:rStyle w:val="BookTitle"/>
          <w:rFonts w:cs="Times New Roman"/>
          <w:smallCaps w:val="0"/>
          <w:spacing w:val="0"/>
          <w:sz w:val="24"/>
          <w:szCs w:val="24"/>
        </w:rPr>
      </w:pPr>
      <w:bookmarkStart w:id="18" w:name="_Toc383464277"/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O processo de interdição de Cristal Tovar</w:t>
      </w:r>
      <w:bookmarkEnd w:id="18"/>
    </w:p>
    <w:p w:rsidR="00517718" w:rsidRDefault="00517718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lastRenderedPageBreak/>
        <w:t xml:space="preserve">O processo de interdição não viola 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rt. 1.1 e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o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art. 24</w:t>
      </w:r>
      <w:r w:rsidR="00D009D4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da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CADH</w:t>
      </w:r>
    </w:p>
    <w:p w:rsidR="00A378AD" w:rsidRPr="00AD1B5C" w:rsidRDefault="00A378AD" w:rsidP="00A378A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Os artigos 1.1 e 24 da CADH protegem o direito a não discriminação em relação a disposições da CADH e leis </w:t>
      </w:r>
      <w:r w:rsidR="00B97993">
        <w:rPr>
          <w:rFonts w:cs="Times New Roman"/>
          <w:szCs w:val="24"/>
        </w:rPr>
        <w:t>domésticas</w:t>
      </w:r>
      <w:r>
        <w:rPr>
          <w:rFonts w:cs="Times New Roman"/>
          <w:szCs w:val="24"/>
        </w:rPr>
        <w:t xml:space="preserve">, respectivamente. </w:t>
      </w:r>
      <w:r w:rsidR="00F22535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mbora a CADH não inclua expressamente a deficiência como critério proibitivo de tratamentos discriminatórios, o rol disposto no artigo 1.1 não é taxativo</w:t>
      </w:r>
      <w:r>
        <w:rPr>
          <w:rStyle w:val="FootnoteReference"/>
        </w:rPr>
        <w:footnoteReference w:id="72"/>
      </w:r>
      <w:r>
        <w:rPr>
          <w:rFonts w:cs="Times New Roman"/>
          <w:szCs w:val="24"/>
        </w:rPr>
        <w:t>, englobando a deficiência na expressão “outra condição”.</w:t>
      </w:r>
      <w:r>
        <w:rPr>
          <w:rStyle w:val="FootnoteReference"/>
        </w:rPr>
        <w:footnoteReference w:id="73"/>
      </w:r>
      <w:r>
        <w:rPr>
          <w:rFonts w:cs="Times New Roman"/>
          <w:szCs w:val="24"/>
        </w:rPr>
        <w:t xml:space="preserve"> </w:t>
      </w:r>
      <w:r w:rsidR="00F8750D">
        <w:rPr>
          <w:rFonts w:cs="Times New Roman"/>
          <w:szCs w:val="24"/>
        </w:rPr>
        <w:t xml:space="preserve">O </w:t>
      </w:r>
      <w:r>
        <w:rPr>
          <w:rFonts w:cs="Times New Roman"/>
          <w:szCs w:val="24"/>
        </w:rPr>
        <w:t xml:space="preserve">artigo 41 </w:t>
      </w:r>
      <w:r>
        <w:rPr>
          <w:rFonts w:cs="Times New Roman"/>
          <w:szCs w:val="24"/>
          <w:u w:val="single"/>
        </w:rPr>
        <w:t>não é discriminatório</w:t>
      </w:r>
      <w:r w:rsidR="00F22535">
        <w:rPr>
          <w:rFonts w:cs="Times New Roman"/>
          <w:szCs w:val="24"/>
        </w:rPr>
        <w:t xml:space="preserve">, </w:t>
      </w:r>
      <w:r w:rsidR="00F8750D">
        <w:rPr>
          <w:rFonts w:cs="Times New Roman"/>
          <w:szCs w:val="24"/>
        </w:rPr>
        <w:t xml:space="preserve">embora estabeleça uma distinção, </w:t>
      </w:r>
      <w:r w:rsidR="00B97993">
        <w:rPr>
          <w:rFonts w:cs="Times New Roman"/>
          <w:szCs w:val="24"/>
        </w:rPr>
        <w:t>pois</w:t>
      </w:r>
      <w:r w:rsidR="00F8750D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 xml:space="preserve">i) </w:t>
      </w:r>
      <w:r w:rsidRPr="0031481D">
        <w:rPr>
          <w:rFonts w:cs="Times New Roman"/>
          <w:szCs w:val="24"/>
          <w:u w:val="single"/>
        </w:rPr>
        <w:t>ser baseada em reconhecimento objetivo de situações factuais essencialmente diferentes</w:t>
      </w:r>
      <w:r>
        <w:rPr>
          <w:rStyle w:val="FootnoteReference"/>
          <w:rFonts w:cs="Times New Roman"/>
          <w:szCs w:val="24"/>
        </w:rPr>
        <w:footnoteReference w:id="74"/>
      </w:r>
      <w:r w:rsidR="00B97993">
        <w:rPr>
          <w:rFonts w:cs="Times New Roman"/>
          <w:szCs w:val="24"/>
        </w:rPr>
        <w:t>. A habilidade de pessoas com deficiência mental para tomar decisões não pode ser considerada similar à de pessoas que não estão nesta condição. Esta é uma realidade reconhecida pelo regime de proteção aos direitos das pessoas com deficiência, que busca salvaguardar seus interesses estabelecendo a necessidade de regimes de assistência e representação</w:t>
      </w:r>
      <w:r w:rsidR="00B97993">
        <w:rPr>
          <w:rStyle w:val="FootnoteReference"/>
          <w:rFonts w:cs="Times New Roman"/>
          <w:szCs w:val="24"/>
        </w:rPr>
        <w:footnoteReference w:id="75"/>
      </w:r>
      <w:r w:rsidR="00AD1B5C"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 xml:space="preserve">ii) </w:t>
      </w:r>
      <w:r w:rsidRPr="0031481D">
        <w:rPr>
          <w:rFonts w:cs="Times New Roman"/>
          <w:szCs w:val="24"/>
          <w:u w:val="single"/>
        </w:rPr>
        <w:t>ter uma justificativa objetiva e razoável, ou seja, perseguir um objetivo legítimo e ser proporcional</w:t>
      </w:r>
      <w:r>
        <w:rPr>
          <w:rFonts w:cs="Times New Roman"/>
          <w:szCs w:val="24"/>
        </w:rPr>
        <w:t>.</w:t>
      </w:r>
      <w:r>
        <w:rPr>
          <w:rStyle w:val="FootnoteReference"/>
        </w:rPr>
        <w:footnoteReference w:id="76"/>
      </w:r>
      <w:r>
        <w:rPr>
          <w:rFonts w:cs="Times New Roman"/>
          <w:szCs w:val="24"/>
        </w:rPr>
        <w:t>A distinção estabelecida pelo ar</w:t>
      </w:r>
      <w:r w:rsidR="00AD1B5C">
        <w:rPr>
          <w:rFonts w:cs="Times New Roman"/>
          <w:szCs w:val="24"/>
        </w:rPr>
        <w:t xml:space="preserve">tigo 41 tem o objetivo </w:t>
      </w:r>
      <w:r>
        <w:rPr>
          <w:rFonts w:cs="Times New Roman"/>
          <w:szCs w:val="24"/>
        </w:rPr>
        <w:t>de proteger os interesses das pessoas com deficiência – que, caso contrário, estariam sujeitas a tomar decisões de maneira desassistida, pode</w:t>
      </w:r>
      <w:r w:rsidR="00AD1B5C">
        <w:rPr>
          <w:rFonts w:cs="Times New Roman"/>
          <w:szCs w:val="24"/>
        </w:rPr>
        <w:t xml:space="preserve">ndo trazer prejuízos </w:t>
      </w:r>
      <w:r>
        <w:rPr>
          <w:rFonts w:cs="Times New Roman"/>
          <w:szCs w:val="24"/>
        </w:rPr>
        <w:t>e possibilitando que outros se aproveitassem de sua condição de vulnerabilidade. A medid</w:t>
      </w:r>
      <w:r w:rsidR="00AD1B5C">
        <w:rPr>
          <w:rFonts w:cs="Times New Roman"/>
          <w:szCs w:val="24"/>
        </w:rPr>
        <w:t>a é</w:t>
      </w:r>
      <w:r>
        <w:rPr>
          <w:rFonts w:cs="Times New Roman"/>
          <w:szCs w:val="24"/>
        </w:rPr>
        <w:t xml:space="preserve"> proporcional, pois </w:t>
      </w:r>
      <w:r w:rsidR="00810A89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 xml:space="preserve">interdição não sujeita pessoas com deficiência de forma indiscriminada: ela é determinada por um Juiz, que analisa o caso concreto para determinar se a condição de um indivíduo específico demanda proteção. No mesmo sentido, o Juiz determina a extensão e os limites do regime de interdição, além de períodos de revisão. </w:t>
      </w:r>
      <w:r w:rsidR="00810A89">
        <w:rPr>
          <w:rFonts w:cs="Times New Roman"/>
          <w:szCs w:val="24"/>
          <w:u w:val="single"/>
        </w:rPr>
        <w:t>Não há, portanto, presunção de incapacidade</w:t>
      </w:r>
      <w:r w:rsidR="00810A89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No caso de Cristal, embora tenha sido determinado regime de interdição total, a decisão foi </w:t>
      </w:r>
      <w:r w:rsidR="002355DB">
        <w:rPr>
          <w:rFonts w:cs="Times New Roman"/>
          <w:szCs w:val="24"/>
        </w:rPr>
        <w:t>baseada</w:t>
      </w:r>
      <w:r>
        <w:rPr>
          <w:rFonts w:cs="Times New Roman"/>
          <w:szCs w:val="24"/>
        </w:rPr>
        <w:t xml:space="preserve"> em amplo leque de elementos (relatório médico, </w:t>
      </w:r>
      <w:r>
        <w:rPr>
          <w:rFonts w:cs="Times New Roman"/>
          <w:szCs w:val="24"/>
        </w:rPr>
        <w:lastRenderedPageBreak/>
        <w:t xml:space="preserve">exposição dos fatos que motivam a necessidade da interdição, especificação do vínculo que liga Cristal à Dra Lira, perícia médica e depoimentos), descaracterizando a possibilidade de que tenha </w:t>
      </w:r>
      <w:r w:rsidR="00810A89">
        <w:rPr>
          <w:rFonts w:cs="Times New Roman"/>
          <w:szCs w:val="24"/>
        </w:rPr>
        <w:t>t</w:t>
      </w:r>
      <w:r>
        <w:rPr>
          <w:rFonts w:cs="Times New Roman"/>
          <w:szCs w:val="24"/>
        </w:rPr>
        <w:t xml:space="preserve">ido </w:t>
      </w:r>
      <w:r w:rsidR="00810A89">
        <w:rPr>
          <w:rFonts w:cs="Times New Roman"/>
          <w:szCs w:val="24"/>
        </w:rPr>
        <w:t>por</w:t>
      </w:r>
      <w:r>
        <w:rPr>
          <w:rFonts w:cs="Times New Roman"/>
          <w:szCs w:val="24"/>
        </w:rPr>
        <w:t xml:space="preserve"> base razões discriminatórias</w:t>
      </w:r>
      <w:r>
        <w:rPr>
          <w:rStyle w:val="FootnoteReference"/>
          <w:rFonts w:cs="Times New Roman"/>
          <w:szCs w:val="24"/>
        </w:rPr>
        <w:footnoteReference w:id="77"/>
      </w:r>
      <w:r>
        <w:t>.</w:t>
      </w:r>
    </w:p>
    <w:p w:rsidR="00A378AD" w:rsidRPr="005A7D9D" w:rsidRDefault="00A378AD" w:rsidP="00A378AD">
      <w:pPr>
        <w:rPr>
          <w:rStyle w:val="BookTitle"/>
          <w:rFonts w:cs="Times New Roman"/>
          <w:b w:val="0"/>
          <w:bCs w:val="0"/>
          <w:smallCaps w:val="0"/>
          <w:spacing w:val="0"/>
          <w:szCs w:val="24"/>
        </w:rPr>
      </w:pPr>
      <w:r>
        <w:rPr>
          <w:rFonts w:cs="Times New Roman"/>
          <w:szCs w:val="24"/>
        </w:rPr>
        <w:t xml:space="preserve">Este entendimento foi expressamente adotado pela CtIDH, que estabeleceu que </w:t>
      </w:r>
      <w:r>
        <w:rPr>
          <w:rFonts w:cs="Times New Roman"/>
          <w:szCs w:val="24"/>
          <w:u w:val="single"/>
        </w:rPr>
        <w:t>não existe discriminação nos casos em que a lei limita o exercício da capacidade civil daqueles que, por não gozarem de saúde mental, não estão em condições de exercê-la sem risco</w:t>
      </w:r>
      <w:r>
        <w:rPr>
          <w:rStyle w:val="FootnoteReference"/>
          <w:rFonts w:cs="Times New Roman"/>
          <w:szCs w:val="24"/>
        </w:rPr>
        <w:footnoteReference w:id="78"/>
      </w:r>
      <w:r>
        <w:rPr>
          <w:rFonts w:cs="Times New Roman"/>
          <w:szCs w:val="24"/>
        </w:rPr>
        <w:t>. Deste modo, eventual argumento de que órgãos de direitos humanos consideram regimes de decisão substituída incompatíveis com o direito ao igual reconhecimento perante a lei</w:t>
      </w:r>
      <w:r>
        <w:rPr>
          <w:rStyle w:val="FootnoteReference"/>
          <w:rFonts w:cs="Times New Roman"/>
          <w:szCs w:val="24"/>
        </w:rPr>
        <w:footnoteReference w:id="79"/>
      </w:r>
      <w:r>
        <w:rPr>
          <w:rFonts w:cs="Times New Roman"/>
          <w:szCs w:val="24"/>
        </w:rPr>
        <w:t xml:space="preserve"> deve ser rechaçado, pois o entendimento da própria CtIDH reconhece a limitação do exercício da capacidade civil de pessoas com deficiência mental como veículo legítimo para </w:t>
      </w:r>
      <w:r>
        <w:rPr>
          <w:rFonts w:cs="Times New Roman"/>
          <w:szCs w:val="24"/>
          <w:u w:val="single"/>
        </w:rPr>
        <w:t>proteger</w:t>
      </w:r>
      <w:r>
        <w:rPr>
          <w:rFonts w:cs="Times New Roman"/>
          <w:szCs w:val="24"/>
        </w:rPr>
        <w:t xml:space="preserve"> pessoas juridicamente vulneráveis</w:t>
      </w:r>
      <w:r>
        <w:rPr>
          <w:rStyle w:val="FootnoteReference"/>
          <w:rFonts w:cs="Times New Roman"/>
          <w:szCs w:val="24"/>
        </w:rPr>
        <w:footnoteReference w:id="80"/>
      </w:r>
      <w:r>
        <w:rPr>
          <w:rFonts w:cs="Times New Roman"/>
          <w:szCs w:val="24"/>
        </w:rPr>
        <w:t>.</w:t>
      </w:r>
    </w:p>
    <w:p w:rsidR="00517718" w:rsidRDefault="00517718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O processo de interdição não violou 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rt. 3º</w:t>
      </w:r>
      <w:r w:rsidR="00E6141F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da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 CADH</w:t>
      </w:r>
    </w:p>
    <w:p w:rsidR="005A7D9D" w:rsidRDefault="005A7D9D" w:rsidP="005A7D9D">
      <w:pPr>
        <w:rPr>
          <w:rFonts w:cs="Times New Roman"/>
          <w:szCs w:val="24"/>
        </w:rPr>
      </w:pPr>
      <w:r>
        <w:rPr>
          <w:rFonts w:cs="Times New Roman"/>
          <w:szCs w:val="24"/>
        </w:rPr>
        <w:t>O direito à personalidade jurídica estabelecido pelo artigo 3° da CADH possui conteúdo jurídico próprio</w:t>
      </w:r>
      <w:r>
        <w:rPr>
          <w:rStyle w:val="FootnoteReference"/>
        </w:rPr>
        <w:footnoteReference w:id="81"/>
      </w:r>
      <w:r>
        <w:rPr>
          <w:rFonts w:cs="Times New Roman"/>
          <w:szCs w:val="24"/>
        </w:rPr>
        <w:t>, conferindo ao indivíduo o direito a ser reconhecido perante a lei</w:t>
      </w:r>
      <w:r>
        <w:rPr>
          <w:rStyle w:val="FootnoteReference"/>
        </w:rPr>
        <w:footnoteReference w:id="82"/>
      </w:r>
      <w:r>
        <w:rPr>
          <w:rFonts w:cs="Times New Roman"/>
          <w:szCs w:val="24"/>
        </w:rPr>
        <w:t xml:space="preserve">. </w:t>
      </w:r>
      <w:r w:rsidR="008463AA">
        <w:rPr>
          <w:rFonts w:cs="Times New Roman"/>
          <w:szCs w:val="24"/>
        </w:rPr>
        <w:t xml:space="preserve">Sua </w:t>
      </w:r>
      <w:r>
        <w:rPr>
          <w:rFonts w:cs="Times New Roman"/>
          <w:szCs w:val="24"/>
        </w:rPr>
        <w:t xml:space="preserve">carga semântica deve ser interpretada à luz do artigo 17 da </w:t>
      </w:r>
      <w:r w:rsidR="008463AA">
        <w:rPr>
          <w:rFonts w:cs="Times New Roman"/>
          <w:szCs w:val="24"/>
        </w:rPr>
        <w:t>DADDH</w:t>
      </w:r>
      <w:r>
        <w:rPr>
          <w:rFonts w:cs="Times New Roman"/>
          <w:szCs w:val="24"/>
        </w:rPr>
        <w:t>.</w:t>
      </w:r>
      <w:bookmarkStart w:id="19" w:name="h.mbsw26renen8"/>
      <w:bookmarkEnd w:id="19"/>
      <w:r>
        <w:rPr>
          <w:rFonts w:cs="Times New Roman"/>
          <w:szCs w:val="24"/>
        </w:rPr>
        <w:t xml:space="preserve"> A violação ao reconhecimento da personalidade jurídica pressupõe desconhecimento, em termos absolutos, da possibilidade de um indivíduo ser titular de direitos e deveres</w:t>
      </w:r>
      <w:r>
        <w:rPr>
          <w:rStyle w:val="FootnoteReference"/>
        </w:rPr>
        <w:footnoteReference w:id="83"/>
      </w:r>
      <w:r>
        <w:rPr>
          <w:rFonts w:cs="Times New Roman"/>
          <w:szCs w:val="24"/>
        </w:rPr>
        <w:t>. No presente caso, dito desconhecimento absoluto não ocorreu, como demonstrado a seguir.</w:t>
      </w:r>
    </w:p>
    <w:p w:rsidR="005A7D9D" w:rsidRDefault="005A7D9D" w:rsidP="005A7D9D">
      <w:pPr>
        <w:rPr>
          <w:rFonts w:cs="Times New Roman"/>
          <w:szCs w:val="24"/>
        </w:rPr>
      </w:pPr>
      <w:r>
        <w:rPr>
          <w:rFonts w:cs="Times New Roman"/>
          <w:szCs w:val="24"/>
        </w:rPr>
        <w:t>A personalidade jurídica não deve ser confundida com capacidade de atuar</w:t>
      </w:r>
      <w:r w:rsidR="00AD1B5C">
        <w:t>,</w:t>
      </w:r>
      <w:r>
        <w:rPr>
          <w:rFonts w:cs="Times New Roman"/>
          <w:szCs w:val="24"/>
        </w:rPr>
        <w:t xml:space="preserve"> que é o poder de exercitar pessoal e diretamente direitos subjetivos, assumir obrigações e realizar atos de natureza </w:t>
      </w:r>
      <w:r>
        <w:rPr>
          <w:rFonts w:cs="Times New Roman"/>
          <w:szCs w:val="24"/>
        </w:rPr>
        <w:lastRenderedPageBreak/>
        <w:t>pessoal ou patrimonial</w:t>
      </w:r>
      <w:r>
        <w:rPr>
          <w:rStyle w:val="FootnoteReference"/>
        </w:rPr>
        <w:footnoteReference w:id="84"/>
      </w:r>
      <w:r>
        <w:rPr>
          <w:rFonts w:cs="Times New Roman"/>
          <w:szCs w:val="24"/>
        </w:rPr>
        <w:t>. Os maiores de idade, em regra, possuem essa capacidade, enquanto que outros grupos, como pessoas com deficiência e crianças, podem estar sujeitos a autoridade parental, tutela ou representação</w:t>
      </w:r>
      <w:r>
        <w:rPr>
          <w:rStyle w:val="FootnoteReference"/>
        </w:rPr>
        <w:footnoteReference w:id="85"/>
      </w:r>
      <w:r>
        <w:rPr>
          <w:rFonts w:cs="Times New Roman"/>
          <w:szCs w:val="24"/>
        </w:rPr>
        <w:t xml:space="preserve">. Independentemente destes regimes, </w:t>
      </w:r>
      <w:r w:rsidR="00975FE9">
        <w:rPr>
          <w:rFonts w:cs="Times New Roman"/>
          <w:szCs w:val="24"/>
        </w:rPr>
        <w:t xml:space="preserve">todos </w:t>
      </w:r>
      <w:r>
        <w:rPr>
          <w:rFonts w:cs="Times New Roman"/>
          <w:szCs w:val="24"/>
        </w:rPr>
        <w:t>são sujeitos de direitos inalienáveis inerentes a pessoa humana</w:t>
      </w:r>
      <w:r>
        <w:rPr>
          <w:rStyle w:val="FootnoteReference"/>
        </w:rPr>
        <w:footnoteReference w:id="86"/>
      </w:r>
      <w:r>
        <w:rPr>
          <w:rFonts w:cs="Times New Roman"/>
          <w:szCs w:val="24"/>
        </w:rPr>
        <w:t>. Portanto, a restrição da capacidade de atuar de Cristal não implica, necessariamente, na violação do direito à personalidade jurídica.</w:t>
      </w:r>
    </w:p>
    <w:p w:rsidR="005A7D9D" w:rsidRDefault="00DC35FF" w:rsidP="005A7D9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O</w:t>
      </w:r>
      <w:r w:rsidR="005A7D9D">
        <w:rPr>
          <w:rFonts w:cs="Times New Roman"/>
          <w:szCs w:val="24"/>
        </w:rPr>
        <w:t xml:space="preserve"> artigo 3° protege não apenas a possibilidade de ter direitos, mas também de exercê-los. Sendo assim, o fato de Cristal não exercer diretamente os direitos dos quais é titular pode ser considerado uma restr</w:t>
      </w:r>
      <w:r w:rsidR="002355DB">
        <w:rPr>
          <w:rFonts w:cs="Times New Roman"/>
          <w:szCs w:val="24"/>
        </w:rPr>
        <w:t>ição</w:t>
      </w:r>
      <w:r>
        <w:rPr>
          <w:rFonts w:cs="Times New Roman"/>
          <w:szCs w:val="24"/>
        </w:rPr>
        <w:t xml:space="preserve"> não arbitrária</w:t>
      </w:r>
      <w:r w:rsidR="002355DB">
        <w:rPr>
          <w:rFonts w:cs="Times New Roman"/>
          <w:szCs w:val="24"/>
        </w:rPr>
        <w:t xml:space="preserve"> ao artigo 3°</w:t>
      </w:r>
      <w:r w:rsidR="005A7D9D">
        <w:rPr>
          <w:rStyle w:val="FootnoteReference"/>
        </w:rPr>
        <w:footnoteReference w:id="87"/>
      </w:r>
      <w:r w:rsidR="005A7D9D">
        <w:rPr>
          <w:rFonts w:cs="Times New Roman"/>
          <w:szCs w:val="24"/>
        </w:rPr>
        <w:t xml:space="preserve"> uma vez que</w:t>
      </w:r>
      <w:r w:rsidR="008463AA">
        <w:rPr>
          <w:rFonts w:cs="Times New Roman"/>
          <w:szCs w:val="24"/>
        </w:rPr>
        <w:t>:</w:t>
      </w:r>
      <w:r w:rsidR="00AD1B5C">
        <w:rPr>
          <w:rFonts w:cs="Times New Roman"/>
          <w:szCs w:val="24"/>
        </w:rPr>
        <w:t xml:space="preserve"> </w:t>
      </w:r>
      <w:r w:rsidR="005A7D9D">
        <w:rPr>
          <w:rFonts w:cs="Times New Roman"/>
          <w:szCs w:val="24"/>
        </w:rPr>
        <w:t xml:space="preserve">i) </w:t>
      </w:r>
      <w:r w:rsidR="005A7D9D" w:rsidRPr="0031481D">
        <w:rPr>
          <w:rFonts w:cs="Times New Roman"/>
          <w:szCs w:val="24"/>
          <w:u w:val="single"/>
        </w:rPr>
        <w:t xml:space="preserve">estava prevista </w:t>
      </w:r>
      <w:r w:rsidR="008463AA" w:rsidRPr="0031481D">
        <w:rPr>
          <w:rFonts w:cs="Times New Roman"/>
          <w:szCs w:val="24"/>
          <w:u w:val="single"/>
        </w:rPr>
        <w:t xml:space="preserve">formal </w:t>
      </w:r>
      <w:r w:rsidR="005A7D9D" w:rsidRPr="0031481D">
        <w:rPr>
          <w:rFonts w:cs="Times New Roman"/>
          <w:szCs w:val="24"/>
          <w:u w:val="single"/>
        </w:rPr>
        <w:t>e materialmente em lei</w:t>
      </w:r>
      <w:r w:rsidR="005A7D9D">
        <w:rPr>
          <w:rStyle w:val="FootnoteReference"/>
        </w:rPr>
        <w:footnoteReference w:id="88"/>
      </w:r>
      <w:r w:rsidR="008463AA">
        <w:rPr>
          <w:rFonts w:cs="Times New Roman"/>
          <w:szCs w:val="24"/>
        </w:rPr>
        <w:t>. O processo de interdição é previs</w:t>
      </w:r>
      <w:r>
        <w:rPr>
          <w:rFonts w:cs="Times New Roman"/>
          <w:szCs w:val="24"/>
        </w:rPr>
        <w:t>to pelo artigo 41 do CC</w:t>
      </w:r>
      <w:r w:rsidR="008463AA">
        <w:rPr>
          <w:rFonts w:cs="Times New Roman"/>
          <w:szCs w:val="24"/>
        </w:rPr>
        <w:t>,  lei acessível e previsível que prevê garantias adequadas, determina</w:t>
      </w:r>
      <w:r>
        <w:rPr>
          <w:rFonts w:cs="Times New Roman"/>
          <w:szCs w:val="24"/>
        </w:rPr>
        <w:t>ndo</w:t>
      </w:r>
      <w:r w:rsidR="008463AA">
        <w:rPr>
          <w:rFonts w:cs="Times New Roman"/>
          <w:szCs w:val="24"/>
        </w:rPr>
        <w:t xml:space="preserve"> que a decisão judicial considere amplo leque de elementos</w:t>
      </w:r>
      <w:r>
        <w:rPr>
          <w:rFonts w:cs="Times New Roman"/>
          <w:szCs w:val="24"/>
        </w:rPr>
        <w:t xml:space="preserve"> e</w:t>
      </w:r>
      <w:r w:rsidR="008463AA">
        <w:rPr>
          <w:rFonts w:cs="Times New Roman"/>
          <w:szCs w:val="24"/>
        </w:rPr>
        <w:t xml:space="preserve"> estabeleça períodos de revisão, a extensão e</w:t>
      </w:r>
      <w:r>
        <w:rPr>
          <w:rFonts w:cs="Times New Roman"/>
          <w:szCs w:val="24"/>
        </w:rPr>
        <w:t xml:space="preserve"> os</w:t>
      </w:r>
      <w:r w:rsidR="008463AA">
        <w:rPr>
          <w:rFonts w:cs="Times New Roman"/>
          <w:szCs w:val="24"/>
        </w:rPr>
        <w:t xml:space="preserve"> limites da curatela. Ainda, há possibilidade de recurso contra a decisão</w:t>
      </w:r>
      <w:r w:rsidR="00AD1B5C">
        <w:rPr>
          <w:rFonts w:cs="Times New Roman"/>
          <w:szCs w:val="24"/>
        </w:rPr>
        <w:t xml:space="preserve">; </w:t>
      </w:r>
      <w:r w:rsidR="005A7D9D">
        <w:rPr>
          <w:rFonts w:cs="Times New Roman"/>
          <w:szCs w:val="24"/>
        </w:rPr>
        <w:t xml:space="preserve">ii) </w:t>
      </w:r>
      <w:r w:rsidR="005A7D9D" w:rsidRPr="0031481D">
        <w:rPr>
          <w:rFonts w:cs="Times New Roman"/>
          <w:szCs w:val="24"/>
          <w:u w:val="single"/>
        </w:rPr>
        <w:t xml:space="preserve">perseguiu </w:t>
      </w:r>
      <w:r w:rsidR="008B3964" w:rsidRPr="0031481D">
        <w:rPr>
          <w:rFonts w:cs="Times New Roman"/>
          <w:szCs w:val="24"/>
          <w:u w:val="single"/>
        </w:rPr>
        <w:t xml:space="preserve">o </w:t>
      </w:r>
      <w:r w:rsidR="005A7D9D" w:rsidRPr="0031481D">
        <w:rPr>
          <w:rFonts w:cs="Times New Roman"/>
          <w:szCs w:val="24"/>
          <w:u w:val="single"/>
        </w:rPr>
        <w:t>fim legitimo</w:t>
      </w:r>
      <w:r w:rsidR="005A7D9D">
        <w:rPr>
          <w:rStyle w:val="FootnoteReference"/>
        </w:rPr>
        <w:footnoteReference w:id="89"/>
      </w:r>
      <w:r w:rsidR="005A7D9D">
        <w:rPr>
          <w:rFonts w:cs="Times New Roman"/>
          <w:szCs w:val="24"/>
        </w:rPr>
        <w:t xml:space="preserve"> </w:t>
      </w:r>
      <w:r w:rsidR="008B3964">
        <w:rPr>
          <w:rFonts w:cs="Times New Roman"/>
          <w:szCs w:val="24"/>
        </w:rPr>
        <w:t>de proteger os interesses das pessoas com deficiência, conforme exposto acima e de acordo com o entendimento da CtIDH</w:t>
      </w:r>
      <w:r w:rsidR="008B3964">
        <w:rPr>
          <w:rStyle w:val="FootnoteReference"/>
          <w:rFonts w:cs="Times New Roman"/>
          <w:szCs w:val="24"/>
        </w:rPr>
        <w:footnoteReference w:id="90"/>
      </w:r>
      <w:r>
        <w:rPr>
          <w:rFonts w:cs="Times New Roman"/>
          <w:szCs w:val="24"/>
        </w:rPr>
        <w:t xml:space="preserve"> e</w:t>
      </w:r>
      <w:r w:rsidR="00B23F36">
        <w:rPr>
          <w:rFonts w:cs="Times New Roman"/>
          <w:szCs w:val="24"/>
        </w:rPr>
        <w:t xml:space="preserve"> </w:t>
      </w:r>
      <w:r w:rsidR="005A7D9D">
        <w:rPr>
          <w:rFonts w:cs="Times New Roman"/>
          <w:szCs w:val="24"/>
        </w:rPr>
        <w:t xml:space="preserve">iii) </w:t>
      </w:r>
      <w:r w:rsidR="005A7D9D" w:rsidRPr="0031481D">
        <w:rPr>
          <w:rFonts w:cs="Times New Roman"/>
          <w:szCs w:val="24"/>
          <w:u w:val="single"/>
        </w:rPr>
        <w:t>era necessária em uma sociedade democrática, cumprindo os requisitos de idoneidade e proporcionalidade</w:t>
      </w:r>
      <w:r w:rsidR="005A7D9D">
        <w:rPr>
          <w:rStyle w:val="FootnoteReference"/>
        </w:rPr>
        <w:footnoteReference w:id="91"/>
      </w:r>
      <w:r w:rsidR="005A7D9D">
        <w:rPr>
          <w:rFonts w:cs="Times New Roman"/>
          <w:szCs w:val="24"/>
        </w:rPr>
        <w:t>.</w:t>
      </w:r>
      <w:r w:rsidR="008463AA">
        <w:rPr>
          <w:rFonts w:cs="Times New Roman"/>
          <w:szCs w:val="24"/>
        </w:rPr>
        <w:t xml:space="preserve"> </w:t>
      </w:r>
      <w:r w:rsidR="008B3964">
        <w:rPr>
          <w:rFonts w:cs="Times New Roman"/>
          <w:szCs w:val="24"/>
        </w:rPr>
        <w:t xml:space="preserve">A restrição </w:t>
      </w:r>
      <w:r w:rsidR="0031481D">
        <w:rPr>
          <w:rFonts w:cs="Times New Roman"/>
          <w:szCs w:val="24"/>
        </w:rPr>
        <w:t>permite</w:t>
      </w:r>
      <w:r w:rsidR="008B3964">
        <w:rPr>
          <w:rFonts w:cs="Times New Roman"/>
          <w:szCs w:val="24"/>
        </w:rPr>
        <w:t xml:space="preserve"> equiparar as oportunidades entre pessoas com capacidades distintas na tomada de decisão. É idônea, pois o regime de representação constitui meio adequado de assegurar os interesses de uma pessoa carente de capacidade de exercer </w:t>
      </w:r>
      <w:r w:rsidR="008B3964">
        <w:rPr>
          <w:rFonts w:cs="Times New Roman"/>
          <w:szCs w:val="24"/>
        </w:rPr>
        <w:lastRenderedPageBreak/>
        <w:t>determinados direitos desassistidamente</w:t>
      </w:r>
      <w:r w:rsidR="008B3964">
        <w:rPr>
          <w:rStyle w:val="FootnoteReference"/>
          <w:rFonts w:cs="Times New Roman"/>
          <w:szCs w:val="24"/>
        </w:rPr>
        <w:footnoteReference w:id="92"/>
      </w:r>
      <w:r w:rsidR="008B3964">
        <w:rPr>
          <w:rFonts w:cs="Times New Roman"/>
          <w:szCs w:val="24"/>
        </w:rPr>
        <w:t>. É ainda proporcional por atingir um equilíbrio adequado entre os direitos em questão, conforme demonstrado acima.</w:t>
      </w:r>
      <w:r w:rsidR="008B3964" w:rsidDel="008B3964">
        <w:rPr>
          <w:rFonts w:cs="Times New Roman"/>
          <w:szCs w:val="24"/>
        </w:rPr>
        <w:t xml:space="preserve"> </w:t>
      </w:r>
    </w:p>
    <w:p w:rsidR="005A7D9D" w:rsidRPr="006A56C0" w:rsidRDefault="005A7D9D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A legislação referente à interdição não violou 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>
        <w:rPr>
          <w:rStyle w:val="BookTitle"/>
          <w:rFonts w:cs="Times New Roman"/>
          <w:smallCaps w:val="0"/>
          <w:spacing w:val="0"/>
          <w:sz w:val="24"/>
          <w:szCs w:val="24"/>
        </w:rPr>
        <w:t>rt. 2º da CADH</w:t>
      </w:r>
      <w:r w:rsidR="00813BC5">
        <w:tab/>
      </w:r>
    </w:p>
    <w:p w:rsidR="005A7D9D" w:rsidRDefault="005A7D9D" w:rsidP="005A7D9D">
      <w:pPr>
        <w:rPr>
          <w:rFonts w:cs="Times New Roman"/>
          <w:szCs w:val="24"/>
        </w:rPr>
      </w:pPr>
      <w:r>
        <w:rPr>
          <w:rFonts w:cs="Times New Roman"/>
          <w:szCs w:val="24"/>
        </w:rPr>
        <w:t>O artigo 2° da CADH estabelece</w:t>
      </w:r>
      <w:r w:rsidR="00813BC5">
        <w:rPr>
          <w:rFonts w:cs="Times New Roman"/>
          <w:szCs w:val="24"/>
        </w:rPr>
        <w:t xml:space="preserve"> o dever</w:t>
      </w:r>
      <w:r w:rsidR="00DC35FF">
        <w:rPr>
          <w:rFonts w:cs="Times New Roman"/>
          <w:szCs w:val="24"/>
        </w:rPr>
        <w:t xml:space="preserve"> de</w:t>
      </w:r>
      <w:r>
        <w:rPr>
          <w:rFonts w:cs="Times New Roman"/>
          <w:szCs w:val="24"/>
        </w:rPr>
        <w:t xml:space="preserve"> suprimir n</w:t>
      </w:r>
      <w:r w:rsidR="00813BC5">
        <w:rPr>
          <w:rFonts w:cs="Times New Roman"/>
          <w:szCs w:val="24"/>
        </w:rPr>
        <w:t xml:space="preserve">ormas incompatíveis com a CADH e de </w:t>
      </w:r>
      <w:r>
        <w:rPr>
          <w:rFonts w:cs="Times New Roman"/>
          <w:szCs w:val="24"/>
        </w:rPr>
        <w:t xml:space="preserve">adotar normas condizentes com </w:t>
      </w:r>
      <w:r w:rsidR="00DC35FF">
        <w:rPr>
          <w:rFonts w:cs="Times New Roman"/>
          <w:szCs w:val="24"/>
        </w:rPr>
        <w:t>su</w:t>
      </w:r>
      <w:r>
        <w:rPr>
          <w:rFonts w:cs="Times New Roman"/>
          <w:szCs w:val="24"/>
        </w:rPr>
        <w:t>a observância</w:t>
      </w:r>
      <w:r>
        <w:rPr>
          <w:rStyle w:val="FootnoteReference"/>
          <w:rFonts w:cs="Times New Roman"/>
          <w:szCs w:val="24"/>
        </w:rPr>
        <w:footnoteReference w:id="93"/>
      </w:r>
      <w:r>
        <w:rPr>
          <w:rFonts w:cs="Times New Roman"/>
          <w:szCs w:val="24"/>
        </w:rPr>
        <w:t xml:space="preserve">. </w:t>
      </w:r>
      <w:r w:rsidR="00813BC5">
        <w:rPr>
          <w:rFonts w:cs="Times New Roman"/>
          <w:szCs w:val="24"/>
        </w:rPr>
        <w:t>O argumento de que o</w:t>
      </w:r>
      <w:r>
        <w:rPr>
          <w:rFonts w:cs="Times New Roman"/>
          <w:szCs w:val="24"/>
        </w:rPr>
        <w:t xml:space="preserve"> artigo 41 </w:t>
      </w:r>
      <w:r w:rsidR="00DC35FF">
        <w:rPr>
          <w:rFonts w:cs="Times New Roman"/>
          <w:szCs w:val="24"/>
        </w:rPr>
        <w:t>do CC não se ade</w:t>
      </w:r>
      <w:r>
        <w:rPr>
          <w:rFonts w:cs="Times New Roman"/>
          <w:szCs w:val="24"/>
        </w:rPr>
        <w:t>qua aos parâmetros</w:t>
      </w:r>
      <w:r w:rsidR="00813BC5">
        <w:rPr>
          <w:rFonts w:cs="Times New Roman"/>
          <w:szCs w:val="24"/>
        </w:rPr>
        <w:t xml:space="preserve"> da CDPD não deve prosperar, pelos motivos descritos abaixo.</w:t>
      </w:r>
    </w:p>
    <w:p w:rsidR="005A7D9D" w:rsidRPr="005A7D9D" w:rsidRDefault="005A7D9D" w:rsidP="005A7D9D">
      <w:pPr>
        <w:rPr>
          <w:rStyle w:val="BookTitle"/>
          <w:rFonts w:cs="Times New Roman"/>
          <w:b w:val="0"/>
          <w:bCs w:val="0"/>
          <w:smallCaps w:val="0"/>
          <w:spacing w:val="0"/>
          <w:szCs w:val="24"/>
        </w:rPr>
      </w:pPr>
      <w:r>
        <w:rPr>
          <w:rFonts w:cs="Times New Roman"/>
          <w:szCs w:val="24"/>
        </w:rPr>
        <w:t xml:space="preserve">Em conformidade com a </w:t>
      </w:r>
      <w:r w:rsidR="00DC35FF">
        <w:rPr>
          <w:rFonts w:cs="Times New Roman"/>
          <w:szCs w:val="24"/>
        </w:rPr>
        <w:t xml:space="preserve">mencionada </w:t>
      </w:r>
      <w:r>
        <w:rPr>
          <w:rFonts w:cs="Times New Roman"/>
          <w:szCs w:val="24"/>
        </w:rPr>
        <w:t xml:space="preserve">transição de paradigmas no regime internacional, tramita em Exclutia projeto de lei que limita a interdição apenas àqueles que não podem expressar sua vontade por nenhum meio. Esta nova lei compatibilizará o direito interno com as disposições da CDPD, pois elimina regimes de decisão substituída para todos aqueles que </w:t>
      </w:r>
      <w:r w:rsidR="00EA63D7">
        <w:rPr>
          <w:rFonts w:cs="Times New Roman"/>
          <w:szCs w:val="24"/>
        </w:rPr>
        <w:t>podem</w:t>
      </w:r>
      <w:r>
        <w:rPr>
          <w:rFonts w:cs="Times New Roman"/>
          <w:szCs w:val="24"/>
        </w:rPr>
        <w:t xml:space="preserve">, por meio de qualquer método ou com o auxílio de outros, expressar sua vontade. Embora a CtIDH considere que uma mudança posterior do direito interno não inibe </w:t>
      </w:r>
      <w:r w:rsidR="00EA63D7">
        <w:rPr>
          <w:rFonts w:cs="Times New Roman"/>
          <w:szCs w:val="24"/>
        </w:rPr>
        <w:t>a análise pel</w:t>
      </w:r>
      <w:r>
        <w:rPr>
          <w:rFonts w:cs="Times New Roman"/>
          <w:szCs w:val="24"/>
        </w:rPr>
        <w:t>os órgãos do SIDH</w:t>
      </w:r>
      <w:r>
        <w:rPr>
          <w:rStyle w:val="FootnoteReference"/>
          <w:rFonts w:cs="Times New Roman"/>
          <w:szCs w:val="24"/>
        </w:rPr>
        <w:footnoteReference w:id="94"/>
      </w:r>
      <w:r>
        <w:rPr>
          <w:rFonts w:cs="Times New Roman"/>
          <w:szCs w:val="24"/>
        </w:rPr>
        <w:t>, seu entendimento reconhece que a adequação do direito interno a novos parâmetros internacionais leva certo tempo</w:t>
      </w:r>
      <w:r>
        <w:rPr>
          <w:rStyle w:val="FootnoteReference"/>
          <w:rFonts w:cs="Times New Roman"/>
          <w:szCs w:val="24"/>
        </w:rPr>
        <w:footnoteReference w:id="95"/>
      </w:r>
      <w:r>
        <w:rPr>
          <w:rFonts w:cs="Times New Roman"/>
          <w:szCs w:val="24"/>
        </w:rPr>
        <w:t xml:space="preserve">. </w:t>
      </w:r>
      <w:r w:rsidR="00EA63D7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duração deste tempo deve ser razoável, não devendo ultrapassar dez anos. Considerando que este prazo deve ser contado a partir da data em que o instrumento internacional em questão entrou em vigor perante o direito interno do Estado</w:t>
      </w:r>
      <w:r>
        <w:rPr>
          <w:rStyle w:val="FootnoteReference"/>
          <w:rFonts w:cs="Times New Roman"/>
          <w:szCs w:val="24"/>
        </w:rPr>
        <w:footnoteReference w:id="96"/>
      </w:r>
      <w:r>
        <w:rPr>
          <w:rFonts w:cs="Times New Roman"/>
          <w:szCs w:val="24"/>
        </w:rPr>
        <w:t xml:space="preserve"> e que Exclutia ratificou a CDPD em 2008, não se pode dizer que o prazo decorrido é irrazoável</w:t>
      </w:r>
      <w:r w:rsidR="00BD272E">
        <w:rPr>
          <w:rFonts w:cs="Times New Roman"/>
          <w:szCs w:val="24"/>
        </w:rPr>
        <w:t>.</w:t>
      </w:r>
    </w:p>
    <w:p w:rsidR="00517718" w:rsidRDefault="00517718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Style w:val="BookTitle"/>
          <w:rFonts w:cs="Times New Roman"/>
          <w:smallCaps w:val="0"/>
          <w:spacing w:val="0"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O processo de interdição de Cristal não violou o </w:t>
      </w:r>
      <w:r w:rsidR="000C0DB5">
        <w:rPr>
          <w:rStyle w:val="BookTitle"/>
          <w:rFonts w:cs="Times New Roman"/>
          <w:smallCaps w:val="0"/>
          <w:spacing w:val="0"/>
          <w:sz w:val="24"/>
          <w:szCs w:val="24"/>
        </w:rPr>
        <w:t>a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rt. 8º </w:t>
      </w:r>
      <w:r w:rsidR="00E6141F"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da </w:t>
      </w: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>CADH</w:t>
      </w:r>
    </w:p>
    <w:p w:rsidR="005A7D9D" w:rsidRDefault="005A7D9D" w:rsidP="005A7D9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 devido processo legal abarca as condições para a defesa adequada daqueles cujos direitos estão perante consideração judicial. O termo “garantias judiciais” refere-se a um conjunto de requisitos </w:t>
      </w:r>
      <w:r>
        <w:rPr>
          <w:rFonts w:cs="Times New Roman"/>
          <w:szCs w:val="24"/>
        </w:rPr>
        <w:lastRenderedPageBreak/>
        <w:t>que devem ser observados em qualquer instância judicial</w:t>
      </w:r>
      <w:r w:rsidRPr="00D053DE">
        <w:rPr>
          <w:rFonts w:cs="Times New Roman"/>
          <w:szCs w:val="24"/>
          <w:vertAlign w:val="superscript"/>
        </w:rPr>
        <w:footnoteReference w:id="97"/>
      </w:r>
      <w:r>
        <w:rPr>
          <w:rFonts w:cs="Times New Roman"/>
          <w:szCs w:val="24"/>
        </w:rPr>
        <w:t>, quais sejam: i) direito a</w:t>
      </w:r>
      <w:r w:rsidR="00BD272E">
        <w:rPr>
          <w:rFonts w:cs="Times New Roman"/>
          <w:szCs w:val="24"/>
        </w:rPr>
        <w:t xml:space="preserve"> ser ouvido, ii) prazo razoável e</w:t>
      </w:r>
      <w:r>
        <w:rPr>
          <w:rFonts w:cs="Times New Roman"/>
          <w:szCs w:val="24"/>
        </w:rPr>
        <w:t xml:space="preserve"> iii) competência, independência e imparcialidade do Juiz ou Tribunal estabelecido anteriormente por lei. Considerando que os </w:t>
      </w:r>
      <w:r w:rsidR="00BD272E">
        <w:rPr>
          <w:rFonts w:cs="Times New Roman"/>
          <w:szCs w:val="24"/>
        </w:rPr>
        <w:t>outros</w:t>
      </w:r>
      <w:r>
        <w:rPr>
          <w:rFonts w:cs="Times New Roman"/>
          <w:szCs w:val="24"/>
        </w:rPr>
        <w:t xml:space="preserve"> requisitos não são objeto de controvérsia, a presente análise foca-se na não violação do direito a ser ouvido</w:t>
      </w:r>
      <w:r w:rsidR="00975FE9">
        <w:rPr>
          <w:rFonts w:cs="Times New Roman"/>
          <w:szCs w:val="24"/>
        </w:rPr>
        <w:t>.</w:t>
      </w:r>
    </w:p>
    <w:p w:rsidR="005A7D9D" w:rsidRDefault="005A7D9D" w:rsidP="005A7D9D">
      <w:pPr>
        <w:rPr>
          <w:rFonts w:cs="Times New Roman"/>
          <w:szCs w:val="24"/>
        </w:rPr>
      </w:pPr>
      <w:r>
        <w:rPr>
          <w:rFonts w:cs="Times New Roman"/>
          <w:szCs w:val="24"/>
        </w:rPr>
        <w:t>O direito a ser ouvido</w:t>
      </w:r>
      <w:r w:rsidRPr="00D053DE">
        <w:rPr>
          <w:rFonts w:cs="Times New Roman"/>
          <w:szCs w:val="24"/>
          <w:vertAlign w:val="superscript"/>
        </w:rPr>
        <w:footnoteReference w:id="98"/>
      </w:r>
      <w:r>
        <w:rPr>
          <w:rFonts w:cs="Times New Roman"/>
          <w:szCs w:val="24"/>
        </w:rPr>
        <w:t xml:space="preserve"> </w:t>
      </w:r>
      <w:r w:rsidR="00975FE9">
        <w:rPr>
          <w:rFonts w:cs="Times New Roman"/>
          <w:szCs w:val="24"/>
        </w:rPr>
        <w:t>determina que</w:t>
      </w:r>
      <w:r>
        <w:rPr>
          <w:rFonts w:cs="Times New Roman"/>
          <w:szCs w:val="24"/>
        </w:rPr>
        <w:t xml:space="preserve"> toda pessoa </w:t>
      </w:r>
      <w:r w:rsidR="00975FE9">
        <w:rPr>
          <w:rFonts w:cs="Times New Roman"/>
          <w:szCs w:val="24"/>
        </w:rPr>
        <w:t>tenha</w:t>
      </w:r>
      <w:r>
        <w:rPr>
          <w:rFonts w:cs="Times New Roman"/>
          <w:szCs w:val="24"/>
        </w:rPr>
        <w:t xml:space="preserve"> acesso a um tribunal ou órgão estatal encarregado de determinar seus direitos e obrigações</w:t>
      </w:r>
      <w:r w:rsidRPr="00D053DE">
        <w:rPr>
          <w:rFonts w:cs="Times New Roman"/>
          <w:szCs w:val="24"/>
          <w:vertAlign w:val="superscript"/>
        </w:rPr>
        <w:footnoteReference w:id="99"/>
      </w:r>
      <w:r>
        <w:rPr>
          <w:rFonts w:cs="Times New Roman"/>
          <w:szCs w:val="24"/>
        </w:rPr>
        <w:t>. No caso de processos acerca da capacidade legal de pessoas com deficiência, isto significa que o indivíduo tem direito a ter seus interesses representados, ainda que não disponha de recursos para contratar um advogado</w:t>
      </w:r>
      <w:r>
        <w:rPr>
          <w:rStyle w:val="FootnoteReference"/>
          <w:rFonts w:cs="Times New Roman"/>
          <w:szCs w:val="24"/>
        </w:rPr>
        <w:footnoteReference w:id="100"/>
      </w:r>
      <w:r>
        <w:rPr>
          <w:rFonts w:cs="Times New Roman"/>
          <w:szCs w:val="24"/>
        </w:rPr>
        <w:t>. No presente caso, este papel foi exercido pelo Ministério Público.</w:t>
      </w:r>
    </w:p>
    <w:p w:rsidR="005A7D9D" w:rsidRDefault="00EA63D7" w:rsidP="005A7D9D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rFonts w:eastAsiaTheme="minorEastAsia"/>
        </w:rPr>
        <w:t>Se p</w:t>
      </w:r>
      <w:r w:rsidR="005A7D9D">
        <w:rPr>
          <w:rFonts w:eastAsiaTheme="minorEastAsia"/>
        </w:rPr>
        <w:t>oderia alegar que a CtIDH já considerou que o direito a defesa não pode ser satisfeito pela participação do Ministério Publico em um procedimento</w:t>
      </w:r>
      <w:r w:rsidR="005A7D9D">
        <w:rPr>
          <w:rStyle w:val="FootnoteReference"/>
          <w:rFonts w:eastAsiaTheme="minorEastAsia"/>
        </w:rPr>
        <w:footnoteReference w:id="101"/>
      </w:r>
      <w:r w:rsidR="005A7D9D">
        <w:rPr>
          <w:rFonts w:eastAsiaTheme="minorEastAsia"/>
        </w:rPr>
        <w:t xml:space="preserve">. Entretanto, esta determinação foi feita em relação a um caso penal, tendo por base o fato de que, naquele caso específico, o Ministério Público estava agindo como agente de acusação, e não poderia </w:t>
      </w:r>
      <w:r>
        <w:rPr>
          <w:rFonts w:eastAsiaTheme="minorEastAsia"/>
        </w:rPr>
        <w:t>satisfazer</w:t>
      </w:r>
      <w:r w:rsidR="005A7D9D">
        <w:rPr>
          <w:rFonts w:eastAsiaTheme="minorEastAsia"/>
        </w:rPr>
        <w:t xml:space="preserve"> o direito a defesa em razão da natureza antagônica dos papeis que seriam depositados na mesma pessoa</w:t>
      </w:r>
      <w:r w:rsidR="005A7D9D">
        <w:rPr>
          <w:rStyle w:val="FootnoteReference"/>
          <w:rFonts w:eastAsiaTheme="minorEastAsia"/>
        </w:rPr>
        <w:footnoteReference w:id="102"/>
      </w:r>
      <w:r w:rsidR="00BD272E">
        <w:rPr>
          <w:rFonts w:eastAsiaTheme="minorEastAsia"/>
        </w:rPr>
        <w:t>. N</w:t>
      </w:r>
      <w:r w:rsidR="005A7D9D">
        <w:rPr>
          <w:rFonts w:eastAsiaTheme="minorEastAsia"/>
        </w:rPr>
        <w:t>o presente caso</w:t>
      </w:r>
      <w:r w:rsidR="00BD272E">
        <w:rPr>
          <w:rFonts w:eastAsiaTheme="minorEastAsia"/>
        </w:rPr>
        <w:t>,</w:t>
      </w:r>
      <w:r w:rsidR="005A7D9D">
        <w:rPr>
          <w:rFonts w:eastAsiaTheme="minorEastAsia"/>
        </w:rPr>
        <w:t xml:space="preserve"> o Ministério Pu</w:t>
      </w:r>
      <w:r w:rsidR="00BD272E">
        <w:rPr>
          <w:rFonts w:eastAsiaTheme="minorEastAsia"/>
        </w:rPr>
        <w:t>blico não tem função acusatória,</w:t>
      </w:r>
      <w:r w:rsidR="005A7D9D">
        <w:rPr>
          <w:rFonts w:eastAsiaTheme="minorEastAsia"/>
        </w:rPr>
        <w:t xml:space="preserve"> agindo unicamente como instituição garantidora de direitos.</w:t>
      </w:r>
    </w:p>
    <w:p w:rsidR="005A7D9D" w:rsidRPr="005A7D9D" w:rsidRDefault="00BD272E" w:rsidP="005A7D9D">
      <w:pPr>
        <w:rPr>
          <w:rStyle w:val="BookTitle"/>
          <w:rFonts w:cs="Times New Roman"/>
          <w:b w:val="0"/>
          <w:smallCaps w:val="0"/>
          <w:spacing w:val="0"/>
          <w:szCs w:val="24"/>
        </w:rPr>
      </w:pPr>
      <w:r>
        <w:rPr>
          <w:rFonts w:cs="Times New Roman"/>
          <w:szCs w:val="24"/>
        </w:rPr>
        <w:lastRenderedPageBreak/>
        <w:t xml:space="preserve">A </w:t>
      </w:r>
      <w:r w:rsidR="005A7D9D">
        <w:rPr>
          <w:rFonts w:cs="Times New Roman"/>
          <w:szCs w:val="24"/>
        </w:rPr>
        <w:t>jurisprudência da CtEDH para caracterizar como violação a não participação de Cristal na audiência</w:t>
      </w:r>
      <w:r w:rsidR="005A7D9D">
        <w:rPr>
          <w:rStyle w:val="FootnoteReference"/>
          <w:rFonts w:cs="Times New Roman"/>
          <w:szCs w:val="24"/>
        </w:rPr>
        <w:footnoteReference w:id="103"/>
      </w:r>
      <w:r>
        <w:rPr>
          <w:rFonts w:cs="Times New Roman"/>
          <w:szCs w:val="24"/>
        </w:rPr>
        <w:t xml:space="preserve"> não é aplicável  pois </w:t>
      </w:r>
      <w:r w:rsidR="005A7D9D">
        <w:rPr>
          <w:rFonts w:cs="Times New Roman"/>
          <w:szCs w:val="24"/>
        </w:rPr>
        <w:t>o entendimento da CtIDH difere do órgão europeu. Para a CtIDH, o respeito ao direito a ser ouvido não demanda que ele seja exercido de maneira oral</w:t>
      </w:r>
      <w:r w:rsidR="005A7D9D">
        <w:rPr>
          <w:rStyle w:val="FootnoteReference"/>
        </w:rPr>
        <w:footnoteReference w:id="104"/>
      </w:r>
      <w:r w:rsidR="005A7D9D">
        <w:rPr>
          <w:rFonts w:cs="Times New Roman"/>
          <w:szCs w:val="24"/>
        </w:rPr>
        <w:t>.</w:t>
      </w:r>
    </w:p>
    <w:p w:rsidR="00FD1668" w:rsidRPr="00FD1668" w:rsidRDefault="00517718" w:rsidP="00811CD6">
      <w:pPr>
        <w:pStyle w:val="ListParagraph"/>
        <w:numPr>
          <w:ilvl w:val="3"/>
          <w:numId w:val="2"/>
        </w:numPr>
        <w:tabs>
          <w:tab w:val="left" w:pos="1418"/>
        </w:tabs>
        <w:spacing w:line="48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75476C">
        <w:rPr>
          <w:rStyle w:val="BookTitle"/>
          <w:rFonts w:cs="Times New Roman"/>
          <w:smallCaps w:val="0"/>
          <w:spacing w:val="0"/>
          <w:sz w:val="24"/>
          <w:szCs w:val="24"/>
        </w:rPr>
        <w:t xml:space="preserve">O </w:t>
      </w:r>
      <w:r w:rsidR="00FD1668" w:rsidRPr="00FD1668">
        <w:rPr>
          <w:rFonts w:cs="Times New Roman"/>
          <w:b/>
          <w:sz w:val="24"/>
          <w:szCs w:val="24"/>
        </w:rPr>
        <w:t>processo de interdição de Cristal Tovar não violou as garantias previstas pelo artigo 25 da CADH</w:t>
      </w:r>
    </w:p>
    <w:p w:rsidR="00FD1668" w:rsidRDefault="00FD1668" w:rsidP="00FD1668">
      <w:pPr>
        <w:rPr>
          <w:rFonts w:cs="Times New Roman"/>
          <w:szCs w:val="24"/>
        </w:rPr>
      </w:pPr>
      <w:r w:rsidRPr="00336A13">
        <w:rPr>
          <w:rFonts w:cs="Times New Roman"/>
          <w:szCs w:val="24"/>
        </w:rPr>
        <w:t>O artigo 25 da CADH estabelece, em termos amplos, a obrigação dos Estados de oferecer àqueles sob sua jurisdição um re</w:t>
      </w:r>
      <w:r w:rsidR="00BD272E">
        <w:rPr>
          <w:rFonts w:cs="Times New Roman"/>
          <w:szCs w:val="24"/>
        </w:rPr>
        <w:t>curso simples, rápido e efetivo</w:t>
      </w:r>
      <w:r w:rsidRPr="001A045F">
        <w:rPr>
          <w:rFonts w:eastAsia="Times New Roman" w:cs="Times New Roman"/>
          <w:szCs w:val="24"/>
          <w:vertAlign w:val="superscript"/>
        </w:rPr>
        <w:footnoteReference w:id="105"/>
      </w:r>
      <w:r>
        <w:rPr>
          <w:rFonts w:cs="Times New Roman"/>
          <w:szCs w:val="24"/>
        </w:rPr>
        <w:t>.O direito de Cristal a um recurso efetivo foi garantido por dois remédios judiciais: a revisão judicial da interdição e o recurso de nulidade.</w:t>
      </w:r>
    </w:p>
    <w:p w:rsidR="00B93BD4" w:rsidRPr="001A045F" w:rsidRDefault="00473128" w:rsidP="001A045F">
      <w:pPr>
        <w:rPr>
          <w:rStyle w:val="BookTitle"/>
          <w:rFonts w:eastAsia="Times New Roman" w:cs="Times New Roman"/>
          <w:b w:val="0"/>
          <w:bCs w:val="0"/>
          <w:smallCaps w:val="0"/>
          <w:spacing w:val="0"/>
          <w:szCs w:val="24"/>
        </w:rPr>
      </w:pPr>
      <w:r>
        <w:rPr>
          <w:rFonts w:cs="Times New Roman"/>
          <w:szCs w:val="24"/>
        </w:rPr>
        <w:t xml:space="preserve">Primeramente, a </w:t>
      </w:r>
      <w:r w:rsidR="00FD1668">
        <w:rPr>
          <w:rFonts w:cs="Times New Roman"/>
          <w:szCs w:val="24"/>
        </w:rPr>
        <w:t>CtEDH já considerou um processo de interdição como violatório devido à impossibilidade de revisão pelo período de três anos, considerado excessivamente longo</w:t>
      </w:r>
      <w:r w:rsidR="00FD1668">
        <w:rPr>
          <w:rStyle w:val="FootnoteReference"/>
          <w:rFonts w:cs="Times New Roman"/>
          <w:szCs w:val="24"/>
        </w:rPr>
        <w:footnoteReference w:id="106"/>
      </w:r>
      <w:r w:rsidR="00FD166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Já a</w:t>
      </w:r>
      <w:r w:rsidR="00FD1668">
        <w:rPr>
          <w:rFonts w:cs="Times New Roman"/>
          <w:szCs w:val="24"/>
        </w:rPr>
        <w:t xml:space="preserve"> interdição de Cristal era submetida a revisão judicial anualmente.</w:t>
      </w:r>
      <w:r w:rsidR="00C776B0">
        <w:rPr>
          <w:rFonts w:cs="Times New Roman"/>
          <w:szCs w:val="24"/>
        </w:rPr>
        <w:t xml:space="preserve"> </w:t>
      </w:r>
      <w:r w:rsidR="00FD1668">
        <w:rPr>
          <w:rFonts w:cs="Times New Roman"/>
          <w:szCs w:val="24"/>
        </w:rPr>
        <w:t>Em segundo lugar, o recurso de nulidade era garantia adequada por ser i) simples</w:t>
      </w:r>
      <w:r>
        <w:rPr>
          <w:rFonts w:cs="Times New Roman"/>
          <w:szCs w:val="24"/>
        </w:rPr>
        <w:t>, pois a ODNEI não encontrou obstáculos processuais para sua interposição ou para o questionamento da decisão de primeira instância</w:t>
      </w:r>
      <w:r w:rsidR="00FD1668">
        <w:rPr>
          <w:rFonts w:cs="Times New Roman"/>
          <w:szCs w:val="24"/>
        </w:rPr>
        <w:t>; ii) rápido</w:t>
      </w:r>
      <w:r>
        <w:rPr>
          <w:rFonts w:cs="Times New Roman"/>
          <w:szCs w:val="24"/>
        </w:rPr>
        <w:t>, pois com atenção à devida complexidade da demanda, o recurso foi julgado com celeridade exemplar. O procedimento durou pouco mais de dois anos (considerados desde a interposição do recurso até o julgamento pela segunda instância), enquanto que a CtIDH considera excessivamente longos procedimentos que se estendem por cinco anos ou mais; e iii) efetivo, pois estava disponível e não era ilusório, constituindo recurso acessível e idôneo</w:t>
      </w:r>
      <w:r>
        <w:rPr>
          <w:rStyle w:val="FootnoteReference"/>
          <w:rFonts w:cs="Times New Roman"/>
          <w:szCs w:val="24"/>
        </w:rPr>
        <w:footnoteReference w:id="107"/>
      </w:r>
      <w:r>
        <w:rPr>
          <w:rFonts w:cs="Times New Roman"/>
          <w:szCs w:val="24"/>
        </w:rPr>
        <w:t xml:space="preserve"> para que se questionasse a interdição. Ademais, garantiu</w:t>
      </w:r>
      <w:r w:rsidR="00FD1668">
        <w:rPr>
          <w:rFonts w:cs="Times New Roman"/>
          <w:szCs w:val="24"/>
        </w:rPr>
        <w:t xml:space="preserve"> reexame integral </w:t>
      </w:r>
      <w:r>
        <w:rPr>
          <w:rFonts w:cs="Times New Roman"/>
          <w:szCs w:val="24"/>
        </w:rPr>
        <w:t xml:space="preserve">do mérito </w:t>
      </w:r>
      <w:r w:rsidR="00FD1668">
        <w:rPr>
          <w:rFonts w:cs="Times New Roman"/>
          <w:szCs w:val="24"/>
        </w:rPr>
        <w:t>da decisão recorrida</w:t>
      </w:r>
      <w:r w:rsidR="00FD1668">
        <w:rPr>
          <w:rStyle w:val="FootnoteReference"/>
          <w:rFonts w:cs="Times New Roman"/>
          <w:szCs w:val="24"/>
        </w:rPr>
        <w:footnoteReference w:id="108"/>
      </w:r>
      <w:r w:rsidR="00FD166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FD1668">
        <w:rPr>
          <w:rFonts w:cs="Times New Roman"/>
          <w:szCs w:val="24"/>
        </w:rPr>
        <w:t>O mero</w:t>
      </w:r>
      <w:r w:rsidR="00FD1668" w:rsidRPr="00336A13">
        <w:rPr>
          <w:rFonts w:cs="Times New Roman"/>
          <w:szCs w:val="24"/>
        </w:rPr>
        <w:t xml:space="preserve"> fato de </w:t>
      </w:r>
      <w:r w:rsidR="00FD1668">
        <w:rPr>
          <w:rFonts w:cs="Times New Roman"/>
          <w:szCs w:val="24"/>
        </w:rPr>
        <w:t xml:space="preserve">o remédio </w:t>
      </w:r>
      <w:r w:rsidR="00FD1668">
        <w:rPr>
          <w:rFonts w:cs="Times New Roman"/>
          <w:szCs w:val="24"/>
        </w:rPr>
        <w:lastRenderedPageBreak/>
        <w:t>não ter sido</w:t>
      </w:r>
      <w:r w:rsidR="00FD1668" w:rsidRPr="00336A13">
        <w:rPr>
          <w:rFonts w:cs="Times New Roman"/>
          <w:szCs w:val="24"/>
        </w:rPr>
        <w:t xml:space="preserve"> bem sucedido não implica em sua inefetividade</w:t>
      </w:r>
      <w:r w:rsidR="00FD1668" w:rsidRPr="001A045F">
        <w:rPr>
          <w:rStyle w:val="FootnoteReference"/>
          <w:rFonts w:cs="Times New Roman"/>
          <w:szCs w:val="24"/>
        </w:rPr>
        <w:footnoteReference w:id="109"/>
      </w:r>
      <w:r w:rsidR="00FD1668">
        <w:rPr>
          <w:rFonts w:cs="Times New Roman"/>
          <w:szCs w:val="24"/>
        </w:rPr>
        <w:t xml:space="preserve">. </w:t>
      </w:r>
      <w:r w:rsidR="00FD1668" w:rsidRPr="00336A13">
        <w:rPr>
          <w:rFonts w:cs="Times New Roman"/>
          <w:szCs w:val="24"/>
        </w:rPr>
        <w:t>Além disso, existia uma segunda possibilidade de recurso, a Suprema Corte de Justiça, que não foi utilizado pelas supostas vítimas.</w:t>
      </w:r>
      <w:r w:rsidR="00B93BD4" w:rsidRPr="001A045F">
        <w:rPr>
          <w:rFonts w:cs="Times New Roman"/>
          <w:szCs w:val="24"/>
        </w:rPr>
        <w:t xml:space="preserve"> </w:t>
      </w:r>
    </w:p>
    <w:p w:rsidR="00517718" w:rsidRPr="001A045F" w:rsidRDefault="00517718" w:rsidP="00AD4362">
      <w:pPr>
        <w:pStyle w:val="ListParagraph"/>
        <w:numPr>
          <w:ilvl w:val="1"/>
          <w:numId w:val="2"/>
        </w:numPr>
        <w:tabs>
          <w:tab w:val="left" w:pos="1418"/>
        </w:tabs>
        <w:spacing w:line="480" w:lineRule="auto"/>
        <w:ind w:left="0" w:firstLine="0"/>
        <w:outlineLvl w:val="1"/>
        <w:rPr>
          <w:rStyle w:val="SubtleReference"/>
          <w:rFonts w:cs="Times New Roman"/>
          <w:bCs/>
          <w:smallCaps w:val="0"/>
          <w:szCs w:val="24"/>
        </w:rPr>
      </w:pPr>
      <w:bookmarkStart w:id="20" w:name="_Toc383464278"/>
      <w:r w:rsidRPr="0075476C">
        <w:rPr>
          <w:rStyle w:val="SubtleReference"/>
          <w:rFonts w:cs="Times New Roman"/>
          <w:szCs w:val="24"/>
        </w:rPr>
        <w:t>Medidas Provisórias</w:t>
      </w:r>
      <w:bookmarkEnd w:id="20"/>
    </w:p>
    <w:p w:rsidR="00813BC5" w:rsidRDefault="001A045F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Medidas provisórias são instrumentos </w:t>
      </w:r>
      <w:r w:rsidR="00EA63D7">
        <w:rPr>
          <w:rFonts w:cs="Times New Roman"/>
          <w:szCs w:val="24"/>
        </w:rPr>
        <w:t>que</w:t>
      </w:r>
      <w:r w:rsidRPr="001A045F">
        <w:rPr>
          <w:rFonts w:cs="Times New Roman"/>
          <w:szCs w:val="24"/>
        </w:rPr>
        <w:t xml:space="preserve"> torna</w:t>
      </w:r>
      <w:r w:rsidR="00EA63D7">
        <w:rPr>
          <w:rFonts w:cs="Times New Roman"/>
          <w:szCs w:val="24"/>
        </w:rPr>
        <w:t>m</w:t>
      </w:r>
      <w:r w:rsidRPr="001A045F">
        <w:rPr>
          <w:rFonts w:cs="Times New Roman"/>
          <w:szCs w:val="24"/>
        </w:rPr>
        <w:t xml:space="preserve"> efetiva a proteção dos direitos humanos em casos que demand</w:t>
      </w:r>
      <w:r w:rsidR="00DD309F">
        <w:rPr>
          <w:rFonts w:cs="Times New Roman"/>
          <w:szCs w:val="24"/>
        </w:rPr>
        <w:t>a</w:t>
      </w:r>
      <w:r w:rsidRPr="001A045F">
        <w:rPr>
          <w:rFonts w:cs="Times New Roman"/>
          <w:szCs w:val="24"/>
        </w:rPr>
        <w:t>m ação imediata</w:t>
      </w:r>
      <w:r w:rsidRPr="001A045F">
        <w:rPr>
          <w:rFonts w:cs="Times New Roman"/>
          <w:szCs w:val="24"/>
          <w:vertAlign w:val="superscript"/>
        </w:rPr>
        <w:footnoteReference w:id="110"/>
      </w:r>
      <w:r w:rsidRPr="001A045F">
        <w:rPr>
          <w:rFonts w:cs="Times New Roman"/>
          <w:szCs w:val="24"/>
        </w:rPr>
        <w:t xml:space="preserve">. </w:t>
      </w:r>
      <w:r w:rsidR="00813BC5">
        <w:rPr>
          <w:rFonts w:cs="Times New Roman"/>
          <w:szCs w:val="24"/>
        </w:rPr>
        <w:t>N</w:t>
      </w:r>
      <w:r w:rsidRPr="001A045F">
        <w:rPr>
          <w:rFonts w:cs="Times New Roman"/>
          <w:szCs w:val="24"/>
        </w:rPr>
        <w:t xml:space="preserve">ão </w:t>
      </w:r>
      <w:r w:rsidR="00DD309F">
        <w:rPr>
          <w:rFonts w:cs="Times New Roman"/>
          <w:szCs w:val="24"/>
        </w:rPr>
        <w:t xml:space="preserve">se </w:t>
      </w:r>
      <w:r w:rsidRPr="001A045F">
        <w:rPr>
          <w:rFonts w:cs="Times New Roman"/>
          <w:szCs w:val="24"/>
        </w:rPr>
        <w:t xml:space="preserve">questiona </w:t>
      </w:r>
      <w:r w:rsidR="00007657">
        <w:rPr>
          <w:rFonts w:cs="Times New Roman"/>
          <w:szCs w:val="24"/>
        </w:rPr>
        <w:t>a extensão</w:t>
      </w:r>
      <w:r w:rsidRPr="001A045F">
        <w:rPr>
          <w:rFonts w:cs="Times New Roman"/>
          <w:szCs w:val="24"/>
        </w:rPr>
        <w:t xml:space="preserve"> </w:t>
      </w:r>
      <w:r w:rsidR="00007657">
        <w:rPr>
          <w:rFonts w:cs="Times New Roman"/>
          <w:szCs w:val="24"/>
        </w:rPr>
        <w:t>d</w:t>
      </w:r>
      <w:r w:rsidRPr="001A045F">
        <w:rPr>
          <w:rFonts w:cs="Times New Roman"/>
          <w:szCs w:val="24"/>
        </w:rPr>
        <w:t xml:space="preserve">o pedido </w:t>
      </w:r>
      <w:r w:rsidR="00DD309F">
        <w:rPr>
          <w:rFonts w:cs="Times New Roman"/>
          <w:szCs w:val="24"/>
        </w:rPr>
        <w:t>a</w:t>
      </w:r>
      <w:r w:rsidRPr="001A045F">
        <w:rPr>
          <w:rFonts w:cs="Times New Roman"/>
          <w:szCs w:val="24"/>
        </w:rPr>
        <w:t xml:space="preserve">os residentes de La Casita suscetíveis ao isolamento, </w:t>
      </w:r>
      <w:r w:rsidR="00007657">
        <w:rPr>
          <w:rFonts w:cs="Times New Roman"/>
          <w:szCs w:val="24"/>
        </w:rPr>
        <w:t xml:space="preserve">pois eles </w:t>
      </w:r>
      <w:r w:rsidRPr="001A045F">
        <w:rPr>
          <w:rFonts w:cs="Times New Roman"/>
          <w:szCs w:val="24"/>
        </w:rPr>
        <w:t xml:space="preserve">podem ser </w:t>
      </w:r>
      <w:r w:rsidR="00007657" w:rsidRPr="001A045F">
        <w:rPr>
          <w:rFonts w:cs="Times New Roman"/>
          <w:szCs w:val="24"/>
        </w:rPr>
        <w:t>identificad</w:t>
      </w:r>
      <w:r w:rsidR="00007657">
        <w:rPr>
          <w:rFonts w:cs="Times New Roman"/>
          <w:szCs w:val="24"/>
        </w:rPr>
        <w:t>o</w:t>
      </w:r>
      <w:r w:rsidR="00007657" w:rsidRPr="001A045F">
        <w:rPr>
          <w:rFonts w:cs="Times New Roman"/>
          <w:szCs w:val="24"/>
        </w:rPr>
        <w:t>s</w:t>
      </w:r>
      <w:r w:rsidR="00813BC5" w:rsidRPr="001A045F">
        <w:rPr>
          <w:rFonts w:cs="Times New Roman"/>
          <w:szCs w:val="24"/>
          <w:vertAlign w:val="superscript"/>
        </w:rPr>
        <w:footnoteReference w:id="111"/>
      </w:r>
      <w:r w:rsidRPr="001A045F">
        <w:rPr>
          <w:rFonts w:cs="Times New Roman"/>
          <w:szCs w:val="24"/>
        </w:rPr>
        <w:t>.</w:t>
      </w:r>
      <w:r w:rsidR="00813BC5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>Ao analisar um pedido de medida provisória, a C</w:t>
      </w:r>
      <w:r w:rsidR="00007657">
        <w:rPr>
          <w:rFonts w:cs="Times New Roman"/>
          <w:szCs w:val="24"/>
        </w:rPr>
        <w:t>tIDH</w:t>
      </w:r>
      <w:r w:rsidRPr="001A045F">
        <w:rPr>
          <w:rFonts w:cs="Times New Roman"/>
          <w:szCs w:val="24"/>
        </w:rPr>
        <w:t xml:space="preserve"> deve averiguar se a situação </w:t>
      </w:r>
      <w:r w:rsidR="002355DB">
        <w:rPr>
          <w:rFonts w:cs="Times New Roman"/>
          <w:szCs w:val="24"/>
        </w:rPr>
        <w:t>analisada cumpre</w:t>
      </w:r>
      <w:r w:rsidRPr="001A045F">
        <w:rPr>
          <w:rFonts w:cs="Times New Roman"/>
          <w:szCs w:val="24"/>
        </w:rPr>
        <w:t xml:space="preserve"> </w:t>
      </w:r>
      <w:r w:rsidR="002355DB">
        <w:rPr>
          <w:rFonts w:cs="Times New Roman"/>
          <w:szCs w:val="24"/>
        </w:rPr>
        <w:t>cert</w:t>
      </w:r>
      <w:r w:rsidR="00007657">
        <w:rPr>
          <w:rFonts w:cs="Times New Roman"/>
          <w:szCs w:val="24"/>
        </w:rPr>
        <w:t>os requisitos</w:t>
      </w:r>
      <w:r w:rsidRPr="001A045F">
        <w:rPr>
          <w:rFonts w:cs="Times New Roman"/>
          <w:szCs w:val="24"/>
          <w:vertAlign w:val="superscript"/>
        </w:rPr>
        <w:footnoteReference w:id="112"/>
      </w:r>
      <w:r w:rsidRPr="001A045F">
        <w:rPr>
          <w:rFonts w:cs="Times New Roman"/>
          <w:szCs w:val="24"/>
        </w:rPr>
        <w:t xml:space="preserve"> – desconsiderando, neste estágio, questões </w:t>
      </w:r>
      <w:r w:rsidR="00813BC5">
        <w:rPr>
          <w:rFonts w:cs="Times New Roman"/>
          <w:szCs w:val="24"/>
        </w:rPr>
        <w:t xml:space="preserve">de </w:t>
      </w:r>
      <w:r w:rsidRPr="001A045F">
        <w:rPr>
          <w:rFonts w:cs="Times New Roman"/>
          <w:szCs w:val="24"/>
        </w:rPr>
        <w:t>mérito</w:t>
      </w:r>
      <w:r w:rsidRPr="001A045F">
        <w:rPr>
          <w:rFonts w:cs="Times New Roman"/>
          <w:szCs w:val="24"/>
          <w:vertAlign w:val="superscript"/>
        </w:rPr>
        <w:footnoteReference w:id="113"/>
      </w:r>
      <w:r w:rsidR="00DD309F">
        <w:rPr>
          <w:rFonts w:cs="Times New Roman"/>
          <w:szCs w:val="24"/>
        </w:rPr>
        <w:t>. Neste</w:t>
      </w:r>
      <w:r w:rsidRPr="001A045F">
        <w:rPr>
          <w:rFonts w:cs="Times New Roman"/>
          <w:szCs w:val="24"/>
        </w:rPr>
        <w:t xml:space="preserve"> caso</w:t>
      </w:r>
      <w:r w:rsidR="00DD309F">
        <w:rPr>
          <w:rFonts w:cs="Times New Roman"/>
          <w:szCs w:val="24"/>
        </w:rPr>
        <w:t>,</w:t>
      </w:r>
      <w:r w:rsidRPr="001A045F">
        <w:rPr>
          <w:rFonts w:cs="Times New Roman"/>
          <w:szCs w:val="24"/>
        </w:rPr>
        <w:t xml:space="preserve"> </w:t>
      </w:r>
      <w:r w:rsidR="00DD309F">
        <w:rPr>
          <w:rFonts w:cs="Times New Roman"/>
          <w:szCs w:val="24"/>
        </w:rPr>
        <w:t>o pedido deve ser rejeitado</w:t>
      </w:r>
      <w:r w:rsidRPr="001A045F">
        <w:rPr>
          <w:rFonts w:cs="Times New Roman"/>
          <w:szCs w:val="24"/>
        </w:rPr>
        <w:t>, pois a situação não cumpre nenhum</w:t>
      </w:r>
      <w:r w:rsidR="00007657">
        <w:rPr>
          <w:rFonts w:cs="Times New Roman"/>
          <w:szCs w:val="24"/>
        </w:rPr>
        <w:t>a destas exigências:</w:t>
      </w:r>
      <w:r w:rsidR="00813BC5">
        <w:rPr>
          <w:rFonts w:cs="Times New Roman"/>
          <w:szCs w:val="24"/>
        </w:rPr>
        <w:t xml:space="preserve"> </w:t>
      </w:r>
    </w:p>
    <w:p w:rsidR="001A045F" w:rsidRPr="001A045F" w:rsidRDefault="00007657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>i)</w:t>
      </w:r>
      <w:r w:rsidR="001A045F" w:rsidRPr="001A045F">
        <w:rPr>
          <w:rFonts w:cs="Times New Roman"/>
          <w:szCs w:val="24"/>
        </w:rPr>
        <w:t xml:space="preserve">, não se trata de uma situação de extrema gravidade. Medidas Provisórias são justificadas apenas quando a severidade da situação atinge seu grau mais intenso ou elevado. </w:t>
      </w:r>
      <w:r>
        <w:rPr>
          <w:rFonts w:cs="Times New Roman"/>
          <w:szCs w:val="24"/>
        </w:rPr>
        <w:t>A</w:t>
      </w:r>
      <w:r w:rsidR="001A045F" w:rsidRPr="001A045F">
        <w:rPr>
          <w:rFonts w:cs="Times New Roman"/>
          <w:szCs w:val="24"/>
        </w:rPr>
        <w:t xml:space="preserve"> situação que motivou o pedido foi </w:t>
      </w:r>
      <w:r w:rsidR="008112F0">
        <w:rPr>
          <w:rFonts w:cs="Times New Roman"/>
          <w:szCs w:val="24"/>
        </w:rPr>
        <w:t xml:space="preserve">uma medida </w:t>
      </w:r>
      <w:r w:rsidR="00896D37">
        <w:rPr>
          <w:rFonts w:cs="Times New Roman"/>
          <w:szCs w:val="24"/>
        </w:rPr>
        <w:t xml:space="preserve">excepcional </w:t>
      </w:r>
      <w:r w:rsidR="001A045F" w:rsidRPr="001A045F">
        <w:rPr>
          <w:rFonts w:cs="Times New Roman"/>
          <w:szCs w:val="24"/>
        </w:rPr>
        <w:t>de curtíssima duração. Não</w:t>
      </w:r>
      <w:r w:rsidR="00813BC5">
        <w:rPr>
          <w:rFonts w:cs="Times New Roman"/>
          <w:szCs w:val="24"/>
        </w:rPr>
        <w:t xml:space="preserve"> atingiu</w:t>
      </w:r>
      <w:r w:rsidR="001A045F" w:rsidRPr="001A045F">
        <w:rPr>
          <w:rFonts w:cs="Times New Roman"/>
          <w:szCs w:val="24"/>
        </w:rPr>
        <w:t>, portanto, o parâmetro de extrema gravidade.</w:t>
      </w:r>
    </w:p>
    <w:p w:rsidR="001A045F" w:rsidRPr="001A045F" w:rsidRDefault="00007657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t>ii) não há urgência</w:t>
      </w:r>
      <w:r w:rsidR="001A045F" w:rsidRPr="001A045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pois</w:t>
      </w:r>
      <w:r w:rsidR="001A045F" w:rsidRPr="001A045F">
        <w:rPr>
          <w:rFonts w:cs="Times New Roman"/>
          <w:szCs w:val="24"/>
        </w:rPr>
        <w:t xml:space="preserve"> a possibilidade de um novo isolamento </w:t>
      </w:r>
      <w:r>
        <w:rPr>
          <w:rFonts w:cs="Times New Roman"/>
          <w:szCs w:val="24"/>
        </w:rPr>
        <w:t>não é</w:t>
      </w:r>
      <w:r w:rsidR="001A045F" w:rsidRPr="001A045F">
        <w:rPr>
          <w:rFonts w:cs="Times New Roman"/>
          <w:szCs w:val="24"/>
        </w:rPr>
        <w:t xml:space="preserve"> iminente. </w:t>
      </w:r>
      <w:r>
        <w:rPr>
          <w:rFonts w:cs="Times New Roman"/>
          <w:szCs w:val="24"/>
        </w:rPr>
        <w:t>A</w:t>
      </w:r>
      <w:r w:rsidR="001A045F" w:rsidRPr="001A045F">
        <w:rPr>
          <w:rFonts w:cs="Times New Roman"/>
          <w:szCs w:val="24"/>
        </w:rPr>
        <w:t>penas a iminência de um dano justifica a adoção</w:t>
      </w:r>
      <w:r>
        <w:rPr>
          <w:rFonts w:cs="Times New Roman"/>
          <w:szCs w:val="24"/>
        </w:rPr>
        <w:t xml:space="preserve"> </w:t>
      </w:r>
      <w:r w:rsidR="001A045F" w:rsidRPr="001A045F">
        <w:rPr>
          <w:rFonts w:cs="Times New Roman"/>
          <w:szCs w:val="24"/>
        </w:rPr>
        <w:t xml:space="preserve">de medidas imediatas. Entretanto, a condição de Cristal não costuma gerar risco a si ou àqueles a sua volta. Pelo contrário, desde seu ingresso em La Casita </w:t>
      </w:r>
      <w:r>
        <w:rPr>
          <w:rFonts w:cs="Times New Roman"/>
          <w:szCs w:val="24"/>
        </w:rPr>
        <w:t>em</w:t>
      </w:r>
      <w:r w:rsidR="001A045F" w:rsidRPr="001A045F">
        <w:rPr>
          <w:rFonts w:cs="Times New Roman"/>
          <w:szCs w:val="24"/>
        </w:rPr>
        <w:t xml:space="preserve"> 2006 até 6 de abril 2014, nunca havia sido necessário coloc</w:t>
      </w:r>
      <w:r>
        <w:rPr>
          <w:rFonts w:cs="Times New Roman"/>
          <w:szCs w:val="24"/>
        </w:rPr>
        <w:t>á-la</w:t>
      </w:r>
      <w:r w:rsidR="001A045F" w:rsidRPr="001A045F">
        <w:rPr>
          <w:rFonts w:cs="Times New Roman"/>
          <w:szCs w:val="24"/>
        </w:rPr>
        <w:t xml:space="preserve"> em isolamento . Tratou-se de uma única situação excepcional, e não há indício</w:t>
      </w:r>
      <w:r w:rsidR="00DD309F">
        <w:rPr>
          <w:rFonts w:cs="Times New Roman"/>
          <w:szCs w:val="24"/>
        </w:rPr>
        <w:t>s</w:t>
      </w:r>
      <w:r w:rsidR="001A045F" w:rsidRPr="001A045F">
        <w:rPr>
          <w:rFonts w:cs="Times New Roman"/>
          <w:szCs w:val="24"/>
        </w:rPr>
        <w:t xml:space="preserve"> de que vá ser necessário repeti-la. Da mesma forma, não </w:t>
      </w:r>
      <w:r>
        <w:rPr>
          <w:rFonts w:cs="Times New Roman"/>
          <w:szCs w:val="24"/>
        </w:rPr>
        <w:t xml:space="preserve">há </w:t>
      </w:r>
      <w:r w:rsidR="001A045F" w:rsidRPr="001A045F">
        <w:rPr>
          <w:rFonts w:cs="Times New Roman"/>
          <w:szCs w:val="24"/>
        </w:rPr>
        <w:t xml:space="preserve"> indícios de que outros pacientes estejam na iminência de serem isolados</w:t>
      </w:r>
      <w:r>
        <w:rPr>
          <w:rFonts w:cs="Times New Roman"/>
          <w:szCs w:val="24"/>
        </w:rPr>
        <w:t>, já que</w:t>
      </w:r>
      <w:r w:rsidR="00DD309F">
        <w:rPr>
          <w:rFonts w:cs="Times New Roman"/>
          <w:szCs w:val="24"/>
        </w:rPr>
        <w:t>,</w:t>
      </w:r>
      <w:r w:rsidR="001A045F" w:rsidRPr="001A045F">
        <w:rPr>
          <w:rFonts w:cs="Times New Roman"/>
          <w:szCs w:val="24"/>
        </w:rPr>
        <w:t xml:space="preserve"> no período em que esteve em La Casita, Cristal presenciou a utilização do regime de isolamento apenas três vezes.</w:t>
      </w:r>
    </w:p>
    <w:p w:rsidR="001A045F" w:rsidRPr="001A045F" w:rsidRDefault="00007657" w:rsidP="001A045F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iii)</w:t>
      </w:r>
      <w:r w:rsidR="001A045F" w:rsidRPr="001A045F">
        <w:rPr>
          <w:rFonts w:cs="Times New Roman"/>
          <w:szCs w:val="24"/>
        </w:rPr>
        <w:t xml:space="preserve"> </w:t>
      </w:r>
      <w:r w:rsidR="00DD309F">
        <w:rPr>
          <w:rFonts w:cs="Times New Roman"/>
          <w:szCs w:val="24"/>
        </w:rPr>
        <w:t>Não há</w:t>
      </w:r>
      <w:r w:rsidR="001A045F" w:rsidRPr="001A045F">
        <w:rPr>
          <w:rFonts w:cs="Times New Roman"/>
          <w:szCs w:val="24"/>
        </w:rPr>
        <w:t xml:space="preserve"> probabilidade razoável de que danos </w:t>
      </w:r>
      <w:r w:rsidR="00DD309F">
        <w:rPr>
          <w:rFonts w:cs="Times New Roman"/>
          <w:szCs w:val="24"/>
        </w:rPr>
        <w:t xml:space="preserve">irreparáveis </w:t>
      </w:r>
      <w:r w:rsidR="001A045F" w:rsidRPr="001A045F">
        <w:rPr>
          <w:rFonts w:cs="Times New Roman"/>
          <w:szCs w:val="24"/>
        </w:rPr>
        <w:t>ocorrerão</w:t>
      </w:r>
      <w:r w:rsidR="001A045F" w:rsidRPr="001A045F">
        <w:rPr>
          <w:rFonts w:cs="Times New Roman"/>
          <w:szCs w:val="24"/>
          <w:vertAlign w:val="superscript"/>
        </w:rPr>
        <w:footnoteReference w:id="114"/>
      </w:r>
      <w:r w:rsidR="001A045F" w:rsidRPr="001A045F">
        <w:rPr>
          <w:rFonts w:cs="Times New Roman"/>
          <w:szCs w:val="24"/>
        </w:rPr>
        <w:t xml:space="preserve">. </w:t>
      </w:r>
      <w:r w:rsidR="00DD309F">
        <w:rPr>
          <w:rFonts w:cs="Times New Roman"/>
          <w:szCs w:val="24"/>
        </w:rPr>
        <w:t>O</w:t>
      </w:r>
      <w:r w:rsidR="001A045F" w:rsidRPr="001A045F">
        <w:rPr>
          <w:rFonts w:cs="Times New Roman"/>
          <w:szCs w:val="24"/>
        </w:rPr>
        <w:t xml:space="preserve"> único dano que poderia ser causado a Cristal seria emocional ou psicológico. De fato, </w:t>
      </w:r>
      <w:r w:rsidR="00455EF0">
        <w:rPr>
          <w:rFonts w:cs="Times New Roman"/>
          <w:szCs w:val="24"/>
        </w:rPr>
        <w:t>m</w:t>
      </w:r>
      <w:r w:rsidR="001A045F" w:rsidRPr="001A045F">
        <w:rPr>
          <w:rFonts w:cs="Times New Roman"/>
          <w:szCs w:val="24"/>
        </w:rPr>
        <w:t xml:space="preserve">edidas </w:t>
      </w:r>
      <w:r w:rsidR="00455EF0">
        <w:rPr>
          <w:rFonts w:cs="Times New Roman"/>
          <w:szCs w:val="24"/>
        </w:rPr>
        <w:t>p</w:t>
      </w:r>
      <w:r w:rsidR="001A045F" w:rsidRPr="001A045F">
        <w:rPr>
          <w:rFonts w:cs="Times New Roman"/>
          <w:szCs w:val="24"/>
        </w:rPr>
        <w:t xml:space="preserve">rovisórias consideram, cada vez mais, danos desta natureza como irreparáveis. Entretanto, tais medidas se referem a </w:t>
      </w:r>
      <w:r w:rsidR="00903279">
        <w:rPr>
          <w:rFonts w:cs="Times New Roman"/>
          <w:szCs w:val="24"/>
        </w:rPr>
        <w:t xml:space="preserve">graves </w:t>
      </w:r>
      <w:r w:rsidR="001A045F" w:rsidRPr="001A045F">
        <w:rPr>
          <w:rFonts w:cs="Times New Roman"/>
          <w:szCs w:val="24"/>
        </w:rPr>
        <w:t>danos permanentes, como a tomada de terras tradicionais de populações indígenas</w:t>
      </w:r>
      <w:r w:rsidR="001A045F" w:rsidRPr="001A045F">
        <w:rPr>
          <w:rFonts w:cs="Times New Roman"/>
          <w:szCs w:val="24"/>
          <w:vertAlign w:val="superscript"/>
        </w:rPr>
        <w:footnoteReference w:id="115"/>
      </w:r>
      <w:r w:rsidR="001A045F" w:rsidRPr="001A045F">
        <w:rPr>
          <w:rFonts w:cs="Times New Roman"/>
          <w:szCs w:val="24"/>
        </w:rPr>
        <w:t xml:space="preserve"> e a separação de crianças de suas famílias</w:t>
      </w:r>
      <w:r w:rsidR="001A045F" w:rsidRPr="001A045F">
        <w:rPr>
          <w:rFonts w:cs="Times New Roman"/>
          <w:szCs w:val="24"/>
          <w:vertAlign w:val="superscript"/>
        </w:rPr>
        <w:footnoteReference w:id="116"/>
      </w:r>
      <w:r w:rsidR="001A045F" w:rsidRPr="001A045F">
        <w:rPr>
          <w:rFonts w:cs="Times New Roman"/>
          <w:szCs w:val="24"/>
        </w:rPr>
        <w:t>.</w:t>
      </w:r>
      <w:r w:rsidR="00455EF0">
        <w:rPr>
          <w:rFonts w:cs="Times New Roman"/>
          <w:szCs w:val="24"/>
        </w:rPr>
        <w:t xml:space="preserve"> </w:t>
      </w:r>
      <w:r w:rsidR="00903279">
        <w:rPr>
          <w:rFonts w:cs="Times New Roman"/>
          <w:szCs w:val="24"/>
        </w:rPr>
        <w:t>Diferentemente</w:t>
      </w:r>
      <w:r w:rsidR="001A045F" w:rsidRPr="001A045F">
        <w:rPr>
          <w:rFonts w:cs="Times New Roman"/>
          <w:szCs w:val="24"/>
        </w:rPr>
        <w:t xml:space="preserve">, Cristal apenas ficou isolada em um cômodo, sabendo que dele sairia em poucas horas. Ademais, La Casita é uma instituição médica, e seus profissionais fornecem aos residentes acompanhamento </w:t>
      </w:r>
      <w:r w:rsidR="00DD309F" w:rsidRPr="001A045F">
        <w:rPr>
          <w:rFonts w:cs="Times New Roman"/>
          <w:szCs w:val="24"/>
        </w:rPr>
        <w:t>psicológic</w:t>
      </w:r>
      <w:r w:rsidR="00DD309F">
        <w:rPr>
          <w:rFonts w:cs="Times New Roman"/>
          <w:szCs w:val="24"/>
        </w:rPr>
        <w:t>o</w:t>
      </w:r>
      <w:r w:rsidR="00DD309F" w:rsidRPr="001A045F">
        <w:rPr>
          <w:rFonts w:cs="Times New Roman"/>
          <w:szCs w:val="24"/>
        </w:rPr>
        <w:t xml:space="preserve"> </w:t>
      </w:r>
      <w:r w:rsidR="001A045F" w:rsidRPr="001A045F">
        <w:rPr>
          <w:rFonts w:cs="Times New Roman"/>
          <w:szCs w:val="24"/>
        </w:rPr>
        <w:t xml:space="preserve">e </w:t>
      </w:r>
      <w:r w:rsidR="00DD309F" w:rsidRPr="001A045F">
        <w:rPr>
          <w:rFonts w:cs="Times New Roman"/>
          <w:szCs w:val="24"/>
        </w:rPr>
        <w:t>psiquiátric</w:t>
      </w:r>
      <w:r w:rsidR="00DD309F">
        <w:rPr>
          <w:rFonts w:cs="Times New Roman"/>
          <w:szCs w:val="24"/>
        </w:rPr>
        <w:t>o</w:t>
      </w:r>
      <w:r w:rsidR="001A045F" w:rsidRPr="001A045F">
        <w:rPr>
          <w:rFonts w:cs="Times New Roman"/>
          <w:szCs w:val="24"/>
        </w:rPr>
        <w:t>. Não há motivos para inferir que eles permitiriam esta prática caso houvesse risco de danos psicológicos</w:t>
      </w:r>
      <w:r w:rsidR="008112F0">
        <w:rPr>
          <w:rFonts w:cs="Times New Roman"/>
          <w:szCs w:val="24"/>
        </w:rPr>
        <w:t xml:space="preserve"> graves</w:t>
      </w:r>
      <w:r w:rsidR="001A045F" w:rsidRPr="001A045F">
        <w:rPr>
          <w:rFonts w:cs="Times New Roman"/>
          <w:szCs w:val="24"/>
        </w:rPr>
        <w:t>.</w:t>
      </w:r>
    </w:p>
    <w:p w:rsidR="001A045F" w:rsidRPr="001A045F" w:rsidRDefault="001A045F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 xml:space="preserve">Finalmente, em razão dos princípios da complementaridade e subsidiariedade, Medidas Provisórias são justificáveis </w:t>
      </w:r>
      <w:r w:rsidR="00311864">
        <w:rPr>
          <w:rFonts w:cs="Times New Roman"/>
          <w:szCs w:val="24"/>
        </w:rPr>
        <w:t xml:space="preserve">quando </w:t>
      </w:r>
      <w:r w:rsidRPr="001A045F">
        <w:rPr>
          <w:rFonts w:cs="Times New Roman"/>
          <w:szCs w:val="24"/>
        </w:rPr>
        <w:t xml:space="preserve">a proteção garantida pelo Estado é insuficiente ou inefetiva. Neste sentido, os fatos que originaram </w:t>
      </w:r>
      <w:r w:rsidR="00DD309F">
        <w:rPr>
          <w:rFonts w:cs="Times New Roman"/>
          <w:szCs w:val="24"/>
        </w:rPr>
        <w:t>um</w:t>
      </w:r>
      <w:r w:rsidR="00DD309F" w:rsidRPr="001A045F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 xml:space="preserve">pedido </w:t>
      </w:r>
      <w:r w:rsidR="008112F0">
        <w:rPr>
          <w:rFonts w:cs="Times New Roman"/>
          <w:szCs w:val="24"/>
        </w:rPr>
        <w:t>dev</w:t>
      </w:r>
      <w:r w:rsidR="00DD309F">
        <w:rPr>
          <w:rFonts w:cs="Times New Roman"/>
          <w:szCs w:val="24"/>
        </w:rPr>
        <w:t>e</w:t>
      </w:r>
      <w:r w:rsidR="008112F0">
        <w:rPr>
          <w:rFonts w:cs="Times New Roman"/>
          <w:szCs w:val="24"/>
        </w:rPr>
        <w:t>m ter</w:t>
      </w:r>
      <w:r w:rsidR="008112F0" w:rsidRPr="001A045F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 xml:space="preserve">sido previamente denunciados </w:t>
      </w:r>
      <w:r w:rsidR="00DD309F">
        <w:rPr>
          <w:rFonts w:cs="Times New Roman"/>
          <w:szCs w:val="24"/>
        </w:rPr>
        <w:t>a</w:t>
      </w:r>
      <w:r w:rsidR="008112F0">
        <w:rPr>
          <w:rFonts w:cs="Times New Roman"/>
          <w:szCs w:val="24"/>
        </w:rPr>
        <w:t xml:space="preserve"> </w:t>
      </w:r>
      <w:r w:rsidRPr="001A045F">
        <w:rPr>
          <w:rFonts w:cs="Times New Roman"/>
          <w:szCs w:val="24"/>
        </w:rPr>
        <w:t>autoridades nacionais, ainda que a situação tenha sido originada por agentes estatais.</w:t>
      </w:r>
      <w:r w:rsidRPr="001A045F">
        <w:rPr>
          <w:rFonts w:cs="Times New Roman"/>
          <w:szCs w:val="24"/>
          <w:vertAlign w:val="superscript"/>
        </w:rPr>
        <w:footnoteReference w:id="117"/>
      </w:r>
      <w:r w:rsidR="00903279">
        <w:rPr>
          <w:rFonts w:cs="Times New Roman"/>
          <w:szCs w:val="24"/>
        </w:rPr>
        <w:t xml:space="preserve"> Como o </w:t>
      </w:r>
      <w:r w:rsidRPr="001A045F">
        <w:rPr>
          <w:rFonts w:cs="Times New Roman"/>
          <w:szCs w:val="24"/>
        </w:rPr>
        <w:t xml:space="preserve">isolamento </w:t>
      </w:r>
      <w:r w:rsidR="00DD309F">
        <w:rPr>
          <w:rFonts w:cs="Times New Roman"/>
          <w:szCs w:val="24"/>
        </w:rPr>
        <w:t>não foi</w:t>
      </w:r>
      <w:r w:rsidR="00903279">
        <w:rPr>
          <w:rFonts w:cs="Times New Roman"/>
          <w:szCs w:val="24"/>
        </w:rPr>
        <w:t xml:space="preserve"> questionado</w:t>
      </w:r>
      <w:r w:rsidRPr="001A045F">
        <w:rPr>
          <w:rFonts w:cs="Times New Roman"/>
          <w:szCs w:val="24"/>
        </w:rPr>
        <w:t xml:space="preserve"> perante as autoridades de Exclutia, conceder a Medida Provisória retiraria do Estado a possibilidade de cumprir suas obrigações previamente à análise por uma instância internacional.</w:t>
      </w:r>
    </w:p>
    <w:p w:rsidR="001A045F" w:rsidRPr="001A045F" w:rsidRDefault="001A045F" w:rsidP="001A045F">
      <w:pPr>
        <w:rPr>
          <w:rFonts w:cs="Times New Roman"/>
          <w:szCs w:val="24"/>
        </w:rPr>
      </w:pPr>
      <w:r w:rsidRPr="001A045F">
        <w:rPr>
          <w:rFonts w:cs="Times New Roman"/>
          <w:szCs w:val="24"/>
        </w:rPr>
        <w:t>Há que se ressaltar que, caso a CtIDH decida pela improcedência da Medida Provisória, fica revogada a Medida Cautelar previamente concedida. O novo regulamento da CIDH deixa claro que se a CIDH solicitar Medida Provisória relacionada a um assunto sobre o qual já haja Medida Cautelar, a vigência da última é mantida apenas até que a CtIDH se pronuncie</w:t>
      </w:r>
      <w:r w:rsidRPr="001A045F">
        <w:rPr>
          <w:rFonts w:cs="Times New Roman"/>
          <w:szCs w:val="24"/>
          <w:vertAlign w:val="superscript"/>
        </w:rPr>
        <w:footnoteReference w:id="118"/>
      </w:r>
      <w:r w:rsidRPr="001A045F">
        <w:rPr>
          <w:rFonts w:cs="Times New Roman"/>
          <w:szCs w:val="24"/>
        </w:rPr>
        <w:t xml:space="preserve">. </w:t>
      </w:r>
      <w:r w:rsidR="008112F0">
        <w:rPr>
          <w:rFonts w:cs="Times New Roman"/>
          <w:szCs w:val="24"/>
        </w:rPr>
        <w:t>N</w:t>
      </w:r>
      <w:r w:rsidRPr="001A045F">
        <w:rPr>
          <w:rFonts w:cs="Times New Roman"/>
          <w:szCs w:val="24"/>
        </w:rPr>
        <w:t xml:space="preserve">este caso, o </w:t>
      </w:r>
      <w:r w:rsidRPr="001A045F">
        <w:rPr>
          <w:rFonts w:cs="Times New Roman"/>
          <w:szCs w:val="24"/>
        </w:rPr>
        <w:lastRenderedPageBreak/>
        <w:t>pedido foi realizado pelos representantes da suposta vítima, não pela CIDH. Entretanto, o mero fato de que a demanda já estava em fase processual na qual apenas os representantes da suposta vítima poderiam solicitar Medidas Provisórias</w:t>
      </w:r>
      <w:r w:rsidRPr="001A045F">
        <w:rPr>
          <w:rFonts w:cs="Times New Roman"/>
          <w:szCs w:val="24"/>
          <w:vertAlign w:val="superscript"/>
        </w:rPr>
        <w:footnoteReference w:id="119"/>
      </w:r>
      <w:r w:rsidRPr="001A045F">
        <w:rPr>
          <w:rFonts w:cs="Times New Roman"/>
          <w:szCs w:val="24"/>
        </w:rPr>
        <w:t xml:space="preserve"> não altera a natureza do instrumento. Interpretação divergente contrariaria o sentido do artigo 25.13 do Regulamento da CIDH, o qual estabelece que, depois que a CtIDH decline pedido de Medidas Provisórias sobre determinada matéria, não devem ser considerados pedidos de Medida Cautela. Lido em conjunto com o artigo 25.12, tal inciso deixa claro que não deve haver Medidas Cautelares relacionadas a assuntos já submetidos à análise acerca do cabimento de Medidas Provisórias. Tal entendimento fortalece</w:t>
      </w:r>
      <w:r w:rsidR="008112F0">
        <w:rPr>
          <w:rFonts w:cs="Times New Roman"/>
          <w:szCs w:val="24"/>
        </w:rPr>
        <w:t xml:space="preserve"> o SIDH,</w:t>
      </w:r>
      <w:r w:rsidRPr="001A045F">
        <w:rPr>
          <w:rFonts w:cs="Times New Roman"/>
          <w:szCs w:val="24"/>
        </w:rPr>
        <w:t xml:space="preserve"> pois enfatiza a coerência e complementaridade de seus órgãos.</w:t>
      </w:r>
    </w:p>
    <w:p w:rsidR="001A045F" w:rsidRPr="001A045F" w:rsidRDefault="001A045F" w:rsidP="001A045F">
      <w:pPr>
        <w:rPr>
          <w:rStyle w:val="SubtleReference"/>
          <w:rFonts w:cs="Times New Roman"/>
          <w:b w:val="0"/>
          <w:smallCaps w:val="0"/>
          <w:szCs w:val="24"/>
        </w:rPr>
      </w:pPr>
      <w:r w:rsidRPr="001A045F">
        <w:rPr>
          <w:rFonts w:cs="Times New Roman"/>
          <w:szCs w:val="24"/>
        </w:rPr>
        <w:t>No presente caso, a Medida Cautelar e o pedido de Medida Provisória estão intrinsecamente relacionados. Eles possuem os mesmos destinatários (os residentes de La Casita), o mesmo objeto (condições relacionadas a sua permanência em La Casita) e o mesmo caso base (a situação de Cristal Tovar). Portanto, caso a CtIDH determine a improcedência da Medida Provisória, deverá restar revogada a Medida Cautelar concedida pela CIDH.</w:t>
      </w:r>
    </w:p>
    <w:p w:rsidR="001A045F" w:rsidRPr="001A045F" w:rsidRDefault="00A6712D" w:rsidP="00AD4362">
      <w:pPr>
        <w:pStyle w:val="ListParagraph"/>
        <w:numPr>
          <w:ilvl w:val="0"/>
          <w:numId w:val="2"/>
        </w:numPr>
        <w:tabs>
          <w:tab w:val="left" w:pos="1418"/>
        </w:tabs>
        <w:spacing w:line="480" w:lineRule="auto"/>
        <w:ind w:left="0" w:firstLine="0"/>
        <w:outlineLvl w:val="0"/>
        <w:rPr>
          <w:rFonts w:cs="Times New Roman"/>
          <w:b/>
          <w:bCs/>
          <w:sz w:val="24"/>
          <w:szCs w:val="24"/>
        </w:rPr>
      </w:pPr>
      <w:bookmarkStart w:id="21" w:name="_Toc383464279"/>
      <w:r>
        <w:rPr>
          <w:rStyle w:val="SubtleReference"/>
          <w:rFonts w:cs="Times New Roman"/>
          <w:szCs w:val="24"/>
        </w:rPr>
        <w:t>Solicitação</w:t>
      </w:r>
      <w:r w:rsidR="000464D0" w:rsidRPr="0075476C">
        <w:rPr>
          <w:rStyle w:val="SubtleReference"/>
          <w:rFonts w:cs="Times New Roman"/>
          <w:szCs w:val="24"/>
        </w:rPr>
        <w:t xml:space="preserve"> de Assistência</w:t>
      </w:r>
      <w:bookmarkEnd w:id="21"/>
    </w:p>
    <w:p w:rsidR="001A045F" w:rsidRPr="00823424" w:rsidRDefault="001A045F" w:rsidP="00823424">
      <w:pPr>
        <w:rPr>
          <w:rStyle w:val="BookTitle"/>
          <w:rFonts w:cs="Times New Roman"/>
          <w:smallCaps w:val="0"/>
          <w:spacing w:val="0"/>
          <w:szCs w:val="24"/>
        </w:rPr>
      </w:pPr>
      <w:r w:rsidRPr="001A045F">
        <w:rPr>
          <w:rFonts w:cs="Times New Roman"/>
          <w:szCs w:val="24"/>
        </w:rPr>
        <w:t>Tendo por base o alegado acima, o Estado de Exclutia vem, respeitosamente, apresentar sua defesa contra o memorial de pedidos, argumentos e provas apresentado pelos representantes da suposta vítima perante a CtIDH, solicitando a improcedência do pedido pela não configuração da responsabilidade internacional do Estado por supostas violações aos artigos 3º, 5º, 7º, 8º, 11, 24 e 25 à luz dos artigos 1.1 e 2 da CADH. Ainda, o Estado pedem a improcedência da Medida Provisória e a consequente revogação da Medida Cautelar concedida pela CIDH.</w:t>
      </w:r>
    </w:p>
    <w:sectPr w:rsidR="001A045F" w:rsidRPr="00823424" w:rsidSect="001163BF">
      <w:headerReference w:type="default" r:id="rId8"/>
      <w:footerReference w:type="default" r:id="rId9"/>
      <w:type w:val="continuous"/>
      <w:pgSz w:w="12242" w:h="15842" w:code="1"/>
      <w:pgMar w:top="1440" w:right="1440" w:bottom="1440" w:left="14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C3" w:rsidRDefault="002D4AC3" w:rsidP="000E28C3">
      <w:pPr>
        <w:spacing w:line="240" w:lineRule="auto"/>
      </w:pPr>
      <w:r>
        <w:separator/>
      </w:r>
    </w:p>
  </w:endnote>
  <w:endnote w:type="continuationSeparator" w:id="0">
    <w:p w:rsidR="002D4AC3" w:rsidRDefault="002D4AC3" w:rsidP="000E2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609216"/>
      <w:docPartObj>
        <w:docPartGallery w:val="Page Numbers (Bottom of Page)"/>
        <w:docPartUnique/>
      </w:docPartObj>
    </w:sdtPr>
    <w:sdtEndPr/>
    <w:sdtContent>
      <w:p w:rsidR="00E74DC9" w:rsidRDefault="00E74DC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A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DC9" w:rsidRDefault="00E74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C3" w:rsidRDefault="002D4AC3" w:rsidP="000E28C3">
      <w:pPr>
        <w:spacing w:line="240" w:lineRule="auto"/>
      </w:pPr>
      <w:r>
        <w:separator/>
      </w:r>
    </w:p>
  </w:footnote>
  <w:footnote w:type="continuationSeparator" w:id="0">
    <w:p w:rsidR="002D4AC3" w:rsidRDefault="002D4AC3" w:rsidP="000E28C3">
      <w:pPr>
        <w:spacing w:line="240" w:lineRule="auto"/>
      </w:pPr>
      <w:r>
        <w:continuationSeparator/>
      </w:r>
    </w:p>
  </w:footnote>
  <w:footnote w:id="1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CIDH, </w:t>
      </w:r>
      <w:r w:rsidRPr="003716AA">
        <w:rPr>
          <w:rFonts w:cs="Times New Roman"/>
          <w:szCs w:val="20"/>
          <w:u w:val="single"/>
        </w:rPr>
        <w:t>Caso Santiago Marzioni Vs. Argentina</w:t>
      </w:r>
      <w:r w:rsidRPr="003716AA">
        <w:rPr>
          <w:rFonts w:cs="Times New Roman"/>
          <w:szCs w:val="20"/>
        </w:rPr>
        <w:t>, 1997, Série L, No. 11.673, Report 39/96, §5.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Santiago Marzioni Vs. Argentina</w:instrText>
      </w:r>
      <w:r w:rsidRPr="003716AA">
        <w:rPr>
          <w:rFonts w:cs="Times New Roman"/>
          <w:szCs w:val="20"/>
        </w:rPr>
        <w:instrText xml:space="preserve">, 1997, Série L, No. 11.673, Report 39/96, §5." \s "Caso Santiago Marzioni Vs. Argentina, 1997, Série L, No. 11.673, Report 39/96, §5." \c 4 </w:instrText>
      </w:r>
      <w:r w:rsidRPr="003716AA">
        <w:rPr>
          <w:rFonts w:cs="Times New Roman"/>
          <w:szCs w:val="20"/>
        </w:rPr>
        <w:fldChar w:fldCharType="end"/>
      </w:r>
    </w:p>
  </w:footnote>
  <w:footnote w:id="2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CtIDH, </w:t>
      </w:r>
      <w:r w:rsidRPr="003716AA">
        <w:rPr>
          <w:rFonts w:cs="Times New Roman"/>
          <w:u w:val="single"/>
        </w:rPr>
        <w:t>Caso Cesti Hurtado Vs. Peru</w:t>
      </w:r>
      <w:r w:rsidRPr="003716AA">
        <w:rPr>
          <w:rFonts w:cs="Times New Roman"/>
        </w:rPr>
        <w:t>, 1999, Série C, No. 49, §47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\l "</w:instrText>
      </w:r>
      <w:r w:rsidRPr="003716AA">
        <w:rPr>
          <w:rFonts w:cs="Times New Roman"/>
          <w:u w:val="single"/>
        </w:rPr>
        <w:instrText>Caso Cesti Hurtado Vs. Peru</w:instrText>
      </w:r>
      <w:r w:rsidRPr="003716AA">
        <w:rPr>
          <w:rFonts w:cs="Times New Roman"/>
        </w:rPr>
        <w:instrText xml:space="preserve">, 1999, Série C, No. 49, §47" \s "Caso Cesti Hurtado Vs. Peru, 1999, Série C, No. 49, §47" \c 2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.</w:t>
      </w:r>
    </w:p>
  </w:footnote>
  <w:footnote w:id="3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  <w:lang w:val="en-US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Chaparro Álvarez e Lapo Iñiguez Vs. Equador</w:t>
      </w:r>
      <w:r w:rsidRPr="003716AA">
        <w:rPr>
          <w:rFonts w:cs="Times New Roman"/>
          <w:szCs w:val="20"/>
        </w:rPr>
        <w:t>, 2007, Série C, No. 170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Chaparro Álvarez e Lapo Iñiguez Vs. Equador</w:instrText>
      </w:r>
      <w:r w:rsidRPr="003716AA">
        <w:rPr>
          <w:rFonts w:cs="Times New Roman"/>
          <w:szCs w:val="20"/>
        </w:rPr>
        <w:instrText xml:space="preserve">, 2007, Série C, No. 170" \s "Caso Chaparro Álvarez e Lapo Iñiguez Vs. Equador, 2007, Série C, No. 170"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 xml:space="preserve">, §22; CtIDH, </w:t>
      </w:r>
      <w:r w:rsidRPr="003716AA">
        <w:rPr>
          <w:rFonts w:cs="Times New Roman"/>
          <w:szCs w:val="20"/>
          <w:u w:val="single"/>
        </w:rPr>
        <w:t xml:space="preserve">Caso Comunidade Indígena Yakye Axa Vs. </w:t>
      </w:r>
      <w:r w:rsidRPr="003716AA">
        <w:rPr>
          <w:rFonts w:cs="Times New Roman"/>
          <w:szCs w:val="20"/>
          <w:u w:val="single"/>
          <w:lang w:val="en-US"/>
        </w:rPr>
        <w:t>Paraguai</w:t>
      </w:r>
      <w:r w:rsidRPr="003716AA">
        <w:rPr>
          <w:rFonts w:cs="Times New Roman"/>
          <w:szCs w:val="20"/>
          <w:lang w:val="en-US"/>
        </w:rPr>
        <w:t>, 2005, Série C, No. 125</w:t>
      </w:r>
      <w:r>
        <w:rPr>
          <w:rFonts w:cs="Times New Roman"/>
          <w:szCs w:val="20"/>
          <w:lang w:val="en-US"/>
        </w:rPr>
        <w:fldChar w:fldCharType="begin"/>
      </w:r>
      <w:r w:rsidRPr="00E74DC9">
        <w:rPr>
          <w:lang w:val="en-US"/>
        </w:rPr>
        <w:instrText xml:space="preserve"> TA \l "</w:instrText>
      </w:r>
      <w:r w:rsidRPr="00E74DC9">
        <w:rPr>
          <w:rFonts w:cs="Times New Roman"/>
          <w:szCs w:val="20"/>
          <w:u w:val="single"/>
          <w:lang w:val="en-US"/>
        </w:rPr>
        <w:instrText xml:space="preserve">Caso Comunidade Indígena Yakye Axa Vs. </w:instrText>
      </w:r>
      <w:r w:rsidRPr="009B437F">
        <w:rPr>
          <w:rFonts w:cs="Times New Roman"/>
          <w:szCs w:val="20"/>
          <w:u w:val="single"/>
          <w:lang w:val="en-US"/>
        </w:rPr>
        <w:instrText>Paraguai</w:instrText>
      </w:r>
      <w:r w:rsidRPr="009B437F">
        <w:rPr>
          <w:rFonts w:cs="Times New Roman"/>
          <w:szCs w:val="20"/>
          <w:lang w:val="en-US"/>
        </w:rPr>
        <w:instrText>, 2005, Série C, No. 125</w:instrText>
      </w:r>
      <w:r w:rsidRPr="00E74DC9">
        <w:rPr>
          <w:lang w:val="en-US"/>
        </w:rPr>
        <w:instrText xml:space="preserve">" \s "Caso Comunidade Indígena Yakye Axa Vs. Paraguai, 2005, Série C, No. 125" \c 2 </w:instrText>
      </w:r>
      <w:r>
        <w:rPr>
          <w:rFonts w:cs="Times New Roman"/>
          <w:szCs w:val="20"/>
          <w:lang w:val="en-US"/>
        </w:rPr>
        <w:fldChar w:fldCharType="end"/>
      </w:r>
      <w:r w:rsidRPr="003716AA">
        <w:rPr>
          <w:rFonts w:cs="Times New Roman"/>
          <w:szCs w:val="20"/>
          <w:lang w:val="en-US"/>
        </w:rPr>
        <w:t>, §109.</w:t>
      </w:r>
    </w:p>
  </w:footnote>
  <w:footnote w:id="4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  <w:lang w:val="en-US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  <w:lang w:val="en-US"/>
        </w:rPr>
        <w:t xml:space="preserve"> CIDH, </w:t>
      </w:r>
      <w:r w:rsidRPr="003716AA">
        <w:rPr>
          <w:rFonts w:cs="Times New Roman"/>
          <w:szCs w:val="20"/>
          <w:u w:val="single"/>
          <w:lang w:val="en-US"/>
        </w:rPr>
        <w:t>Petition and Case System Informational Brochure</w:t>
      </w:r>
      <w:r w:rsidRPr="003716AA">
        <w:rPr>
          <w:rFonts w:cs="Times New Roman"/>
          <w:szCs w:val="20"/>
          <w:lang w:val="en-US"/>
        </w:rPr>
        <w:t>, 2010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  <w:lang w:val="en-US"/>
        </w:rPr>
        <w:instrText xml:space="preserve"> TA \l "</w:instrText>
      </w:r>
      <w:r w:rsidRPr="003716AA">
        <w:rPr>
          <w:rFonts w:cs="Times New Roman"/>
          <w:szCs w:val="20"/>
          <w:u w:val="single"/>
          <w:lang w:val="en-US"/>
        </w:rPr>
        <w:instrText>Petition and Case System Informational Brochure</w:instrText>
      </w:r>
      <w:r w:rsidRPr="003716AA">
        <w:rPr>
          <w:rFonts w:cs="Times New Roman"/>
          <w:szCs w:val="20"/>
          <w:lang w:val="en-US"/>
        </w:rPr>
        <w:instrText xml:space="preserve">, 2010" \s "Petition and Case System Informational Brochure, 2010" \c 4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  <w:lang w:val="en-US"/>
        </w:rPr>
        <w:t>, §§19-20.</w:t>
      </w:r>
    </w:p>
  </w:footnote>
  <w:footnote w:id="5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Herrera Ulloa Vs. Costa Rica</w:t>
      </w:r>
      <w:r w:rsidRPr="003716AA">
        <w:rPr>
          <w:rFonts w:cs="Times New Roman"/>
          <w:szCs w:val="20"/>
        </w:rPr>
        <w:t>, 2004, Série C, No. 107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Herrera Ulloa Vs. Costa Rica</w:instrText>
      </w:r>
      <w:r w:rsidRPr="003716AA">
        <w:rPr>
          <w:rFonts w:cs="Times New Roman"/>
          <w:szCs w:val="20"/>
        </w:rPr>
        <w:instrText xml:space="preserve">, 2004, Série C, No. 107" \s "Caso Herrera Ulloa Vs. Costa Rica, 2004, Série C, No. 107"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§85.</w:t>
      </w:r>
    </w:p>
  </w:footnote>
  <w:footnote w:id="6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CIDH, </w:t>
      </w:r>
      <w:r w:rsidRPr="003716AA">
        <w:rPr>
          <w:rFonts w:cs="Times New Roman"/>
          <w:szCs w:val="20"/>
          <w:u w:val="single"/>
        </w:rPr>
        <w:t>Caso Alex Solis Fallas Vs. Costa Rica</w:t>
      </w:r>
      <w:r w:rsidRPr="003716AA">
        <w:rPr>
          <w:rFonts w:cs="Times New Roman"/>
          <w:szCs w:val="20"/>
        </w:rPr>
        <w:t>, 2008, No. 49, Informe Nº 15/08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Alex Solis Fallas Vs. Costa Rica</w:instrText>
      </w:r>
      <w:r w:rsidRPr="003716AA">
        <w:rPr>
          <w:rFonts w:cs="Times New Roman"/>
          <w:szCs w:val="20"/>
        </w:rPr>
        <w:instrText xml:space="preserve">, 2008, No. 49, Informe Nº 15/08" \s "Caso Alex Solis Fallas Vs. Costa Rica, 2008, No. 49, Informe Nº 15/08" \c 4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 49.</w:t>
      </w:r>
    </w:p>
  </w:footnote>
  <w:footnote w:id="7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OEA, </w:t>
      </w:r>
      <w:r w:rsidRPr="003716AA">
        <w:rPr>
          <w:rFonts w:cs="Times New Roman"/>
          <w:szCs w:val="20"/>
          <w:u w:val="single"/>
        </w:rPr>
        <w:t>Convenção Americana sobre Direitos Humanos</w:t>
      </w:r>
      <w:r w:rsidRPr="003716AA">
        <w:rPr>
          <w:rFonts w:cs="Times New Roman"/>
          <w:szCs w:val="20"/>
        </w:rPr>
        <w:t xml:space="preserve"> (1969)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Convenção Americana sobre Direitos Humanos</w:instrText>
      </w:r>
      <w:r w:rsidRPr="003716AA">
        <w:rPr>
          <w:rFonts w:cs="Times New Roman"/>
          <w:szCs w:val="20"/>
        </w:rPr>
        <w:instrText xml:space="preserve"> (1969)" \s "Convenção Americana sobre Direitos Humanos (1969)" \c 1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art. 46(2).</w:t>
      </w:r>
    </w:p>
  </w:footnote>
  <w:footnote w:id="8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Genie Lacayo Vs. Nicarágua</w:t>
      </w:r>
      <w:r w:rsidRPr="003716AA">
        <w:rPr>
          <w:rFonts w:cs="Times New Roman"/>
          <w:szCs w:val="20"/>
        </w:rPr>
        <w:t>, 1997, Série C, No. 30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Genie Lacayo Vs. Nicarágua</w:instrText>
      </w:r>
      <w:r w:rsidRPr="003716AA">
        <w:rPr>
          <w:rFonts w:cs="Times New Roman"/>
          <w:szCs w:val="20"/>
        </w:rPr>
        <w:instrText xml:space="preserve">, 1997, Série C, No. 30" \s "Caso Genie Lacayo Vs. Nicarágua, 1997, Série C, No. 30"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 xml:space="preserve">, §81; CtIDH </w:t>
      </w:r>
      <w:r w:rsidRPr="003716AA">
        <w:rPr>
          <w:rFonts w:cs="Times New Roman"/>
          <w:szCs w:val="20"/>
          <w:u w:val="single"/>
        </w:rPr>
        <w:t>Caso Las Palmeras Vs. Colômbia</w:t>
      </w:r>
      <w:r w:rsidRPr="003716AA">
        <w:rPr>
          <w:rFonts w:cs="Times New Roman"/>
          <w:szCs w:val="20"/>
        </w:rPr>
        <w:t>, 2000, Série C, No. 67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Las Palmeras Vs. Colômbia</w:instrText>
      </w:r>
      <w:r w:rsidRPr="003716AA">
        <w:rPr>
          <w:rFonts w:cs="Times New Roman"/>
          <w:szCs w:val="20"/>
        </w:rPr>
        <w:instrText xml:space="preserve">, 2000, Série C, No. 67" \s "Caso Las Palmeras Vs. Colômbia, 2000, Série C, No. 67"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§38.</w:t>
      </w:r>
    </w:p>
  </w:footnote>
  <w:footnote w:id="9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Herrera Ulloa Vs. Costa Rica</w:t>
      </w:r>
      <w:r w:rsidRPr="003716AA">
        <w:rPr>
          <w:rFonts w:cs="Times New Roman"/>
          <w:szCs w:val="20"/>
        </w:rPr>
        <w:t>, 2004, Série C, No. 107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"Caso Herrera Ulloa Vs. Costa Rica, 2004, Série C, No. 107"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 xml:space="preserve">, §81; CtIDH, </w:t>
      </w:r>
      <w:r w:rsidRPr="003716AA">
        <w:rPr>
          <w:rFonts w:cs="Times New Roman"/>
          <w:szCs w:val="20"/>
          <w:u w:val="single"/>
        </w:rPr>
        <w:t>Caso Apitz Barbera e outros Vs. Venezuela</w:t>
      </w:r>
      <w:r w:rsidRPr="003716AA">
        <w:rPr>
          <w:rFonts w:cs="Times New Roman"/>
          <w:szCs w:val="20"/>
        </w:rPr>
        <w:t>, 2008, Série C, No. 182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Apitz Barbera e outros Vs. Venezuela</w:instrText>
      </w:r>
      <w:r w:rsidRPr="003716AA">
        <w:rPr>
          <w:rFonts w:cs="Times New Roman"/>
          <w:szCs w:val="20"/>
        </w:rPr>
        <w:instrText xml:space="preserve">, 2008, Série C, No. 182" \s "Caso Apitz Barbera e outros Vs. Venezuela, 2008, Série C, No. 182"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§24.</w:t>
      </w:r>
    </w:p>
  </w:footnote>
  <w:footnote w:id="10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TRINDADE, Antônio Augusto Cançado. </w:t>
      </w:r>
      <w:r w:rsidRPr="003716AA">
        <w:rPr>
          <w:rFonts w:cs="Times New Roman"/>
          <w:szCs w:val="20"/>
          <w:u w:val="single"/>
        </w:rPr>
        <w:t>A interação entre o direito internacional e o direito interno na proteção dos direitos humanos</w:t>
      </w:r>
      <w:r w:rsidRPr="003716AA">
        <w:rPr>
          <w:rFonts w:cs="Times New Roman"/>
          <w:szCs w:val="20"/>
        </w:rPr>
        <w:t xml:space="preserve">. </w:t>
      </w:r>
      <w:r w:rsidRPr="003716AA">
        <w:rPr>
          <w:rFonts w:cs="Times New Roman"/>
          <w:i/>
          <w:szCs w:val="20"/>
        </w:rPr>
        <w:t>Arquivos do Ministério da Justiça</w:t>
      </w:r>
      <w:r w:rsidRPr="003716AA">
        <w:rPr>
          <w:rFonts w:cs="Times New Roman"/>
          <w:szCs w:val="20"/>
        </w:rPr>
        <w:t>, Brasília, v. 46, n. 182, 1993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"TRINDADE, Antônio Augusto Cançado. </w:instrText>
      </w:r>
      <w:r w:rsidRPr="003716AA">
        <w:rPr>
          <w:rFonts w:cs="Times New Roman"/>
          <w:szCs w:val="20"/>
          <w:u w:val="single"/>
        </w:rPr>
        <w:instrText>A interação entre o direito internacional e o direito interno na proteção dos direitos humanos</w:instrText>
      </w:r>
      <w:r w:rsidRPr="003716AA">
        <w:rPr>
          <w:rFonts w:cs="Times New Roman"/>
          <w:szCs w:val="20"/>
        </w:rPr>
        <w:instrText xml:space="preserve">. </w:instrText>
      </w:r>
      <w:r w:rsidRPr="003716AA">
        <w:rPr>
          <w:rFonts w:cs="Times New Roman"/>
          <w:i/>
          <w:szCs w:val="20"/>
        </w:rPr>
        <w:instrText>Arquivos do Ministério da Justiça</w:instrText>
      </w:r>
      <w:r w:rsidRPr="003716AA">
        <w:rPr>
          <w:rFonts w:cs="Times New Roman"/>
          <w:szCs w:val="20"/>
        </w:rPr>
        <w:instrText xml:space="preserve">, Brasília, v. 46, n. 182, 1993" \s "TRINDADE, Antônio Augusto Cançado. A interação entre o direito internacional e o direito interno na proteção dos direitos humanos. Arquivos do Ministério da Justiça, Brasília, v. 46, n. 182, 1993" \c 6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p.44.</w:t>
      </w:r>
    </w:p>
  </w:footnote>
  <w:footnote w:id="11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CIDH, </w:t>
      </w:r>
      <w:r w:rsidRPr="003716AA">
        <w:rPr>
          <w:rFonts w:cs="Times New Roman"/>
          <w:szCs w:val="20"/>
          <w:u w:val="single"/>
        </w:rPr>
        <w:t>Regulamento da Comissão Interamericana de Direitos Humanos</w:t>
      </w:r>
      <w:r w:rsidRPr="003716AA">
        <w:rPr>
          <w:rFonts w:cs="Times New Roman"/>
          <w:szCs w:val="20"/>
        </w:rPr>
        <w:t xml:space="preserve"> (2013)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Regulamento da Comissão Interamericana de Direitos Humanos</w:instrText>
      </w:r>
      <w:r w:rsidRPr="003716AA">
        <w:rPr>
          <w:rFonts w:cs="Times New Roman"/>
          <w:szCs w:val="20"/>
        </w:rPr>
        <w:instrText xml:space="preserve"> (2013)" \s "Regulamento da Comissão Interamericana de Direitos Humanos (2013)" \c 8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art. 32.1.</w:t>
      </w:r>
    </w:p>
  </w:footnote>
  <w:footnote w:id="12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  <w:lang w:val="es-ES"/>
        </w:rPr>
        <w:t xml:space="preserve"> CtIDH, </w:t>
      </w:r>
      <w:r w:rsidRPr="003716AA">
        <w:rPr>
          <w:rFonts w:cs="Times New Roman"/>
          <w:szCs w:val="20"/>
          <w:u w:val="single"/>
          <w:lang w:val="es-ES"/>
        </w:rPr>
        <w:t xml:space="preserve">Caso Vélez Loor Vs. </w:t>
      </w:r>
      <w:r w:rsidRPr="003716AA">
        <w:rPr>
          <w:rFonts w:cs="Times New Roman"/>
          <w:szCs w:val="20"/>
          <w:u w:val="single"/>
        </w:rPr>
        <w:t>Panamá</w:t>
      </w:r>
      <w:r w:rsidRPr="003716AA">
        <w:rPr>
          <w:rFonts w:cs="Times New Roman"/>
          <w:szCs w:val="20"/>
        </w:rPr>
        <w:t>, 2010, Série C, No. 218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  <w:lang w:val="es-ES"/>
        </w:rPr>
        <w:instrText xml:space="preserve">Caso Vélez Loor Vs. </w:instrText>
      </w:r>
      <w:r w:rsidRPr="003716AA">
        <w:rPr>
          <w:rFonts w:cs="Times New Roman"/>
          <w:szCs w:val="20"/>
          <w:u w:val="single"/>
        </w:rPr>
        <w:instrText>Panamá</w:instrText>
      </w:r>
      <w:r w:rsidRPr="003716AA">
        <w:rPr>
          <w:rFonts w:cs="Times New Roman"/>
          <w:szCs w:val="20"/>
        </w:rPr>
        <w:instrText xml:space="preserve">, 2010, Série C, No. 218" \s "Caso Vélez Loor Vs. Panamá, 2010, Série C, No. 218"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§24.</w:t>
      </w:r>
    </w:p>
  </w:footnote>
  <w:footnote w:id="13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Reverón Trujillo Vs. Venezuela</w:t>
      </w:r>
      <w:r w:rsidRPr="003716AA">
        <w:rPr>
          <w:rFonts w:cs="Times New Roman"/>
          <w:szCs w:val="20"/>
        </w:rPr>
        <w:t>, 2009, Série C, No. 197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Reverón Trujillo Vs. Venezuela</w:instrText>
      </w:r>
      <w:r w:rsidRPr="003716AA">
        <w:rPr>
          <w:rFonts w:cs="Times New Roman"/>
          <w:szCs w:val="20"/>
        </w:rPr>
        <w:instrText xml:space="preserve">, 2009, Série C, No. 197" \s "Caso Reverón Trujillo Vs. Venezuela, 2009, Série C, No. 197"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§23.</w:t>
      </w:r>
    </w:p>
  </w:footnote>
  <w:footnote w:id="14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  <w:lang w:val="es-ES"/>
        </w:rPr>
        <w:t xml:space="preserve"> CtIDH, </w:t>
      </w:r>
      <w:r w:rsidRPr="003716AA">
        <w:rPr>
          <w:rFonts w:cs="Times New Roman"/>
          <w:szCs w:val="20"/>
          <w:u w:val="single"/>
          <w:lang w:val="es-ES"/>
        </w:rPr>
        <w:t xml:space="preserve">Caso Reverón Trujillo Vs. </w:t>
      </w:r>
      <w:r w:rsidRPr="003716AA">
        <w:rPr>
          <w:rFonts w:cs="Times New Roman"/>
          <w:szCs w:val="20"/>
          <w:u w:val="single"/>
        </w:rPr>
        <w:t>Venezuela</w:t>
      </w:r>
      <w:r w:rsidRPr="003716AA">
        <w:rPr>
          <w:rFonts w:cs="Times New Roman"/>
          <w:szCs w:val="20"/>
        </w:rPr>
        <w:t>, 2009, Série C, No. 197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"Caso Reverón Trujillo Vs. Venezuela, 2009, Série C, No. 197"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§23.</w:t>
      </w:r>
    </w:p>
  </w:footnote>
  <w:footnote w:id="15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Opinião Consultiva: Controle de Legalidade no Exercício das Atribuições da CIDH</w:t>
      </w:r>
      <w:r w:rsidRPr="003716AA">
        <w:rPr>
          <w:rFonts w:cs="Times New Roman"/>
          <w:szCs w:val="20"/>
        </w:rPr>
        <w:t xml:space="preserve"> (arts. 41 e 44 da CADH), 2005, Série A, No. 19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Opinião Consultiva: Controle de Legalidade no Exercício das Atribuições da CIDH</w:instrText>
      </w:r>
      <w:r w:rsidRPr="003716AA">
        <w:rPr>
          <w:rFonts w:cs="Times New Roman"/>
          <w:szCs w:val="20"/>
        </w:rPr>
        <w:instrText xml:space="preserve"> (arts. 41 e 44 da CADH), 2005, Série A, No. 19" \s "Opinião Consultiva: Controle de Legalidade no Exercício das Atribuições da CIDH (arts. 41 e 44 da CADH), 2005, Série A, No. 19"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§31.</w:t>
      </w:r>
    </w:p>
  </w:footnote>
  <w:footnote w:id="16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  <w:lang w:val="es-ES"/>
        </w:rPr>
        <w:t xml:space="preserve"> CtIDH, </w:t>
      </w:r>
      <w:r w:rsidRPr="003716AA">
        <w:rPr>
          <w:rFonts w:cs="Times New Roman"/>
          <w:szCs w:val="20"/>
          <w:u w:val="single"/>
          <w:lang w:val="es-ES"/>
        </w:rPr>
        <w:t xml:space="preserve">Caso Castañeda Gutman Vs. </w:t>
      </w:r>
      <w:r w:rsidRPr="003716AA">
        <w:rPr>
          <w:rFonts w:cs="Times New Roman"/>
          <w:szCs w:val="20"/>
          <w:u w:val="single"/>
        </w:rPr>
        <w:t>México</w:t>
      </w:r>
      <w:r w:rsidRPr="003716AA">
        <w:rPr>
          <w:rFonts w:cs="Times New Roman"/>
          <w:szCs w:val="20"/>
        </w:rPr>
        <w:t>, 2008, Série C, No. 184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  <w:lang w:val="es-ES"/>
        </w:rPr>
        <w:instrText xml:space="preserve">Caso Castañeda Gutman Vs. </w:instrText>
      </w:r>
      <w:r w:rsidRPr="003716AA">
        <w:rPr>
          <w:rFonts w:cs="Times New Roman"/>
          <w:szCs w:val="20"/>
          <w:u w:val="single"/>
        </w:rPr>
        <w:instrText>México</w:instrText>
      </w:r>
      <w:r w:rsidRPr="003716AA">
        <w:rPr>
          <w:rFonts w:cs="Times New Roman"/>
          <w:szCs w:val="20"/>
        </w:rPr>
        <w:instrText xml:space="preserve">, 2008, Série C, No. 184" \s "Caso Castañeda Gutman Vs. México, 2008, Série C, No. 184"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§40.</w:t>
      </w:r>
    </w:p>
  </w:footnote>
  <w:footnote w:id="17">
    <w:p w:rsidR="00E74DC9" w:rsidRPr="00A85A4B" w:rsidRDefault="00E74DC9" w:rsidP="003E3372">
      <w:pPr>
        <w:pStyle w:val="ListParagraph"/>
        <w:jc w:val="both"/>
        <w:rPr>
          <w:rFonts w:cs="Times New Roman"/>
          <w:szCs w:val="20"/>
          <w:lang w:val="en-US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 xml:space="preserve">Caso Las Palmeras Vs. </w:t>
      </w:r>
      <w:r w:rsidRPr="00A85A4B">
        <w:rPr>
          <w:rFonts w:cs="Times New Roman"/>
          <w:szCs w:val="20"/>
          <w:u w:val="single"/>
          <w:lang w:val="en-US"/>
        </w:rPr>
        <w:t>Colômbia</w:t>
      </w:r>
      <w:r w:rsidRPr="00A85A4B">
        <w:rPr>
          <w:rFonts w:cs="Times New Roman"/>
          <w:szCs w:val="20"/>
          <w:lang w:val="en-US"/>
        </w:rPr>
        <w:t>, 2000, Série C, No. 67</w:t>
      </w:r>
      <w:r w:rsidRPr="003716AA">
        <w:rPr>
          <w:rFonts w:cs="Times New Roman"/>
          <w:szCs w:val="20"/>
        </w:rPr>
        <w:fldChar w:fldCharType="begin"/>
      </w:r>
      <w:r w:rsidRPr="00A85A4B">
        <w:rPr>
          <w:rFonts w:cs="Times New Roman"/>
          <w:szCs w:val="20"/>
          <w:lang w:val="en-US"/>
        </w:rPr>
        <w:instrText xml:space="preserve"> TA \s "Caso Las Palmeras Vs. Colômbia, 2000, Série C, No. 67" </w:instrText>
      </w:r>
      <w:r w:rsidRPr="003716AA">
        <w:rPr>
          <w:rFonts w:cs="Times New Roman"/>
          <w:szCs w:val="20"/>
        </w:rPr>
        <w:fldChar w:fldCharType="end"/>
      </w:r>
      <w:r w:rsidRPr="00A85A4B">
        <w:rPr>
          <w:rFonts w:cs="Times New Roman"/>
          <w:szCs w:val="20"/>
          <w:lang w:val="en-US"/>
        </w:rPr>
        <w:t>, §33</w:t>
      </w:r>
      <w:r w:rsidRPr="00A85A4B">
        <w:rPr>
          <w:rFonts w:cs="Times New Roman"/>
          <w:szCs w:val="20"/>
          <w:highlight w:val="yellow"/>
          <w:lang w:val="en-US"/>
        </w:rPr>
        <w:t xml:space="preserve"> </w:t>
      </w:r>
    </w:p>
  </w:footnote>
  <w:footnote w:id="18">
    <w:p w:rsidR="00E74DC9" w:rsidRPr="00A85A4B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  <w:lang w:val="en-US"/>
        </w:rPr>
        <w:t xml:space="preserve"> DHANDA, A. </w:t>
      </w:r>
      <w:r w:rsidRPr="003716AA">
        <w:rPr>
          <w:rFonts w:cs="Times New Roman"/>
          <w:szCs w:val="20"/>
          <w:u w:val="single"/>
          <w:lang w:val="en-US"/>
        </w:rPr>
        <w:t>Constructing a new HR lexicon - Convention on the Rights of Persons with Disabilities</w:t>
      </w:r>
      <w:r w:rsidRPr="003716AA">
        <w:rPr>
          <w:rFonts w:cs="Times New Roman"/>
          <w:szCs w:val="20"/>
          <w:lang w:val="en-US"/>
        </w:rPr>
        <w:t xml:space="preserve">. </w:t>
      </w:r>
      <w:r w:rsidRPr="003716AA">
        <w:rPr>
          <w:rFonts w:cs="Times New Roman"/>
          <w:i/>
          <w:szCs w:val="20"/>
        </w:rPr>
        <w:t>Revista</w:t>
      </w:r>
      <w:r w:rsidRPr="003716AA">
        <w:rPr>
          <w:rFonts w:cs="Times New Roman"/>
          <w:szCs w:val="20"/>
        </w:rPr>
        <w:t xml:space="preserve"> </w:t>
      </w:r>
      <w:r w:rsidRPr="003716AA">
        <w:rPr>
          <w:rFonts w:cs="Times New Roman"/>
          <w:i/>
          <w:szCs w:val="20"/>
        </w:rPr>
        <w:t>SUR</w:t>
      </w:r>
      <w:r w:rsidRPr="003716AA">
        <w:rPr>
          <w:rFonts w:cs="Times New Roman"/>
          <w:szCs w:val="20"/>
        </w:rPr>
        <w:t>, São Paulo, v. 5, n. 8, jun. 2008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"DHANDA, Amita. </w:instrText>
      </w:r>
      <w:r w:rsidRPr="003716AA">
        <w:rPr>
          <w:rFonts w:cs="Times New Roman"/>
          <w:szCs w:val="20"/>
          <w:u w:val="single"/>
        </w:rPr>
        <w:instrText>Constructing a new HR lexicon - Convention on the Rights of Persons with Disabilities</w:instrText>
      </w:r>
      <w:r w:rsidRPr="003716AA">
        <w:rPr>
          <w:rFonts w:cs="Times New Roman"/>
          <w:szCs w:val="20"/>
        </w:rPr>
        <w:instrText xml:space="preserve">. </w:instrText>
      </w:r>
      <w:r w:rsidRPr="003716AA">
        <w:rPr>
          <w:rFonts w:cs="Times New Roman"/>
          <w:i/>
          <w:szCs w:val="20"/>
        </w:rPr>
        <w:instrText>Revista</w:instrText>
      </w:r>
      <w:r w:rsidRPr="003716AA">
        <w:rPr>
          <w:rFonts w:cs="Times New Roman"/>
          <w:szCs w:val="20"/>
        </w:rPr>
        <w:instrText xml:space="preserve"> </w:instrText>
      </w:r>
      <w:r w:rsidRPr="003716AA">
        <w:rPr>
          <w:rFonts w:cs="Times New Roman"/>
          <w:i/>
          <w:szCs w:val="20"/>
        </w:rPr>
        <w:instrText>SUR</w:instrText>
      </w:r>
      <w:r w:rsidRPr="003716AA">
        <w:rPr>
          <w:rFonts w:cs="Times New Roman"/>
          <w:szCs w:val="20"/>
        </w:rPr>
        <w:instrText xml:space="preserve">, São Paulo, v. 5, n. 8, jun. 2008" \s "DHANDA, Amita. Constructing a new HR lexicon - Convention on the Rights of Persons with Disabilities. Revista SUR, São Paulo, v. 5, n. 8, jun. 2008" \c 6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 xml:space="preserve">; QUINN, G. et. </w:t>
      </w:r>
      <w:r w:rsidRPr="003716AA">
        <w:rPr>
          <w:rFonts w:cs="Times New Roman"/>
          <w:szCs w:val="20"/>
          <w:lang w:val="en-US"/>
        </w:rPr>
        <w:t xml:space="preserve">Al. </w:t>
      </w:r>
      <w:r w:rsidRPr="003716AA">
        <w:rPr>
          <w:rFonts w:cs="Times New Roman"/>
          <w:szCs w:val="20"/>
          <w:u w:val="single"/>
          <w:lang w:val="en-US"/>
        </w:rPr>
        <w:t>Restoring the ‘Human’ in ‘Human Rights’ personhood and doctrinal innovation in the UN disability convention</w:t>
      </w:r>
      <w:r w:rsidRPr="003716AA">
        <w:rPr>
          <w:rFonts w:cs="Times New Roman"/>
          <w:szCs w:val="20"/>
          <w:lang w:val="en-US"/>
        </w:rPr>
        <w:t xml:space="preserve">. In: GEARTY, C. et. al. (Eds.). </w:t>
      </w:r>
      <w:r w:rsidRPr="003716AA">
        <w:rPr>
          <w:rFonts w:cs="Times New Roman"/>
          <w:i/>
          <w:szCs w:val="20"/>
          <w:lang w:val="en-US"/>
        </w:rPr>
        <w:t>The Cambridge Companion to Human Rights Law</w:t>
      </w:r>
      <w:r w:rsidRPr="003716AA">
        <w:rPr>
          <w:rFonts w:cs="Times New Roman"/>
          <w:szCs w:val="20"/>
          <w:lang w:val="en-US"/>
        </w:rPr>
        <w:t xml:space="preserve">. </w:t>
      </w:r>
      <w:r w:rsidRPr="00A85A4B">
        <w:rPr>
          <w:rFonts w:cs="Times New Roman"/>
          <w:szCs w:val="20"/>
        </w:rPr>
        <w:t>Cambridge, UK: Cambrige University Press, 2012</w:t>
      </w:r>
      <w:r w:rsidRPr="003716AA">
        <w:rPr>
          <w:rFonts w:cs="Times New Roman"/>
          <w:szCs w:val="20"/>
        </w:rPr>
        <w:fldChar w:fldCharType="begin"/>
      </w:r>
      <w:r w:rsidRPr="00A85A4B">
        <w:rPr>
          <w:rFonts w:cs="Times New Roman"/>
          <w:szCs w:val="20"/>
        </w:rPr>
        <w:instrText xml:space="preserve"> TA \l "QUINN, Gerard; ARSTEIN-KERSLAKE, Ana. </w:instrText>
      </w:r>
      <w:r w:rsidRPr="00A85A4B">
        <w:rPr>
          <w:rFonts w:cs="Times New Roman"/>
          <w:szCs w:val="20"/>
          <w:u w:val="single"/>
        </w:rPr>
        <w:instrText>Restoring the ‘Human’ in ‘Human Rights’ personhood and doctrinal innovation in the UN disability convention</w:instrText>
      </w:r>
      <w:r w:rsidRPr="00A85A4B">
        <w:rPr>
          <w:rFonts w:cs="Times New Roman"/>
          <w:szCs w:val="20"/>
        </w:rPr>
        <w:instrText xml:space="preserve">. In: GEARTY, Conor; DOUZINAS. Costas (Eds.). </w:instrText>
      </w:r>
      <w:r w:rsidRPr="00A85A4B">
        <w:rPr>
          <w:rFonts w:cs="Times New Roman"/>
          <w:i/>
          <w:szCs w:val="20"/>
        </w:rPr>
        <w:instrText>The Cambridge Companion to Human Rights Law</w:instrText>
      </w:r>
      <w:r w:rsidRPr="00A85A4B">
        <w:rPr>
          <w:rFonts w:cs="Times New Roman"/>
          <w:szCs w:val="20"/>
        </w:rPr>
        <w:instrText xml:space="preserve">. Cambridge, UK: Cambrige University Press, 2012" \s "QUINN, Gerard; ARSTEIN-KERSLAKE, Ana. Restoring the ‘Human’ in ‘Human Rights’ personhood and doctrinal innovation in the UN disability convention. In: GEARTY, Conor; DOUZINAS. Costas (Eds.). The Cambridge Companion to Human Rights Law. Cambridge, UK: Camb" \c 7 </w:instrText>
      </w:r>
      <w:r w:rsidRPr="003716AA">
        <w:rPr>
          <w:rFonts w:cs="Times New Roman"/>
          <w:szCs w:val="20"/>
        </w:rPr>
        <w:fldChar w:fldCharType="end"/>
      </w:r>
      <w:r w:rsidR="006A32E8">
        <w:rPr>
          <w:rFonts w:cs="Times New Roman"/>
          <w:szCs w:val="20"/>
        </w:rPr>
        <w:t>.</w:t>
      </w:r>
    </w:p>
  </w:footnote>
  <w:footnote w:id="19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Ximenes Lopes Vs. Brasil</w:t>
      </w:r>
      <w:r w:rsidRPr="003716AA">
        <w:rPr>
          <w:rFonts w:cs="Times New Roman"/>
          <w:szCs w:val="20"/>
        </w:rPr>
        <w:t>, 2006, Série C, No. 149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Ximenes Lopes Vs. Brasil</w:instrText>
      </w:r>
      <w:r w:rsidRPr="003716AA">
        <w:rPr>
          <w:rFonts w:cs="Times New Roman"/>
          <w:szCs w:val="20"/>
        </w:rPr>
        <w:instrText xml:space="preserve">, 2006, Série C, No. 149" \s "Caso Ximenes Lopes Vs. Brasil, 2006, Série C, No. 149"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.</w:t>
      </w:r>
    </w:p>
  </w:footnote>
  <w:footnote w:id="20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CtEDH, </w:t>
      </w:r>
      <w:r w:rsidRPr="003716AA">
        <w:rPr>
          <w:rFonts w:cs="Times New Roman"/>
          <w:szCs w:val="20"/>
          <w:u w:val="single"/>
        </w:rPr>
        <w:t>Caso Munjaz Vs. Reino Unido</w:t>
      </w:r>
      <w:r w:rsidRPr="003716AA">
        <w:rPr>
          <w:rFonts w:cs="Times New Roman"/>
          <w:szCs w:val="20"/>
        </w:rPr>
        <w:t>, 2012, No. 2913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Munjaz Vs. Reino Unido</w:instrText>
      </w:r>
      <w:r w:rsidRPr="003716AA">
        <w:rPr>
          <w:rFonts w:cs="Times New Roman"/>
          <w:szCs w:val="20"/>
        </w:rPr>
        <w:instrText xml:space="preserve">, 2012, Série A, No. 2913" \s "Caso Munjaz Vs. Reino Unido, 2012, Série A, No. 2913" \c 3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.</w:t>
      </w:r>
    </w:p>
  </w:footnote>
  <w:footnote w:id="21">
    <w:p w:rsidR="00E74DC9" w:rsidRPr="00C34995" w:rsidRDefault="00E74DC9" w:rsidP="003E3372">
      <w:pPr>
        <w:pStyle w:val="ListParagraph"/>
        <w:jc w:val="both"/>
        <w:rPr>
          <w:rFonts w:cs="Times New Roman"/>
          <w:szCs w:val="20"/>
          <w:lang w:val="en-US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C34995">
        <w:rPr>
          <w:rFonts w:cs="Times New Roman"/>
          <w:szCs w:val="20"/>
          <w:lang w:val="en-US"/>
        </w:rPr>
        <w:t xml:space="preserve"> ONU, </w:t>
      </w:r>
      <w:r w:rsidR="00C34995" w:rsidRPr="00C34995">
        <w:rPr>
          <w:rFonts w:cs="Times New Roman"/>
          <w:szCs w:val="20"/>
          <w:u w:val="single"/>
          <w:lang w:val="en-US"/>
        </w:rPr>
        <w:t>MI Principles</w:t>
      </w:r>
      <w:r w:rsidRPr="00C34995">
        <w:rPr>
          <w:rFonts w:cs="Times New Roman"/>
          <w:szCs w:val="20"/>
          <w:lang w:val="en-US"/>
        </w:rPr>
        <w:t xml:space="preserve"> (1991), A/RES/46/119</w:t>
      </w:r>
      <w:r>
        <w:rPr>
          <w:rFonts w:cs="Times New Roman"/>
          <w:szCs w:val="20"/>
        </w:rPr>
        <w:fldChar w:fldCharType="begin"/>
      </w:r>
      <w:r w:rsidRPr="00C34995">
        <w:rPr>
          <w:lang w:val="en-US"/>
        </w:rPr>
        <w:instrText xml:space="preserve"> TA \l "</w:instrText>
      </w:r>
      <w:r w:rsidRPr="00C34995">
        <w:rPr>
          <w:rFonts w:cs="Times New Roman"/>
          <w:szCs w:val="20"/>
          <w:u w:val="single"/>
          <w:lang w:val="en-US"/>
        </w:rPr>
        <w:instrText>Princípios para a Proteção de Pessoas com Doença Mental e para a Melhoria dos Cuidados de Saúde Mental</w:instrText>
      </w:r>
      <w:r w:rsidRPr="00C34995">
        <w:rPr>
          <w:rFonts w:cs="Times New Roman"/>
          <w:szCs w:val="20"/>
          <w:lang w:val="en-US"/>
        </w:rPr>
        <w:instrText xml:space="preserve"> (1991), A/RES/46/119</w:instrText>
      </w:r>
      <w:r w:rsidRPr="00C34995">
        <w:rPr>
          <w:lang w:val="en-US"/>
        </w:rPr>
        <w:instrText xml:space="preserve">" \s "Princípios para a Proteção de Pessoas com Doença Mental e para a Melhoria dos Cuidados de Saúde Mental (1991), A/RES/46/119" \c 5 </w:instrText>
      </w:r>
      <w:r>
        <w:rPr>
          <w:rFonts w:cs="Times New Roman"/>
          <w:szCs w:val="20"/>
        </w:rPr>
        <w:fldChar w:fldCharType="end"/>
      </w:r>
      <w:r w:rsidRPr="00C34995">
        <w:rPr>
          <w:rFonts w:cs="Times New Roman"/>
          <w:szCs w:val="20"/>
          <w:lang w:val="en-US"/>
        </w:rPr>
        <w:t xml:space="preserve">; CPT, </w:t>
      </w:r>
      <w:r w:rsidRPr="00C34995">
        <w:rPr>
          <w:rFonts w:cs="Times New Roman"/>
          <w:szCs w:val="20"/>
          <w:u w:val="single"/>
          <w:lang w:val="en-US"/>
        </w:rPr>
        <w:t>Standards on Involuntary Placement in Psychiatric Establishments</w:t>
      </w:r>
      <w:r w:rsidRPr="00C34995">
        <w:rPr>
          <w:rFonts w:cs="Times New Roman"/>
          <w:szCs w:val="20"/>
          <w:lang w:val="en-US"/>
        </w:rPr>
        <w:t xml:space="preserve"> (1997)</w:t>
      </w:r>
      <w:r>
        <w:rPr>
          <w:rFonts w:cs="Times New Roman"/>
          <w:szCs w:val="20"/>
        </w:rPr>
        <w:fldChar w:fldCharType="begin"/>
      </w:r>
      <w:r w:rsidRPr="00C34995">
        <w:rPr>
          <w:lang w:val="en-US"/>
        </w:rPr>
        <w:instrText xml:space="preserve"> TA \l "</w:instrText>
      </w:r>
      <w:r w:rsidRPr="00C34995">
        <w:rPr>
          <w:rFonts w:cs="Times New Roman"/>
          <w:szCs w:val="20"/>
          <w:lang w:val="en-US"/>
        </w:rPr>
        <w:instrText xml:space="preserve">CPT, </w:instrText>
      </w:r>
      <w:r w:rsidRPr="00C34995">
        <w:rPr>
          <w:rFonts w:cs="Times New Roman"/>
          <w:szCs w:val="20"/>
          <w:u w:val="single"/>
          <w:lang w:val="en-US"/>
        </w:rPr>
        <w:instrText>Standards on Involuntary Placement in Psychiatric Establishments</w:instrText>
      </w:r>
      <w:r w:rsidRPr="00C34995">
        <w:rPr>
          <w:rFonts w:cs="Times New Roman"/>
          <w:szCs w:val="20"/>
          <w:lang w:val="en-US"/>
        </w:rPr>
        <w:instrText xml:space="preserve"> (1997)</w:instrText>
      </w:r>
      <w:r w:rsidRPr="00C34995">
        <w:rPr>
          <w:lang w:val="en-US"/>
        </w:rPr>
        <w:instrText xml:space="preserve">" \s "CPT, Standards on Involuntary Placement in Psychiatric Establishments (1997)" \c 8 </w:instrText>
      </w:r>
      <w:r>
        <w:rPr>
          <w:rFonts w:cs="Times New Roman"/>
          <w:szCs w:val="20"/>
        </w:rPr>
        <w:fldChar w:fldCharType="end"/>
      </w:r>
      <w:r w:rsidRPr="00C34995">
        <w:rPr>
          <w:rFonts w:cs="Times New Roman"/>
          <w:szCs w:val="20"/>
          <w:lang w:val="en-US"/>
        </w:rPr>
        <w:t>.</w:t>
      </w:r>
    </w:p>
  </w:footnote>
  <w:footnote w:id="22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C34995">
        <w:rPr>
          <w:rStyle w:val="FootnoteReference"/>
          <w:rFonts w:cs="Times New Roman"/>
          <w:szCs w:val="20"/>
        </w:rPr>
        <w:footnoteRef/>
      </w:r>
      <w:r w:rsidRPr="00C34995">
        <w:rPr>
          <w:rFonts w:cs="Times New Roman"/>
          <w:szCs w:val="20"/>
        </w:rPr>
        <w:t xml:space="preserve"> </w:t>
      </w:r>
      <w:r w:rsidR="00173621" w:rsidRPr="008A6243">
        <w:rPr>
          <w:rFonts w:cs="Times New Roman"/>
          <w:noProof/>
          <w:u w:val="single"/>
        </w:rPr>
        <w:t>Caso H.M. Vs. Suíça</w:t>
      </w:r>
      <w:r w:rsidR="00173621" w:rsidRPr="008A6243">
        <w:rPr>
          <w:rFonts w:cs="Times New Roman"/>
          <w:noProof/>
        </w:rPr>
        <w:t>, 2002, Série A, No. 39187</w:t>
      </w:r>
      <w:r w:rsidR="00173621">
        <w:rPr>
          <w:rFonts w:cs="Times New Roman"/>
          <w:noProof/>
        </w:rPr>
        <w:t>.</w:t>
      </w:r>
    </w:p>
  </w:footnote>
  <w:footnote w:id="23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</w:t>
      </w:r>
      <w:r w:rsidR="00C34995" w:rsidRPr="003716AA">
        <w:rPr>
          <w:rFonts w:cs="Times New Roman"/>
        </w:rPr>
        <w:t xml:space="preserve">CtIDH, </w:t>
      </w:r>
      <w:r w:rsidR="00C34995" w:rsidRPr="003716AA">
        <w:rPr>
          <w:rFonts w:cs="Times New Roman"/>
          <w:u w:val="single"/>
        </w:rPr>
        <w:t>Caso Ximenes Lopes Vs. Brasil</w:t>
      </w:r>
      <w:r w:rsidR="00C34995" w:rsidRPr="003716AA">
        <w:rPr>
          <w:rFonts w:cs="Times New Roman"/>
        </w:rPr>
        <w:t>, 2006, Série C, No. 149</w:t>
      </w:r>
      <w:r w:rsidR="00C34995" w:rsidRPr="003716AA">
        <w:rPr>
          <w:rFonts w:cs="Times New Roman"/>
        </w:rPr>
        <w:fldChar w:fldCharType="begin"/>
      </w:r>
      <w:r w:rsidR="00C34995" w:rsidRPr="003716AA">
        <w:rPr>
          <w:rFonts w:cs="Times New Roman"/>
        </w:rPr>
        <w:instrText xml:space="preserve"> TA \l "</w:instrText>
      </w:r>
      <w:r w:rsidR="00C34995" w:rsidRPr="003716AA">
        <w:rPr>
          <w:rFonts w:cs="Times New Roman"/>
          <w:u w:val="single"/>
        </w:rPr>
        <w:instrText>Caso Ximenes Lopes Vs. Brasil</w:instrText>
      </w:r>
      <w:r w:rsidR="00C34995" w:rsidRPr="003716AA">
        <w:rPr>
          <w:rFonts w:cs="Times New Roman"/>
        </w:rPr>
        <w:instrText xml:space="preserve">, 2006, Série C, No. 149" \s "Caso Ximenes Lopes Vs. Brasil, 2006, Série C, No. 149" \c 2 </w:instrText>
      </w:r>
      <w:r w:rsidR="00C34995" w:rsidRPr="003716AA">
        <w:rPr>
          <w:rFonts w:cs="Times New Roman"/>
        </w:rPr>
        <w:fldChar w:fldCharType="end"/>
      </w:r>
      <w:r w:rsidR="00C34995" w:rsidRPr="003716AA">
        <w:rPr>
          <w:rFonts w:cs="Times New Roman"/>
        </w:rPr>
        <w:t>.</w:t>
      </w:r>
    </w:p>
  </w:footnote>
  <w:footnote w:id="24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</w:t>
      </w:r>
      <w:hyperlink r:id="rId1" w:history="1">
        <w:r w:rsidRPr="003716AA">
          <w:rPr>
            <w:rFonts w:cs="Times New Roman"/>
            <w:szCs w:val="20"/>
          </w:rPr>
          <w:t xml:space="preserve">CtIDH, </w:t>
        </w:r>
        <w:r w:rsidRPr="003716AA">
          <w:rPr>
            <w:rFonts w:cs="Times New Roman"/>
            <w:szCs w:val="20"/>
            <w:u w:val="single"/>
          </w:rPr>
          <w:t>Caso Acevedo Buendía e outros Vs. Peru</w:t>
        </w:r>
        <w:r w:rsidRPr="003716AA">
          <w:rPr>
            <w:rFonts w:cs="Times New Roman"/>
            <w:szCs w:val="20"/>
          </w:rPr>
          <w:t>, 2009, Série C, No. 198</w:t>
        </w:r>
        <w:r w:rsidRPr="003716AA">
          <w:rPr>
            <w:rFonts w:cs="Times New Roman"/>
            <w:szCs w:val="20"/>
          </w:rPr>
          <w:fldChar w:fldCharType="begin"/>
        </w:r>
        <w:r w:rsidRPr="003716AA">
          <w:rPr>
            <w:rFonts w:cs="Times New Roman"/>
            <w:szCs w:val="20"/>
          </w:rPr>
          <w:instrText xml:space="preserve"> TA \l "</w:instrText>
        </w:r>
        <w:r w:rsidRPr="003716AA">
          <w:rPr>
            <w:rFonts w:cs="Times New Roman"/>
            <w:szCs w:val="20"/>
            <w:u w:val="single"/>
          </w:rPr>
          <w:instrText>Caso Acevedo Buendía e outros Vs. Peru</w:instrText>
        </w:r>
        <w:r w:rsidRPr="003716AA">
          <w:rPr>
            <w:rFonts w:cs="Times New Roman"/>
            <w:szCs w:val="20"/>
          </w:rPr>
          <w:instrText xml:space="preserve">, 2009, Série C, No. 198" \s "Caso Acevedo Buendía e outros Vs. Peru, 2009, Série C, No. 198" \c 2 </w:instrText>
        </w:r>
        <w:r w:rsidRPr="003716AA">
          <w:rPr>
            <w:rFonts w:cs="Times New Roman"/>
            <w:szCs w:val="20"/>
          </w:rPr>
          <w:fldChar w:fldCharType="end"/>
        </w:r>
      </w:hyperlink>
      <w:r w:rsidRPr="003716AA">
        <w:rPr>
          <w:rFonts w:cs="Times New Roman"/>
          <w:szCs w:val="20"/>
        </w:rPr>
        <w:t>.</w:t>
      </w:r>
    </w:p>
  </w:footnote>
  <w:footnote w:id="25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ONU CDESC</w:t>
      </w:r>
      <w:r w:rsidRPr="006A32E8">
        <w:rPr>
          <w:rFonts w:cs="Times New Roman"/>
          <w:szCs w:val="20"/>
          <w:u w:val="single"/>
        </w:rPr>
        <w:t>, Observação Geral: A índole das obrigações dos Estados Partes (art. 2.1 do Pacto)</w:t>
      </w:r>
      <w:r w:rsidRPr="003716AA">
        <w:rPr>
          <w:rFonts w:cs="Times New Roman"/>
          <w:szCs w:val="20"/>
        </w:rPr>
        <w:t>, 1990, No. 3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"CDESC, </w:instrText>
      </w:r>
      <w:r w:rsidRPr="003716AA">
        <w:rPr>
          <w:rFonts w:cs="Times New Roman"/>
          <w:szCs w:val="20"/>
          <w:u w:val="single"/>
        </w:rPr>
        <w:instrText>Observação Geral: A índole das obrigações dos Estados Partes</w:instrText>
      </w:r>
      <w:r w:rsidRPr="003716AA">
        <w:rPr>
          <w:rFonts w:cs="Times New Roman"/>
          <w:szCs w:val="20"/>
        </w:rPr>
        <w:instrText xml:space="preserve"> (art. 2.1 do Pacto), 1990, No. 3" \s "CDESC, Observação Geral: A índole das obrigações dos Estados Partes (art. 2.1 do Pacto), 1990, No. 3" \c 5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§9.</w:t>
      </w:r>
    </w:p>
  </w:footnote>
  <w:footnote w:id="26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6A32E8">
        <w:rPr>
          <w:rFonts w:cs="Times New Roman"/>
          <w:szCs w:val="20"/>
          <w:u w:val="single"/>
        </w:rPr>
        <w:t>Caso “Cinco Pensionistas” Vs. Peru</w:t>
      </w:r>
      <w:r w:rsidRPr="003716AA">
        <w:rPr>
          <w:rFonts w:cs="Times New Roman"/>
          <w:szCs w:val="20"/>
        </w:rPr>
        <w:t>, Série C, No. 98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 xml:space="preserve">Caso </w:instrText>
      </w:r>
      <w:r w:rsidRPr="003716AA">
        <w:rPr>
          <w:rFonts w:cs="Times New Roman"/>
          <w:szCs w:val="20"/>
        </w:rPr>
        <w:instrText>\</w:instrText>
      </w:r>
      <w:r w:rsidRPr="003716AA">
        <w:rPr>
          <w:rFonts w:cs="Times New Roman"/>
          <w:szCs w:val="20"/>
          <w:u w:val="single"/>
        </w:rPr>
        <w:instrText>"Cinco Pensionistas</w:instrText>
      </w:r>
      <w:r w:rsidRPr="003716AA">
        <w:rPr>
          <w:rFonts w:cs="Times New Roman"/>
          <w:szCs w:val="20"/>
        </w:rPr>
        <w:instrText>\</w:instrText>
      </w:r>
      <w:r w:rsidRPr="003716AA">
        <w:rPr>
          <w:rFonts w:cs="Times New Roman"/>
          <w:szCs w:val="20"/>
          <w:u w:val="single"/>
        </w:rPr>
        <w:instrText>" Vs. Peru</w:instrText>
      </w:r>
      <w:r w:rsidRPr="003716AA">
        <w:rPr>
          <w:rFonts w:cs="Times New Roman"/>
          <w:szCs w:val="20"/>
        </w:rPr>
        <w:instrText xml:space="preserve">, Série C, No. 98" \s "Caso \"Cinco Pensionistas\" Vs. Peru, Série C, No. 98"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§147.</w:t>
      </w:r>
    </w:p>
  </w:footnote>
  <w:footnote w:id="27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OEA, </w:t>
      </w:r>
      <w:r w:rsidRPr="003716AA">
        <w:rPr>
          <w:rFonts w:cs="Times New Roman"/>
          <w:szCs w:val="20"/>
          <w:u w:val="single"/>
        </w:rPr>
        <w:t>Protocolo de São Salvador</w:t>
      </w:r>
      <w:r w:rsidRPr="003716AA">
        <w:rPr>
          <w:rFonts w:cs="Times New Roman"/>
          <w:szCs w:val="20"/>
        </w:rPr>
        <w:t xml:space="preserve"> (1988)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"OEA, </w:instrText>
      </w:r>
      <w:r w:rsidRPr="003716AA">
        <w:rPr>
          <w:rFonts w:cs="Times New Roman"/>
          <w:szCs w:val="20"/>
          <w:u w:val="single"/>
        </w:rPr>
        <w:instrText>Protocolo de São Salvador</w:instrText>
      </w:r>
      <w:r w:rsidRPr="003716AA">
        <w:rPr>
          <w:rFonts w:cs="Times New Roman"/>
          <w:szCs w:val="20"/>
        </w:rPr>
        <w:instrText xml:space="preserve"> (1988)" \s "OEA, Protocolo de São Salvador (1988)" \c 8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Art. 19(6).</w:t>
      </w:r>
    </w:p>
  </w:footnote>
  <w:footnote w:id="28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CtEDH, </w:t>
      </w:r>
      <w:r w:rsidRPr="003716AA">
        <w:rPr>
          <w:rFonts w:cs="Times New Roman"/>
          <w:szCs w:val="20"/>
          <w:u w:val="single"/>
        </w:rPr>
        <w:t>Caso Nielsen Vs. Dinamarca</w:t>
      </w:r>
      <w:r w:rsidRPr="003716AA">
        <w:rPr>
          <w:rFonts w:cs="Times New Roman"/>
          <w:szCs w:val="20"/>
        </w:rPr>
        <w:t>, 1988, No 144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Nielsen Vs. Dinamarca</w:instrText>
      </w:r>
      <w:r w:rsidRPr="003716AA">
        <w:rPr>
          <w:rFonts w:cs="Times New Roman"/>
          <w:szCs w:val="20"/>
        </w:rPr>
        <w:instrText xml:space="preserve">, 1988, Série A, No 144" \s "Caso Nielsen Vs. Dinamarca, 1988, Série A, No 144" \c 3 </w:instrText>
      </w:r>
      <w:r w:rsidRPr="003716AA">
        <w:rPr>
          <w:rFonts w:cs="Times New Roman"/>
          <w:szCs w:val="20"/>
        </w:rPr>
        <w:fldChar w:fldCharType="end"/>
      </w:r>
      <w:r w:rsidR="008C0732">
        <w:rPr>
          <w:rFonts w:cs="Times New Roman"/>
          <w:szCs w:val="20"/>
        </w:rPr>
        <w:t>.</w:t>
      </w:r>
    </w:p>
  </w:footnote>
  <w:footnote w:id="29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CtEDH, </w:t>
      </w:r>
      <w:r w:rsidRPr="003716AA">
        <w:rPr>
          <w:rFonts w:cs="Times New Roman"/>
          <w:szCs w:val="20"/>
          <w:u w:val="single"/>
        </w:rPr>
        <w:t>Caso Ashingdane Vs. Reino Unido</w:t>
      </w:r>
      <w:r w:rsidRPr="003716AA">
        <w:rPr>
          <w:rFonts w:cs="Times New Roman"/>
          <w:szCs w:val="20"/>
        </w:rPr>
        <w:t>, 1985, No. 93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Ashingdane Vs. Reino Unido</w:instrText>
      </w:r>
      <w:r w:rsidRPr="003716AA">
        <w:rPr>
          <w:rFonts w:cs="Times New Roman"/>
          <w:szCs w:val="20"/>
        </w:rPr>
        <w:instrText xml:space="preserve">, 1985, Série A, No. 93" \s "Caso Ashingdane Vs. Reino Unido, 1985, Série A, No. 93" \c 3 </w:instrText>
      </w:r>
      <w:r w:rsidRPr="003716AA">
        <w:rPr>
          <w:rFonts w:cs="Times New Roman"/>
          <w:szCs w:val="20"/>
        </w:rPr>
        <w:fldChar w:fldCharType="end"/>
      </w:r>
      <w:r w:rsidR="008C0732">
        <w:rPr>
          <w:rFonts w:cs="Times New Roman"/>
          <w:szCs w:val="20"/>
        </w:rPr>
        <w:t>.</w:t>
      </w:r>
    </w:p>
  </w:footnote>
  <w:footnote w:id="30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Style w:val="FootnoteReference"/>
          <w:rFonts w:cs="Times New Roman"/>
          <w:szCs w:val="20"/>
        </w:rPr>
        <w:t xml:space="preserve"> </w:t>
      </w:r>
      <w:r w:rsidRPr="003716AA">
        <w:rPr>
          <w:rFonts w:cs="Times New Roman"/>
          <w:szCs w:val="20"/>
        </w:rPr>
        <w:t xml:space="preserve">CtIDH, </w:t>
      </w:r>
      <w:r w:rsidRPr="003716AA">
        <w:rPr>
          <w:rFonts w:cs="Times New Roman"/>
          <w:szCs w:val="20"/>
          <w:u w:val="single"/>
        </w:rPr>
        <w:t>Caso Nadege Dorzema e outros Vs. República Dominicana</w:t>
      </w:r>
      <w:r w:rsidRPr="003716AA">
        <w:rPr>
          <w:rFonts w:cs="Times New Roman"/>
          <w:szCs w:val="20"/>
        </w:rPr>
        <w:t>, 2012, Série C, No. 251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Nadege Dorzema e outros Vs. República Dominicana</w:instrText>
      </w:r>
      <w:r w:rsidRPr="003716AA">
        <w:rPr>
          <w:rFonts w:cs="Times New Roman"/>
          <w:szCs w:val="20"/>
        </w:rPr>
        <w:instrText xml:space="preserve">, 2012, Série C, No. 251" \s "Caso Nadege Dorzema e outros Vs. República Dominicana, 2012, Série C, No. 251"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§124.</w:t>
      </w:r>
    </w:p>
  </w:footnote>
  <w:footnote w:id="31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CtEDH, </w:t>
      </w:r>
      <w:r w:rsidRPr="003716AA">
        <w:rPr>
          <w:rFonts w:cs="Times New Roman"/>
          <w:szCs w:val="20"/>
          <w:u w:val="single"/>
        </w:rPr>
        <w:t>Caso H. L. Vs. Reino Unido</w:t>
      </w:r>
      <w:r w:rsidRPr="003716AA">
        <w:rPr>
          <w:rFonts w:cs="Times New Roman"/>
          <w:szCs w:val="20"/>
        </w:rPr>
        <w:t>, 2004, No. 45508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H. L. Vs. Reino Unido</w:instrText>
      </w:r>
      <w:r w:rsidRPr="003716AA">
        <w:rPr>
          <w:rFonts w:cs="Times New Roman"/>
          <w:szCs w:val="20"/>
        </w:rPr>
        <w:instrText xml:space="preserve">, 2004, No. 45508" \s "Caso H. L. Vs. Reino Unido, 2004, No. 45508" \c 3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 xml:space="preserve">; CtEDH, </w:t>
      </w:r>
      <w:r w:rsidRPr="003716AA">
        <w:rPr>
          <w:rFonts w:cs="Times New Roman"/>
          <w:szCs w:val="20"/>
          <w:u w:val="single"/>
        </w:rPr>
        <w:t>Caso H.M. Vs. Suíça</w:t>
      </w:r>
      <w:r w:rsidRPr="003716AA">
        <w:rPr>
          <w:rFonts w:cs="Times New Roman"/>
          <w:szCs w:val="20"/>
        </w:rPr>
        <w:t>, 2002, Série A, No. 39187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H.M. Vs. Suíça</w:instrText>
      </w:r>
      <w:r w:rsidRPr="003716AA">
        <w:rPr>
          <w:rFonts w:cs="Times New Roman"/>
          <w:szCs w:val="20"/>
        </w:rPr>
        <w:instrText xml:space="preserve">, 2002, Série A, No. 39187" \s "Caso H.M. Vs. Suíça, 2002, Série A, No. 39187" \c 3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 xml:space="preserve">; CtEDH, </w:t>
      </w:r>
      <w:r w:rsidRPr="003716AA">
        <w:rPr>
          <w:rFonts w:cs="Times New Roman"/>
          <w:szCs w:val="20"/>
          <w:u w:val="single"/>
        </w:rPr>
        <w:t>Caso Shtukaturov Vs. Rússia</w:t>
      </w:r>
      <w:r w:rsidRPr="003716AA">
        <w:rPr>
          <w:rFonts w:cs="Times New Roman"/>
          <w:szCs w:val="20"/>
        </w:rPr>
        <w:t>, 2008, Série A, No. 44009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Shtukaturov Vs. Rússia</w:instrText>
      </w:r>
      <w:r w:rsidRPr="003716AA">
        <w:rPr>
          <w:rFonts w:cs="Times New Roman"/>
          <w:szCs w:val="20"/>
        </w:rPr>
        <w:instrText xml:space="preserve">, 2008, Série A, No. 44009" \s "Caso Shtukaturov Vs. Rússia, 2008, Série A, No. 44009" \c 3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.</w:t>
      </w:r>
    </w:p>
  </w:footnote>
  <w:footnote w:id="32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CdE, </w:t>
      </w:r>
      <w:r w:rsidRPr="003716AA">
        <w:rPr>
          <w:rFonts w:cs="Times New Roman"/>
          <w:szCs w:val="20"/>
          <w:u w:val="single"/>
        </w:rPr>
        <w:t>Convenção Europeia dos Direitos Humanos</w:t>
      </w:r>
      <w:r w:rsidRPr="003716AA">
        <w:rPr>
          <w:rFonts w:cs="Times New Roman"/>
          <w:szCs w:val="20"/>
        </w:rPr>
        <w:t xml:space="preserve"> (1950)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Convenção Europeia dos Direitos Humanos</w:instrText>
      </w:r>
      <w:r w:rsidRPr="003716AA">
        <w:rPr>
          <w:rFonts w:cs="Times New Roman"/>
          <w:szCs w:val="20"/>
        </w:rPr>
        <w:instrText xml:space="preserve"> (1950)" \s "Convenção Europeia dos Direitos Humanos (1950)" \c 1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a</w:t>
      </w:r>
      <w:r w:rsidRPr="00756C01">
        <w:rPr>
          <w:rFonts w:cs="Times New Roman"/>
          <w:szCs w:val="20"/>
        </w:rPr>
        <w:t>rt.</w:t>
      </w:r>
      <w:r w:rsidR="00756C01">
        <w:rPr>
          <w:rFonts w:cs="Times New Roman"/>
          <w:szCs w:val="20"/>
        </w:rPr>
        <w:t xml:space="preserve"> 5</w:t>
      </w:r>
      <w:r w:rsidR="00B879AE">
        <w:rPr>
          <w:rFonts w:cs="Times New Roman"/>
          <w:szCs w:val="20"/>
        </w:rPr>
        <w:t>.1.e.</w:t>
      </w:r>
    </w:p>
  </w:footnote>
  <w:footnote w:id="33">
    <w:p w:rsidR="00756C01" w:rsidRDefault="00756C01" w:rsidP="003E33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16AA">
        <w:rPr>
          <w:rFonts w:cs="Times New Roman"/>
        </w:rPr>
        <w:t xml:space="preserve">CtEDH, </w:t>
      </w:r>
      <w:r w:rsidRPr="003716AA">
        <w:rPr>
          <w:rFonts w:cs="Times New Roman"/>
          <w:u w:val="single"/>
        </w:rPr>
        <w:t>Caso Winterewerp Vs. Holanda</w:t>
      </w:r>
      <w:r w:rsidRPr="003716AA">
        <w:rPr>
          <w:rFonts w:cs="Times New Roman"/>
        </w:rPr>
        <w:t>, 1979, Série A, No. 33</w:t>
      </w:r>
      <w:r>
        <w:rPr>
          <w:rFonts w:cs="Times New Roman"/>
        </w:rPr>
        <w:t>.</w:t>
      </w:r>
    </w:p>
  </w:footnote>
  <w:footnote w:id="34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CtEDH, </w:t>
      </w:r>
      <w:r w:rsidRPr="003716AA">
        <w:rPr>
          <w:rFonts w:cs="Times New Roman"/>
          <w:szCs w:val="20"/>
          <w:u w:val="single"/>
        </w:rPr>
        <w:t>Caso Plesó Vs. Hungria</w:t>
      </w:r>
      <w:r w:rsidRPr="003716AA">
        <w:rPr>
          <w:rFonts w:cs="Times New Roman"/>
          <w:szCs w:val="20"/>
        </w:rPr>
        <w:t>, 2012, Série A, No. 41242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Plesó Vs. Hungria</w:instrText>
      </w:r>
      <w:r w:rsidRPr="003716AA">
        <w:rPr>
          <w:rFonts w:cs="Times New Roman"/>
          <w:szCs w:val="20"/>
        </w:rPr>
        <w:instrText xml:space="preserve">, 2012, Série A, No. 41242" \s "Caso Plesó Vs. Hungria, 2012, Série A, No. 41242" \c 3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§61.</w:t>
      </w:r>
    </w:p>
  </w:footnote>
  <w:footnote w:id="35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Chaparro Álvarez e Lapo Iñiguez Vs. Equador</w:t>
      </w:r>
      <w:r w:rsidRPr="003716AA">
        <w:rPr>
          <w:rFonts w:cs="Times New Roman"/>
          <w:szCs w:val="20"/>
        </w:rPr>
        <w:t>, 2007, Série C, No. 170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"Caso Chaparro Álvarez e Lapo Iñiguez Vs. Equador, 2007, Série C, No. 170"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.</w:t>
      </w:r>
    </w:p>
  </w:footnote>
  <w:footnote w:id="36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eastAsia="Calibri" w:cs="Times New Roman"/>
          <w:szCs w:val="20"/>
          <w:vertAlign w:val="superscript"/>
        </w:rPr>
        <w:t xml:space="preserve"> </w:t>
      </w:r>
      <w:r w:rsidRPr="003716AA">
        <w:rPr>
          <w:rFonts w:eastAsia="Calibri" w:cs="Times New Roman"/>
          <w:szCs w:val="20"/>
        </w:rPr>
        <w:t xml:space="preserve">CtIDH, </w:t>
      </w:r>
      <w:r w:rsidRPr="003716AA">
        <w:rPr>
          <w:rFonts w:eastAsia="Calibri" w:cs="Times New Roman"/>
          <w:szCs w:val="20"/>
          <w:u w:val="single"/>
        </w:rPr>
        <w:t>Caso Artavia Murillo e outros Vs. Costa Rica</w:t>
      </w:r>
      <w:r w:rsidRPr="003716AA">
        <w:rPr>
          <w:rFonts w:eastAsia="Calibri" w:cs="Times New Roman"/>
          <w:szCs w:val="20"/>
        </w:rPr>
        <w:t>, 2012, Série C, No. 257</w:t>
      </w:r>
      <w:r w:rsidRPr="003716AA">
        <w:rPr>
          <w:rFonts w:eastAsia="Calibri"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eastAsia="Calibri" w:cs="Times New Roman"/>
          <w:szCs w:val="20"/>
          <w:u w:val="single"/>
        </w:rPr>
        <w:instrText>Caso Artavia Murillo e outros Vs. Costa Rica</w:instrText>
      </w:r>
      <w:r w:rsidRPr="003716AA">
        <w:rPr>
          <w:rFonts w:eastAsia="Calibri" w:cs="Times New Roman"/>
          <w:szCs w:val="20"/>
        </w:rPr>
        <w:instrText>, 2012, Série C, No. 257</w:instrText>
      </w:r>
      <w:r w:rsidRPr="003716AA">
        <w:rPr>
          <w:rFonts w:cs="Times New Roman"/>
          <w:szCs w:val="20"/>
        </w:rPr>
        <w:instrText xml:space="preserve">" \s "Caso Artavia Murillo e outros Vs. Costa Rica, 2012, Série C, No. 257" \c 2 </w:instrText>
      </w:r>
      <w:r w:rsidRPr="003716AA">
        <w:rPr>
          <w:rFonts w:eastAsia="Calibri" w:cs="Times New Roman"/>
          <w:szCs w:val="20"/>
        </w:rPr>
        <w:fldChar w:fldCharType="end"/>
      </w:r>
      <w:r w:rsidRPr="003716AA">
        <w:rPr>
          <w:rFonts w:eastAsia="Calibri"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eastAsia="Calibri" w:cs="Times New Roman"/>
          <w:szCs w:val="20"/>
          <w:u w:val="single"/>
        </w:rPr>
        <w:instrText>Caso Atala Riffo e filhas Vs. Chile</w:instrText>
      </w:r>
      <w:r w:rsidRPr="003716AA">
        <w:rPr>
          <w:rFonts w:eastAsia="Calibri" w:cs="Times New Roman"/>
          <w:szCs w:val="20"/>
        </w:rPr>
        <w:instrText>, 2012, Série C, No. 239</w:instrText>
      </w:r>
      <w:r w:rsidRPr="003716AA">
        <w:rPr>
          <w:rFonts w:cs="Times New Roman"/>
          <w:szCs w:val="20"/>
        </w:rPr>
        <w:instrText xml:space="preserve">" \s "Caso Atala Riffo e filhas Vs. Chile, 2012, Série C, No. 239" \c 2 </w:instrText>
      </w:r>
      <w:r w:rsidRPr="003716AA">
        <w:rPr>
          <w:rFonts w:eastAsia="Calibri"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.</w:t>
      </w:r>
    </w:p>
  </w:footnote>
  <w:footnote w:id="37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="008C0732">
        <w:rPr>
          <w:rFonts w:cs="Times New Roman"/>
          <w:szCs w:val="20"/>
        </w:rPr>
        <w:t xml:space="preserve"> </w:t>
      </w:r>
      <w:r w:rsidRPr="003716AA">
        <w:rPr>
          <w:rFonts w:cs="Times New Roman"/>
          <w:szCs w:val="20"/>
        </w:rPr>
        <w:t xml:space="preserve">CtIDH, </w:t>
      </w:r>
      <w:r w:rsidRPr="003716AA">
        <w:rPr>
          <w:rFonts w:cs="Times New Roman"/>
          <w:szCs w:val="20"/>
          <w:u w:val="single"/>
        </w:rPr>
        <w:t>Caso dos Massacres de Ituango Vs. Colômbia</w:t>
      </w:r>
      <w:r w:rsidRPr="003716AA">
        <w:rPr>
          <w:rFonts w:cs="Times New Roman"/>
          <w:szCs w:val="20"/>
        </w:rPr>
        <w:t>, 2006, Série C, No. 148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dos Massacres de Ituango Vs. Colômbia</w:instrText>
      </w:r>
      <w:r w:rsidRPr="003716AA">
        <w:rPr>
          <w:rFonts w:cs="Times New Roman"/>
          <w:szCs w:val="20"/>
        </w:rPr>
        <w:instrText xml:space="preserve">, 2006, Série C, No. 148" \s "Caso dos Massacres de Ituango Vs. Colômbia, 2006, Série C, No. 148"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§194.</w:t>
      </w:r>
    </w:p>
  </w:footnote>
  <w:footnote w:id="38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CtEDH, </w:t>
      </w:r>
      <w:r w:rsidRPr="003716AA">
        <w:rPr>
          <w:rFonts w:cs="Times New Roman"/>
          <w:szCs w:val="20"/>
          <w:u w:val="single"/>
        </w:rPr>
        <w:t>Caso H.M. Vs. Suíça</w:t>
      </w:r>
      <w:r w:rsidRPr="003716AA">
        <w:rPr>
          <w:rFonts w:cs="Times New Roman"/>
          <w:szCs w:val="20"/>
        </w:rPr>
        <w:t>, 2002, Série A, No. 39187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"Caso H.M. Vs. Suíça, 2002, Série A, No. 39187" </w:instrText>
      </w:r>
      <w:r w:rsidRPr="003716AA">
        <w:rPr>
          <w:rFonts w:cs="Times New Roman"/>
          <w:szCs w:val="20"/>
        </w:rPr>
        <w:fldChar w:fldCharType="end"/>
      </w:r>
      <w:r w:rsidR="00E30385">
        <w:rPr>
          <w:rFonts w:cs="Times New Roman"/>
          <w:szCs w:val="20"/>
        </w:rPr>
        <w:t>.</w:t>
      </w:r>
    </w:p>
  </w:footnote>
  <w:footnote w:id="39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</w:t>
      </w:r>
      <w:r w:rsidRPr="003716AA">
        <w:rPr>
          <w:rFonts w:eastAsia="Calibri" w:cs="Times New Roman"/>
          <w:szCs w:val="20"/>
        </w:rPr>
        <w:t xml:space="preserve">CtIDH, Caso </w:t>
      </w:r>
      <w:r w:rsidRPr="003716AA">
        <w:rPr>
          <w:rFonts w:eastAsia="Calibri" w:cs="Times New Roman"/>
          <w:szCs w:val="20"/>
          <w:u w:val="single"/>
        </w:rPr>
        <w:t>Artavia Murillo e outros Vs. Costa Rica</w:t>
      </w:r>
      <w:r w:rsidRPr="003716AA">
        <w:rPr>
          <w:rFonts w:eastAsia="Calibri" w:cs="Times New Roman"/>
          <w:szCs w:val="20"/>
        </w:rPr>
        <w:t>, 2012, Série C, No. 257</w:t>
      </w:r>
      <w:r w:rsidRPr="003716AA">
        <w:rPr>
          <w:rFonts w:eastAsia="Calibri" w:cs="Times New Roman"/>
          <w:szCs w:val="20"/>
        </w:rPr>
        <w:fldChar w:fldCharType="begin"/>
      </w:r>
      <w:r w:rsidRPr="003716AA">
        <w:rPr>
          <w:rFonts w:eastAsia="Calibri" w:cs="Times New Roman"/>
          <w:szCs w:val="20"/>
        </w:rPr>
        <w:instrText xml:space="preserve"> TA \s "Caso Artavia Murillo e outros Vs. Costa Rica, 2012, Série C, No. 257" </w:instrText>
      </w:r>
      <w:r w:rsidRPr="003716AA">
        <w:rPr>
          <w:rFonts w:eastAsia="Calibri" w:cs="Times New Roman"/>
          <w:szCs w:val="20"/>
        </w:rPr>
        <w:fldChar w:fldCharType="end"/>
      </w:r>
      <w:r w:rsidR="00E30385">
        <w:rPr>
          <w:rFonts w:eastAsia="Calibri" w:cs="Times New Roman"/>
          <w:szCs w:val="20"/>
        </w:rPr>
        <w:t>.</w:t>
      </w:r>
    </w:p>
  </w:footnote>
  <w:footnote w:id="40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eastAsia="Times New Roman" w:cs="Times New Roman"/>
          <w:szCs w:val="20"/>
        </w:rPr>
        <w:t xml:space="preserve"> CtIDH, </w:t>
      </w:r>
      <w:r w:rsidRPr="003716AA">
        <w:rPr>
          <w:rFonts w:eastAsia="Times New Roman" w:cs="Times New Roman"/>
          <w:szCs w:val="20"/>
          <w:u w:val="single"/>
        </w:rPr>
        <w:t xml:space="preserve">Opinião Consultiva: Garantias Judiciais em Estados de </w:t>
      </w:r>
      <w:r w:rsidRPr="004431FF">
        <w:rPr>
          <w:rFonts w:eastAsia="Times New Roman" w:cs="Times New Roman"/>
          <w:szCs w:val="20"/>
          <w:u w:val="single"/>
        </w:rPr>
        <w:t>Emergência (arts. 27.2, 25 e 8º da CADH)</w:t>
      </w:r>
      <w:r w:rsidRPr="003716AA">
        <w:rPr>
          <w:rFonts w:eastAsia="Times New Roman" w:cs="Times New Roman"/>
          <w:szCs w:val="20"/>
        </w:rPr>
        <w:t>, 1987, Série A, No. 9</w:t>
      </w:r>
      <w:r>
        <w:rPr>
          <w:rFonts w:eastAsia="Times New Roman" w:cs="Times New Roman"/>
          <w:szCs w:val="20"/>
        </w:rPr>
        <w:fldChar w:fldCharType="begin"/>
      </w:r>
      <w:r>
        <w:instrText xml:space="preserve"> TA \l "</w:instrText>
      </w:r>
      <w:r w:rsidRPr="00CA3D83">
        <w:rPr>
          <w:rFonts w:eastAsia="Times New Roman" w:cs="Times New Roman"/>
          <w:szCs w:val="20"/>
          <w:u w:val="single"/>
        </w:rPr>
        <w:instrText>Opinião Consultiva: Garantias Judiciais em Estados de Emergência (arts. 27.2, 25 e 8º da CADH)</w:instrText>
      </w:r>
      <w:r w:rsidRPr="00CA3D83">
        <w:rPr>
          <w:rFonts w:eastAsia="Times New Roman" w:cs="Times New Roman"/>
          <w:szCs w:val="20"/>
        </w:rPr>
        <w:instrText>, 1987, Série A, No. 9</w:instrText>
      </w:r>
      <w:r>
        <w:instrText xml:space="preserve">" \s "Opinião Consultiva: Garantias Judiciais em Estados de Emergência (arts. 27.2, 25 e 8º da CADH), 1987, Série A, No. 9" \c 2 </w:instrText>
      </w:r>
      <w:r>
        <w:rPr>
          <w:rFonts w:eastAsia="Times New Roman" w:cs="Times New Roman"/>
          <w:szCs w:val="20"/>
        </w:rPr>
        <w:fldChar w:fldCharType="end"/>
      </w:r>
      <w:r w:rsidR="001F783A">
        <w:rPr>
          <w:rFonts w:eastAsia="Times New Roman" w:cs="Times New Roman"/>
          <w:szCs w:val="20"/>
        </w:rPr>
        <w:t>.</w:t>
      </w:r>
    </w:p>
  </w:footnote>
  <w:footnote w:id="41">
    <w:p w:rsidR="00E74DC9" w:rsidRPr="001F783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  <w:lang w:val="es-ES"/>
        </w:rPr>
        <w:t xml:space="preserve"> </w:t>
      </w:r>
      <w:r w:rsidRPr="003716AA">
        <w:rPr>
          <w:rFonts w:cs="Times New Roman"/>
          <w:szCs w:val="20"/>
        </w:rPr>
        <w:t xml:space="preserve">CtIDH, </w:t>
      </w:r>
      <w:r w:rsidRPr="003716AA">
        <w:rPr>
          <w:rFonts w:cs="Times New Roman"/>
          <w:szCs w:val="20"/>
          <w:u w:val="single"/>
        </w:rPr>
        <w:t xml:space="preserve">Caso </w:t>
      </w:r>
      <w:r w:rsidRPr="001F783A">
        <w:rPr>
          <w:rFonts w:cs="Times New Roman"/>
          <w:szCs w:val="20"/>
          <w:u w:val="single"/>
        </w:rPr>
        <w:t>das Irmãs Serrano Cruz Vs. El Salvador</w:t>
      </w:r>
      <w:r w:rsidRPr="001F783A">
        <w:rPr>
          <w:rFonts w:cs="Times New Roman"/>
          <w:szCs w:val="20"/>
        </w:rPr>
        <w:t>, 2005, Série C, No. 120</w:t>
      </w:r>
      <w:r w:rsidRPr="001F783A">
        <w:rPr>
          <w:rFonts w:cs="Times New Roman"/>
          <w:szCs w:val="20"/>
        </w:rPr>
        <w:fldChar w:fldCharType="begin"/>
      </w:r>
      <w:r w:rsidRPr="001F783A">
        <w:rPr>
          <w:rFonts w:cs="Times New Roman"/>
          <w:szCs w:val="20"/>
        </w:rPr>
        <w:instrText xml:space="preserve"> TA \l "</w:instrText>
      </w:r>
      <w:r w:rsidRPr="001F783A">
        <w:rPr>
          <w:rFonts w:cs="Times New Roman"/>
          <w:szCs w:val="20"/>
          <w:u w:val="single"/>
        </w:rPr>
        <w:instrText>Caso das Irmãs Serrano Cruz Vs. El Salvador</w:instrText>
      </w:r>
      <w:r w:rsidRPr="001F783A">
        <w:rPr>
          <w:rFonts w:cs="Times New Roman"/>
          <w:szCs w:val="20"/>
        </w:rPr>
        <w:instrText xml:space="preserve">, 2005, Série C, No. 120" \s "Caso das Irmãs Serrano Cruz Vs. El Salvador, 2005, Série C, No. 120" \c 2 </w:instrText>
      </w:r>
      <w:r w:rsidRPr="001F783A">
        <w:rPr>
          <w:rFonts w:cs="Times New Roman"/>
          <w:szCs w:val="20"/>
        </w:rPr>
        <w:fldChar w:fldCharType="end"/>
      </w:r>
      <w:r w:rsidRPr="001F783A">
        <w:rPr>
          <w:rFonts w:cs="Times New Roman"/>
          <w:szCs w:val="20"/>
        </w:rPr>
        <w:t>, §79.</w:t>
      </w:r>
    </w:p>
  </w:footnote>
  <w:footnote w:id="42">
    <w:p w:rsidR="00E74DC9" w:rsidRPr="00A85A4B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1F783A">
        <w:rPr>
          <w:rStyle w:val="FootnoteReference"/>
          <w:rFonts w:cs="Times New Roman"/>
          <w:szCs w:val="20"/>
        </w:rPr>
        <w:footnoteRef/>
      </w:r>
      <w:r w:rsidRPr="001F783A">
        <w:rPr>
          <w:rFonts w:cs="Times New Roman"/>
          <w:szCs w:val="20"/>
          <w:lang w:val="en-US"/>
        </w:rPr>
        <w:t xml:space="preserve"> </w:t>
      </w:r>
      <w:r w:rsidR="001F783A" w:rsidRPr="001F783A">
        <w:rPr>
          <w:rFonts w:cs="Times New Roman"/>
          <w:szCs w:val="20"/>
          <w:lang w:val="en-US"/>
        </w:rPr>
        <w:t xml:space="preserve">FARREL, B. </w:t>
      </w:r>
      <w:r w:rsidR="001F783A" w:rsidRPr="001F783A">
        <w:rPr>
          <w:rFonts w:cs="Times New Roman"/>
          <w:szCs w:val="20"/>
          <w:u w:val="single"/>
          <w:lang w:val="en-US"/>
        </w:rPr>
        <w:t>The Right to Habeas Corpus in the Inter-American Human Rights System</w:t>
      </w:r>
      <w:r w:rsidR="001F783A">
        <w:rPr>
          <w:rFonts w:cs="Times New Roman"/>
          <w:szCs w:val="20"/>
          <w:lang w:val="en-US"/>
        </w:rPr>
        <w:t xml:space="preserve">. </w:t>
      </w:r>
      <w:r w:rsidR="001F783A" w:rsidRPr="00A85A4B">
        <w:rPr>
          <w:rFonts w:cs="Times New Roman"/>
          <w:i/>
          <w:szCs w:val="20"/>
        </w:rPr>
        <w:t>Suffolk Transnational Law Review</w:t>
      </w:r>
      <w:r w:rsidR="001F783A" w:rsidRPr="00A85A4B">
        <w:rPr>
          <w:rFonts w:cs="Times New Roman"/>
          <w:szCs w:val="20"/>
        </w:rPr>
        <w:t>, v. 33, n. 2, 2010.</w:t>
      </w:r>
    </w:p>
  </w:footnote>
  <w:footnote w:id="43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Pergunta de Esclarecimento nº 61.</w:t>
      </w:r>
    </w:p>
  </w:footnote>
  <w:footnote w:id="44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Caesar Vs. Trinidad e Tobago</w:t>
      </w:r>
      <w:r w:rsidRPr="003716AA">
        <w:rPr>
          <w:rFonts w:cs="Times New Roman"/>
          <w:szCs w:val="20"/>
        </w:rPr>
        <w:t>, 2005, Série C, No 123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Caesar Vs. Trinidad e Tobago</w:instrText>
      </w:r>
      <w:r w:rsidRPr="003716AA">
        <w:rPr>
          <w:rFonts w:cs="Times New Roman"/>
          <w:szCs w:val="20"/>
        </w:rPr>
        <w:instrText xml:space="preserve">, 2005, Série C, No 123" \s "Caso Caesar Vs. Trinidad e Tobago, 2005, Série C, No 123" \c 2 </w:instrText>
      </w:r>
      <w:r w:rsidRPr="003716AA">
        <w:rPr>
          <w:rFonts w:cs="Times New Roman"/>
          <w:szCs w:val="20"/>
        </w:rPr>
        <w:fldChar w:fldCharType="end"/>
      </w:r>
      <w:r w:rsidR="00106B01">
        <w:rPr>
          <w:rFonts w:cs="Times New Roman"/>
          <w:szCs w:val="20"/>
        </w:rPr>
        <w:t>.</w:t>
      </w:r>
    </w:p>
  </w:footnote>
  <w:footnote w:id="45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  <w:lang w:val="en-US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  <w:lang w:val="es-ES"/>
        </w:rPr>
        <w:t xml:space="preserve"> </w:t>
      </w:r>
      <w:r w:rsidRPr="003716AA">
        <w:rPr>
          <w:rFonts w:cs="Times New Roman"/>
          <w:szCs w:val="20"/>
          <w:lang w:val="en-US"/>
        </w:rPr>
        <w:t>ACDH, ONU, “</w:t>
      </w:r>
      <w:r w:rsidRPr="003716AA">
        <w:rPr>
          <w:rFonts w:cs="Times New Roman"/>
          <w:szCs w:val="20"/>
          <w:u w:val="single"/>
          <w:lang w:val="en-US"/>
        </w:rPr>
        <w:t>Forgotten Europeans Forgotten Rights</w:t>
      </w:r>
      <w:r w:rsidRPr="003716AA">
        <w:rPr>
          <w:rFonts w:cs="Times New Roman"/>
          <w:szCs w:val="20"/>
          <w:lang w:val="en-US"/>
        </w:rPr>
        <w:t>” (2011)</w:t>
      </w:r>
      <w:r w:rsidRPr="003716AA">
        <w:rPr>
          <w:rFonts w:cs="Times New Roman"/>
          <w:szCs w:val="20"/>
          <w:lang w:val="en-US"/>
        </w:rPr>
        <w:fldChar w:fldCharType="begin"/>
      </w:r>
      <w:r w:rsidRPr="00E74DC9">
        <w:rPr>
          <w:rFonts w:cs="Times New Roman"/>
          <w:szCs w:val="20"/>
          <w:lang w:val="en-US"/>
        </w:rPr>
        <w:instrText xml:space="preserve"> TA \l "\</w:instrText>
      </w:r>
      <w:r w:rsidRPr="003716AA">
        <w:rPr>
          <w:rFonts w:cs="Times New Roman"/>
          <w:szCs w:val="20"/>
          <w:lang w:val="en-US"/>
        </w:rPr>
        <w:instrText>“</w:instrText>
      </w:r>
      <w:r w:rsidRPr="003716AA">
        <w:rPr>
          <w:rFonts w:cs="Times New Roman"/>
          <w:szCs w:val="20"/>
          <w:u w:val="single"/>
          <w:lang w:val="en-US"/>
        </w:rPr>
        <w:instrText>Forgotten Europeans Forgotten Rights</w:instrText>
      </w:r>
      <w:r w:rsidRPr="00E74DC9">
        <w:rPr>
          <w:rFonts w:cs="Times New Roman"/>
          <w:szCs w:val="20"/>
          <w:lang w:val="en-US"/>
        </w:rPr>
        <w:instrText>\</w:instrText>
      </w:r>
      <w:r w:rsidRPr="003716AA">
        <w:rPr>
          <w:rFonts w:cs="Times New Roman"/>
          <w:szCs w:val="20"/>
          <w:lang w:val="en-US"/>
        </w:rPr>
        <w:instrText>” (2011)</w:instrText>
      </w:r>
      <w:r w:rsidRPr="00E74DC9">
        <w:rPr>
          <w:rFonts w:cs="Times New Roman"/>
          <w:szCs w:val="20"/>
          <w:lang w:val="en-US"/>
        </w:rPr>
        <w:instrText xml:space="preserve">" \s "\"Forgotten Europeans Forgotten Rights\" (2011)" \c 5 </w:instrText>
      </w:r>
      <w:r w:rsidRPr="003716AA">
        <w:rPr>
          <w:rFonts w:cs="Times New Roman"/>
          <w:szCs w:val="20"/>
          <w:lang w:val="en-US"/>
        </w:rPr>
        <w:fldChar w:fldCharType="end"/>
      </w:r>
      <w:r w:rsidRPr="003716AA">
        <w:rPr>
          <w:rFonts w:cs="Times New Roman"/>
          <w:szCs w:val="20"/>
          <w:lang w:val="en-US"/>
        </w:rPr>
        <w:t>, p. 15.</w:t>
      </w:r>
    </w:p>
  </w:footnote>
  <w:footnote w:id="46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  <w:lang w:val="es-ES"/>
        </w:rPr>
        <w:t xml:space="preserve"> </w:t>
      </w:r>
      <w:hyperlink r:id="rId2" w:history="1">
        <w:r w:rsidRPr="003716AA">
          <w:rPr>
            <w:rFonts w:cs="Times New Roman"/>
            <w:szCs w:val="20"/>
            <w:lang w:val="es-ES"/>
          </w:rPr>
          <w:t xml:space="preserve">CtIDH, </w:t>
        </w:r>
        <w:r w:rsidRPr="003716AA">
          <w:rPr>
            <w:rFonts w:cs="Times New Roman"/>
            <w:szCs w:val="20"/>
            <w:u w:val="single"/>
            <w:lang w:val="es-ES"/>
          </w:rPr>
          <w:t xml:space="preserve">Caso Díaz Peña Vs. </w:t>
        </w:r>
        <w:r w:rsidRPr="003716AA">
          <w:rPr>
            <w:rFonts w:cs="Times New Roman"/>
            <w:szCs w:val="20"/>
            <w:u w:val="single"/>
          </w:rPr>
          <w:t>Venezuela</w:t>
        </w:r>
        <w:r w:rsidRPr="003716AA">
          <w:rPr>
            <w:rFonts w:cs="Times New Roman"/>
            <w:szCs w:val="20"/>
          </w:rPr>
          <w:t>, 2012, Série C, No. 244</w:t>
        </w:r>
        <w:r w:rsidRPr="003716AA">
          <w:rPr>
            <w:rFonts w:cs="Times New Roman"/>
            <w:szCs w:val="20"/>
          </w:rPr>
          <w:fldChar w:fldCharType="begin"/>
        </w:r>
        <w:r w:rsidRPr="003716AA">
          <w:rPr>
            <w:rFonts w:cs="Times New Roman"/>
            <w:szCs w:val="20"/>
          </w:rPr>
          <w:instrText xml:space="preserve"> TA \l "</w:instrText>
        </w:r>
        <w:r w:rsidRPr="003716AA">
          <w:rPr>
            <w:rFonts w:cs="Times New Roman"/>
            <w:szCs w:val="20"/>
            <w:u w:val="single"/>
            <w:lang w:val="es-ES"/>
          </w:rPr>
          <w:instrText xml:space="preserve">Caso Díaz Peña Vs. </w:instrText>
        </w:r>
        <w:r w:rsidRPr="003716AA">
          <w:rPr>
            <w:rFonts w:cs="Times New Roman"/>
            <w:szCs w:val="20"/>
            <w:u w:val="single"/>
          </w:rPr>
          <w:instrText>Venezuela</w:instrText>
        </w:r>
        <w:r w:rsidRPr="003716AA">
          <w:rPr>
            <w:rFonts w:cs="Times New Roman"/>
            <w:szCs w:val="20"/>
          </w:rPr>
          <w:instrText xml:space="preserve">, 2012, Série C, No. 244" \s "Caso Díaz Peña Vs. Venezuela, 2012, Série C, No. 244" \c 2 </w:instrText>
        </w:r>
        <w:r w:rsidRPr="003716AA">
          <w:rPr>
            <w:rFonts w:cs="Times New Roman"/>
            <w:szCs w:val="20"/>
          </w:rPr>
          <w:fldChar w:fldCharType="end"/>
        </w:r>
      </w:hyperlink>
      <w:r>
        <w:rPr>
          <w:rFonts w:cs="Times New Roman"/>
          <w:szCs w:val="20"/>
        </w:rPr>
        <w:t>.</w:t>
      </w:r>
    </w:p>
  </w:footnote>
  <w:footnote w:id="47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Boyce e outros Vs. Barbados</w:t>
      </w:r>
      <w:r w:rsidRPr="003716AA">
        <w:rPr>
          <w:rFonts w:cs="Times New Roman"/>
          <w:szCs w:val="20"/>
        </w:rPr>
        <w:t>, 2007, Série C, No. 169</w:t>
      </w:r>
      <w:r w:rsidR="00106B01">
        <w:rPr>
          <w:rFonts w:cs="Times New Roman"/>
          <w:szCs w:val="20"/>
        </w:rPr>
        <w:t>.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Boyce e outros Vs. Barbados</w:instrText>
      </w:r>
      <w:r w:rsidRPr="003716AA">
        <w:rPr>
          <w:rFonts w:cs="Times New Roman"/>
          <w:szCs w:val="20"/>
        </w:rPr>
        <w:instrText xml:space="preserve">, 2007, Série C, No. 169" \s "Caso Boyce e outros Vs. Barbados, 2007, Série C, No. 169" \c 2 </w:instrText>
      </w:r>
      <w:r w:rsidRPr="003716AA">
        <w:rPr>
          <w:rFonts w:cs="Times New Roman"/>
          <w:szCs w:val="20"/>
        </w:rPr>
        <w:fldChar w:fldCharType="end"/>
      </w:r>
    </w:p>
  </w:footnote>
  <w:footnote w:id="48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106B01">
        <w:rPr>
          <w:rFonts w:cs="Times New Roman"/>
          <w:szCs w:val="20"/>
          <w:vertAlign w:val="superscript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Vélez Loor Vs. Panamá</w:t>
      </w:r>
      <w:r w:rsidRPr="003716AA">
        <w:rPr>
          <w:rFonts w:cs="Times New Roman"/>
          <w:szCs w:val="20"/>
        </w:rPr>
        <w:t>, 2010, Série C, No. 218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"Caso Vélez Loor Vs. Panamá, 2010, Série C, No. 218"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 xml:space="preserve">, §215 </w:t>
      </w:r>
    </w:p>
  </w:footnote>
  <w:footnote w:id="49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106B01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OEA, </w:t>
      </w:r>
      <w:r w:rsidRPr="003716AA">
        <w:rPr>
          <w:rFonts w:cs="Times New Roman"/>
          <w:szCs w:val="20"/>
          <w:u w:val="single"/>
        </w:rPr>
        <w:t>Protocolo de São Salvador</w:t>
      </w:r>
      <w:r w:rsidRPr="003716AA">
        <w:rPr>
          <w:rFonts w:cs="Times New Roman"/>
          <w:szCs w:val="20"/>
        </w:rPr>
        <w:t xml:space="preserve"> (1988)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"OEA, Protocolo de São Salvador (1988)"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 xml:space="preserve">, </w:t>
      </w:r>
      <w:r w:rsidR="00106B01">
        <w:rPr>
          <w:rFonts w:cs="Times New Roman"/>
          <w:szCs w:val="20"/>
        </w:rPr>
        <w:t>a</w:t>
      </w:r>
      <w:r w:rsidRPr="003716AA">
        <w:rPr>
          <w:rFonts w:cs="Times New Roman"/>
          <w:szCs w:val="20"/>
        </w:rPr>
        <w:t>rt. 12.</w:t>
      </w:r>
    </w:p>
  </w:footnote>
  <w:footnote w:id="50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106B01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</w:t>
      </w:r>
      <w:r w:rsidR="00106B01" w:rsidRPr="003716AA">
        <w:rPr>
          <w:rFonts w:cs="Times New Roman"/>
          <w:szCs w:val="20"/>
        </w:rPr>
        <w:t xml:space="preserve">OEA, </w:t>
      </w:r>
      <w:r w:rsidR="00106B01" w:rsidRPr="003716AA">
        <w:rPr>
          <w:rFonts w:cs="Times New Roman"/>
          <w:szCs w:val="20"/>
          <w:u w:val="single"/>
        </w:rPr>
        <w:t>Protocolo de São Salvador</w:t>
      </w:r>
      <w:r w:rsidR="00106B01" w:rsidRPr="003716AA">
        <w:rPr>
          <w:rFonts w:cs="Times New Roman"/>
          <w:szCs w:val="20"/>
        </w:rPr>
        <w:t xml:space="preserve"> (1988)</w:t>
      </w:r>
      <w:r w:rsidR="00106B01" w:rsidRPr="003716AA">
        <w:rPr>
          <w:rFonts w:cs="Times New Roman"/>
          <w:szCs w:val="20"/>
        </w:rPr>
        <w:fldChar w:fldCharType="begin"/>
      </w:r>
      <w:r w:rsidR="00106B01" w:rsidRPr="003716AA">
        <w:rPr>
          <w:rFonts w:cs="Times New Roman"/>
          <w:szCs w:val="20"/>
        </w:rPr>
        <w:instrText xml:space="preserve"> TA \s "OEA, Protocolo de São Salvador (1988)" </w:instrText>
      </w:r>
      <w:r w:rsidR="00106B01" w:rsidRPr="003716AA">
        <w:rPr>
          <w:rFonts w:cs="Times New Roman"/>
          <w:szCs w:val="20"/>
        </w:rPr>
        <w:fldChar w:fldCharType="end"/>
      </w:r>
      <w:r w:rsidR="00106B01" w:rsidRPr="003716AA">
        <w:rPr>
          <w:rFonts w:cs="Times New Roman"/>
          <w:szCs w:val="20"/>
        </w:rPr>
        <w:t>,</w:t>
      </w:r>
      <w:r w:rsidR="00106B01">
        <w:rPr>
          <w:rFonts w:cs="Times New Roman"/>
          <w:szCs w:val="20"/>
        </w:rPr>
        <w:t xml:space="preserve"> art. </w:t>
      </w:r>
      <w:r w:rsidR="00177C4F">
        <w:rPr>
          <w:rFonts w:cs="Times New Roman"/>
          <w:szCs w:val="20"/>
        </w:rPr>
        <w:t>19.6.</w:t>
      </w:r>
    </w:p>
  </w:footnote>
  <w:footnote w:id="51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</w:t>
      </w:r>
      <w:r w:rsidRPr="003716AA">
        <w:rPr>
          <w:rFonts w:eastAsia="Calibri" w:cs="Times New Roman"/>
        </w:rPr>
        <w:t xml:space="preserve">CtIDH, Caso </w:t>
      </w:r>
      <w:r w:rsidRPr="003716AA">
        <w:rPr>
          <w:rFonts w:eastAsia="Calibri" w:cs="Times New Roman"/>
          <w:u w:val="single"/>
        </w:rPr>
        <w:t>Artavia Murillo e outros Vs. Costa Rica</w:t>
      </w:r>
      <w:r w:rsidRPr="003716AA">
        <w:rPr>
          <w:rFonts w:eastAsia="Calibri" w:cs="Times New Roman"/>
        </w:rPr>
        <w:t xml:space="preserve">, 2012, Série C, No. </w:t>
      </w:r>
      <w:r w:rsidRPr="00FB317F">
        <w:rPr>
          <w:rFonts w:eastAsia="Calibri" w:cs="Times New Roman"/>
        </w:rPr>
        <w:t>257</w:t>
      </w:r>
      <w:r w:rsidRPr="00FB317F">
        <w:rPr>
          <w:rFonts w:eastAsia="Calibri" w:cs="Times New Roman"/>
        </w:rPr>
        <w:fldChar w:fldCharType="begin"/>
      </w:r>
      <w:r w:rsidRPr="00FB317F">
        <w:rPr>
          <w:rFonts w:eastAsia="Calibri" w:cs="Times New Roman"/>
        </w:rPr>
        <w:instrText xml:space="preserve"> TA \s "Caso Artavia Murillo e outros Vs. Costa Rica, 2012, Série C, No. 257" </w:instrText>
      </w:r>
      <w:r w:rsidRPr="00FB317F">
        <w:rPr>
          <w:rFonts w:eastAsia="Calibri" w:cs="Times New Roman"/>
        </w:rPr>
        <w:fldChar w:fldCharType="end"/>
      </w:r>
      <w:r w:rsidRPr="00FB317F">
        <w:rPr>
          <w:rFonts w:eastAsia="Calibri" w:cs="Times New Roman"/>
        </w:rPr>
        <w:t xml:space="preserve">, </w:t>
      </w:r>
      <w:r w:rsidR="00FB317F" w:rsidRPr="00FB317F">
        <w:rPr>
          <w:rFonts w:cs="Times New Roman"/>
        </w:rPr>
        <w:t>§273.</w:t>
      </w:r>
    </w:p>
  </w:footnote>
  <w:footnote w:id="52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CtIDH, </w:t>
      </w:r>
      <w:r w:rsidRPr="003716AA">
        <w:rPr>
          <w:rFonts w:eastAsia="Calibri" w:cs="Times New Roman"/>
        </w:rPr>
        <w:t xml:space="preserve">Caso </w:t>
      </w:r>
      <w:r w:rsidRPr="003716AA">
        <w:rPr>
          <w:rFonts w:eastAsia="Calibri" w:cs="Times New Roman"/>
          <w:u w:val="single"/>
        </w:rPr>
        <w:t>Artavia Murillo e outros Vs. Costa Rica</w:t>
      </w:r>
      <w:r w:rsidRPr="003716AA">
        <w:rPr>
          <w:rFonts w:eastAsia="Calibri" w:cs="Times New Roman"/>
        </w:rPr>
        <w:t>, 2012, Série C, No. 257</w:t>
      </w:r>
      <w:r w:rsidRPr="003716AA">
        <w:rPr>
          <w:rFonts w:eastAsia="Calibri" w:cs="Times New Roman"/>
        </w:rPr>
        <w:fldChar w:fldCharType="begin"/>
      </w:r>
      <w:r w:rsidRPr="003716AA">
        <w:rPr>
          <w:rFonts w:eastAsia="Calibri" w:cs="Times New Roman"/>
        </w:rPr>
        <w:instrText xml:space="preserve"> TA \s "Caso Artavia Murillo e outros Vs. Costa Rica, 2012, Série C, No. 257" </w:instrText>
      </w:r>
      <w:r w:rsidRPr="003716AA">
        <w:rPr>
          <w:rFonts w:eastAsia="Calibri" w:cs="Times New Roman"/>
        </w:rPr>
        <w:fldChar w:fldCharType="end"/>
      </w:r>
      <w:r w:rsidRPr="003716AA">
        <w:rPr>
          <w:rFonts w:eastAsia="Calibri" w:cs="Times New Roman"/>
        </w:rPr>
        <w:t xml:space="preserve">, </w:t>
      </w:r>
      <w:r w:rsidRPr="003716AA">
        <w:rPr>
          <w:rFonts w:cs="Times New Roman"/>
        </w:rPr>
        <w:t>§273.</w:t>
      </w:r>
    </w:p>
  </w:footnote>
  <w:footnote w:id="53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  <w:lang w:val="es-ES"/>
        </w:rPr>
        <w:t xml:space="preserve"> CtIDH, </w:t>
      </w:r>
      <w:r w:rsidRPr="003716AA">
        <w:rPr>
          <w:rFonts w:cs="Times New Roman"/>
          <w:u w:val="single"/>
          <w:lang w:val="es-ES"/>
        </w:rPr>
        <w:t xml:space="preserve">Caso Vélez Loor Vs. </w:t>
      </w:r>
      <w:r w:rsidRPr="003716AA">
        <w:rPr>
          <w:rFonts w:cs="Times New Roman"/>
          <w:u w:val="single"/>
        </w:rPr>
        <w:t>Panamá</w:t>
      </w:r>
      <w:r w:rsidRPr="003716AA">
        <w:rPr>
          <w:rFonts w:cs="Times New Roman"/>
        </w:rPr>
        <w:t>, 2010, Série C, No. 218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\s "Caso Vélez Loor Vs. Panamá, 2010, Série C, No. 218"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§220.</w:t>
      </w:r>
    </w:p>
  </w:footnote>
  <w:footnote w:id="54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ONU, </w:t>
      </w:r>
      <w:r w:rsidRPr="003716AA">
        <w:rPr>
          <w:rFonts w:cs="Times New Roman"/>
          <w:szCs w:val="20"/>
          <w:u w:val="single"/>
        </w:rPr>
        <w:t xml:space="preserve">Princípios para a Proteção de Pessoas com Doença Mental e para a Melhoria dos Cuidados de Saúde Mental </w:t>
      </w:r>
      <w:r w:rsidRPr="003716AA">
        <w:rPr>
          <w:rFonts w:cs="Times New Roman"/>
          <w:szCs w:val="20"/>
        </w:rPr>
        <w:t>(1991), A/RES/46/119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"Princípios para a Proteção de Pessoas com Doença Mental e para a Melhoria dos Cuidados de Saúde Mental (1991), A/RES/46/119"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Princípio 11(7).</w:t>
      </w:r>
    </w:p>
  </w:footnote>
  <w:footnote w:id="55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</w:t>
      </w:r>
      <w:r w:rsidR="00384CB9" w:rsidRPr="003716AA">
        <w:rPr>
          <w:rFonts w:cs="Times New Roman"/>
        </w:rPr>
        <w:t xml:space="preserve">CtIDH, </w:t>
      </w:r>
      <w:r w:rsidR="00384CB9" w:rsidRPr="003716AA">
        <w:rPr>
          <w:rFonts w:cs="Times New Roman"/>
          <w:u w:val="single"/>
        </w:rPr>
        <w:t>Caso Vera Vera e outros Vs. Equador</w:t>
      </w:r>
      <w:r w:rsidR="00384CB9" w:rsidRPr="003716AA">
        <w:rPr>
          <w:rFonts w:cs="Times New Roman"/>
        </w:rPr>
        <w:t>, 2001, Série C, No. 244</w:t>
      </w:r>
      <w:r w:rsidR="00384CB9" w:rsidRPr="003716AA">
        <w:rPr>
          <w:rFonts w:cs="Times New Roman"/>
        </w:rPr>
        <w:fldChar w:fldCharType="begin"/>
      </w:r>
      <w:r w:rsidR="00384CB9" w:rsidRPr="003716AA">
        <w:rPr>
          <w:rFonts w:cs="Times New Roman"/>
        </w:rPr>
        <w:instrText xml:space="preserve"> TA \s "Caso Vera Vera e outros Vs. Equador, 2001, Série C, No. 244" </w:instrText>
      </w:r>
      <w:r w:rsidR="00384CB9" w:rsidRPr="003716AA">
        <w:rPr>
          <w:rFonts w:cs="Times New Roman"/>
        </w:rPr>
        <w:fldChar w:fldCharType="end"/>
      </w:r>
      <w:r w:rsidR="00384CB9">
        <w:rPr>
          <w:rFonts w:cs="Times New Roman"/>
        </w:rPr>
        <w:t>.</w:t>
      </w:r>
    </w:p>
  </w:footnote>
  <w:footnote w:id="56">
    <w:p w:rsidR="00E74DC9" w:rsidRPr="003716AA" w:rsidRDefault="00E74DC9" w:rsidP="003E3372">
      <w:pPr>
        <w:spacing w:line="240" w:lineRule="auto"/>
        <w:rPr>
          <w:rFonts w:cs="Times New Roman"/>
          <w:sz w:val="20"/>
          <w:szCs w:val="20"/>
        </w:rPr>
      </w:pPr>
      <w:r w:rsidRPr="003716AA">
        <w:rPr>
          <w:rStyle w:val="FootnoteReference"/>
          <w:rFonts w:cs="Times New Roman"/>
          <w:sz w:val="20"/>
          <w:szCs w:val="20"/>
        </w:rPr>
        <w:footnoteRef/>
      </w:r>
      <w:r w:rsidRPr="003716AA">
        <w:rPr>
          <w:rFonts w:cs="Times New Roman"/>
          <w:sz w:val="20"/>
          <w:szCs w:val="20"/>
        </w:rPr>
        <w:t xml:space="preserve"> CtIDH, </w:t>
      </w:r>
      <w:r w:rsidRPr="003716AA">
        <w:rPr>
          <w:rFonts w:cs="Times New Roman"/>
          <w:sz w:val="20"/>
          <w:szCs w:val="20"/>
          <w:u w:val="single"/>
        </w:rPr>
        <w:t>Caso Artavia Murillo e outros Vs. Costa Rica</w:t>
      </w:r>
      <w:r w:rsidRPr="003716AA">
        <w:rPr>
          <w:rFonts w:cs="Times New Roman"/>
          <w:sz w:val="20"/>
          <w:szCs w:val="20"/>
        </w:rPr>
        <w:t>, 2012, Série C, No. 257</w:t>
      </w:r>
      <w:r w:rsidRPr="003716AA">
        <w:rPr>
          <w:rFonts w:cs="Times New Roman"/>
          <w:sz w:val="20"/>
          <w:szCs w:val="20"/>
        </w:rPr>
        <w:fldChar w:fldCharType="begin"/>
      </w:r>
      <w:r w:rsidRPr="003716AA">
        <w:rPr>
          <w:rFonts w:cs="Times New Roman"/>
          <w:sz w:val="20"/>
          <w:szCs w:val="20"/>
        </w:rPr>
        <w:instrText xml:space="preserve"> TA \s "Caso Artavia Murillo e outros Vs. Costa Rica, 2012, Série C, No. 257" </w:instrText>
      </w:r>
      <w:r w:rsidRPr="003716AA">
        <w:rPr>
          <w:rFonts w:cs="Times New Roman"/>
          <w:sz w:val="20"/>
          <w:szCs w:val="20"/>
        </w:rPr>
        <w:fldChar w:fldCharType="end"/>
      </w:r>
      <w:r w:rsidRPr="003716AA">
        <w:rPr>
          <w:rFonts w:cs="Times New Roman"/>
          <w:sz w:val="20"/>
          <w:szCs w:val="20"/>
        </w:rPr>
        <w:t xml:space="preserve">, §274; CtEDH, </w:t>
      </w:r>
      <w:r w:rsidRPr="003716AA">
        <w:rPr>
          <w:rFonts w:cs="Times New Roman"/>
          <w:sz w:val="20"/>
          <w:szCs w:val="20"/>
          <w:u w:val="single"/>
        </w:rPr>
        <w:t>Caso Plesó Vs. Hungria, 2012, No. 41242</w:t>
      </w:r>
      <w:r w:rsidRPr="003716AA">
        <w:rPr>
          <w:rFonts w:cs="Times New Roman"/>
          <w:sz w:val="20"/>
          <w:szCs w:val="20"/>
          <w:u w:val="single"/>
          <w:lang w:val="en-US"/>
        </w:rPr>
        <w:fldChar w:fldCharType="begin"/>
      </w:r>
      <w:r w:rsidRPr="003716AA">
        <w:rPr>
          <w:rFonts w:cs="Times New Roman"/>
          <w:sz w:val="20"/>
          <w:szCs w:val="20"/>
          <w:u w:val="single"/>
        </w:rPr>
        <w:instrText xml:space="preserve"> TA \s "Caso Plesó Vs. Hungria, 2012, Série A, No. 41242" </w:instrText>
      </w:r>
      <w:r w:rsidRPr="003716AA">
        <w:rPr>
          <w:rFonts w:cs="Times New Roman"/>
          <w:sz w:val="20"/>
          <w:szCs w:val="20"/>
          <w:u w:val="single"/>
          <w:lang w:val="en-US"/>
        </w:rPr>
        <w:fldChar w:fldCharType="end"/>
      </w:r>
      <w:r w:rsidRPr="003716AA">
        <w:rPr>
          <w:rFonts w:cs="Times New Roman"/>
          <w:sz w:val="20"/>
          <w:szCs w:val="20"/>
        </w:rPr>
        <w:t>, §66.</w:t>
      </w:r>
    </w:p>
  </w:footnote>
  <w:footnote w:id="57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CdE, </w:t>
      </w:r>
      <w:r w:rsidRPr="00113378">
        <w:rPr>
          <w:rFonts w:cs="Times New Roman"/>
          <w:szCs w:val="20"/>
          <w:u w:val="single"/>
        </w:rPr>
        <w:t>Convenção sobre Direitos Humanos e Biomedicina</w:t>
      </w:r>
      <w:r w:rsidRPr="003716AA">
        <w:rPr>
          <w:rFonts w:cs="Times New Roman"/>
          <w:szCs w:val="20"/>
        </w:rPr>
        <w:t xml:space="preserve"> (1997</w:t>
      </w:r>
      <w:r>
        <w:rPr>
          <w:rFonts w:cs="Times New Roman"/>
          <w:szCs w:val="20"/>
        </w:rPr>
        <w:t>)</w:t>
      </w:r>
      <w:r>
        <w:rPr>
          <w:rFonts w:cs="Times New Roman"/>
          <w:szCs w:val="20"/>
        </w:rPr>
        <w:fldChar w:fldCharType="begin"/>
      </w:r>
      <w:r>
        <w:instrText xml:space="preserve"> TA \l "</w:instrText>
      </w:r>
      <w:r w:rsidRPr="00C84A4F">
        <w:rPr>
          <w:rFonts w:cs="Times New Roman"/>
          <w:szCs w:val="20"/>
          <w:u w:val="single"/>
        </w:rPr>
        <w:instrText>Convenção sobre Direitos Humanos e Biomedicina</w:instrText>
      </w:r>
      <w:r w:rsidRPr="00C84A4F">
        <w:rPr>
          <w:rFonts w:cs="Times New Roman"/>
          <w:szCs w:val="20"/>
        </w:rPr>
        <w:instrText xml:space="preserve"> (1997)</w:instrText>
      </w:r>
      <w:r>
        <w:instrText xml:space="preserve">" \s "Convenção sobre Direitos Humanos e Biomedicina (1997)" \c 1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Art. 6(3).</w:t>
      </w:r>
    </w:p>
  </w:footnote>
  <w:footnote w:id="58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Caso Hipotético, p. 25.</w:t>
      </w:r>
    </w:p>
  </w:footnote>
  <w:footnote w:id="59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Caso Hipotético, p. 27.</w:t>
      </w:r>
    </w:p>
  </w:footnote>
  <w:footnote w:id="60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  <w:lang w:val="en-US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  <w:lang w:val="en-US"/>
        </w:rPr>
        <w:t xml:space="preserve"> ROBERTSON, E. et. al. </w:t>
      </w:r>
      <w:r w:rsidRPr="003716AA">
        <w:rPr>
          <w:rFonts w:cs="Times New Roman"/>
          <w:szCs w:val="20"/>
          <w:u w:val="single"/>
          <w:lang w:val="en-US"/>
        </w:rPr>
        <w:t>Antenatal risk factors for postpartum depression: A synthesis of recent literature.</w:t>
      </w:r>
      <w:r w:rsidRPr="003716AA">
        <w:rPr>
          <w:rFonts w:cs="Times New Roman"/>
          <w:szCs w:val="20"/>
          <w:lang w:val="en-US"/>
        </w:rPr>
        <w:t xml:space="preserve"> </w:t>
      </w:r>
      <w:r w:rsidRPr="003716AA">
        <w:rPr>
          <w:rFonts w:cs="Times New Roman"/>
          <w:i/>
          <w:szCs w:val="20"/>
          <w:lang w:val="en-US"/>
        </w:rPr>
        <w:t>Gerneral Hospital Psychiatry</w:t>
      </w:r>
      <w:r w:rsidRPr="003716AA">
        <w:rPr>
          <w:rFonts w:cs="Times New Roman"/>
          <w:szCs w:val="20"/>
          <w:lang w:val="en-US"/>
        </w:rPr>
        <w:t>, n. 26, 2004</w:t>
      </w:r>
      <w:r w:rsidRPr="003716AA">
        <w:rPr>
          <w:rFonts w:cs="Times New Roman"/>
          <w:szCs w:val="20"/>
          <w:lang w:val="en-US"/>
        </w:rPr>
        <w:fldChar w:fldCharType="begin"/>
      </w:r>
      <w:r w:rsidRPr="003716AA">
        <w:rPr>
          <w:rFonts w:cs="Times New Roman"/>
          <w:szCs w:val="20"/>
          <w:lang w:val="en-US"/>
        </w:rPr>
        <w:instrText xml:space="preserve"> TA \l "ROBERTSON, E. et. al. </w:instrText>
      </w:r>
      <w:r w:rsidRPr="003716AA">
        <w:rPr>
          <w:rFonts w:cs="Times New Roman"/>
          <w:szCs w:val="20"/>
          <w:u w:val="single"/>
          <w:lang w:val="en-US"/>
        </w:rPr>
        <w:instrText>Antenatal risk factors for postpartum depression: A synthesis of recent literature.</w:instrText>
      </w:r>
      <w:r w:rsidRPr="003716AA">
        <w:rPr>
          <w:rFonts w:cs="Times New Roman"/>
          <w:szCs w:val="20"/>
          <w:lang w:val="en-US"/>
        </w:rPr>
        <w:instrText xml:space="preserve"> </w:instrText>
      </w:r>
      <w:r w:rsidRPr="003716AA">
        <w:rPr>
          <w:rFonts w:cs="Times New Roman"/>
          <w:i/>
          <w:szCs w:val="20"/>
          <w:lang w:val="en-US"/>
        </w:rPr>
        <w:instrText>Gerneral Hospital Psychiatry</w:instrText>
      </w:r>
      <w:r w:rsidRPr="003716AA">
        <w:rPr>
          <w:rFonts w:cs="Times New Roman"/>
          <w:szCs w:val="20"/>
          <w:lang w:val="en-US"/>
        </w:rPr>
        <w:instrText xml:space="preserve">, n. 26, 2004" \s "ROBERTSON, E. et. al. Antenatal risk factors for postpartum depression: A synthesis of recent literature. Gerneral Hospital Psychiatry, n. 26, 2004" \c 6 </w:instrText>
      </w:r>
      <w:r w:rsidRPr="003716AA">
        <w:rPr>
          <w:rFonts w:cs="Times New Roman"/>
          <w:szCs w:val="20"/>
          <w:lang w:val="en-US"/>
        </w:rPr>
        <w:fldChar w:fldCharType="end"/>
      </w:r>
      <w:r w:rsidRPr="003716AA">
        <w:rPr>
          <w:rFonts w:cs="Times New Roman"/>
          <w:szCs w:val="20"/>
          <w:lang w:val="en-US"/>
        </w:rPr>
        <w:t>, p. 291; BECK, C. “</w:t>
      </w:r>
      <w:r w:rsidRPr="003716AA">
        <w:rPr>
          <w:rFonts w:cs="Times New Roman"/>
          <w:szCs w:val="20"/>
          <w:u w:val="single"/>
          <w:lang w:val="en-US"/>
        </w:rPr>
        <w:t>Predictors of Postpartum depression: an update</w:t>
      </w:r>
      <w:r w:rsidRPr="003716AA">
        <w:rPr>
          <w:rFonts w:cs="Times New Roman"/>
          <w:szCs w:val="20"/>
          <w:lang w:val="en-US"/>
        </w:rPr>
        <w:t>”. Nurs</w:t>
      </w:r>
      <w:r w:rsidRPr="003716AA">
        <w:rPr>
          <w:rFonts w:cs="Times New Roman"/>
          <w:i/>
          <w:szCs w:val="20"/>
          <w:lang w:val="en-US"/>
        </w:rPr>
        <w:t>Res</w:t>
      </w:r>
      <w:r w:rsidRPr="003716AA">
        <w:rPr>
          <w:rFonts w:cs="Times New Roman"/>
          <w:szCs w:val="20"/>
          <w:lang w:val="en-US"/>
        </w:rPr>
        <w:t xml:space="preserve">, 2001, No. 50, p.p. 275-285; BOYCE, P. et. al. </w:t>
      </w:r>
      <w:r w:rsidRPr="003716AA">
        <w:rPr>
          <w:rFonts w:cs="Times New Roman"/>
          <w:szCs w:val="20"/>
          <w:u w:val="single"/>
          <w:lang w:val="en-US"/>
        </w:rPr>
        <w:t>Obstetric risk factors for postnatal depression in urban and rural community samples</w:t>
      </w:r>
      <w:r w:rsidRPr="003716AA">
        <w:rPr>
          <w:rFonts w:cs="Times New Roman"/>
          <w:szCs w:val="20"/>
          <w:lang w:val="en-US"/>
        </w:rPr>
        <w:t xml:space="preserve">. </w:t>
      </w:r>
      <w:r w:rsidRPr="003716AA">
        <w:rPr>
          <w:rFonts w:cs="Times New Roman"/>
          <w:i/>
          <w:szCs w:val="20"/>
          <w:lang w:val="en-US"/>
        </w:rPr>
        <w:t>AustNZI Psychiatry</w:t>
      </w:r>
      <w:r w:rsidRPr="003716AA">
        <w:rPr>
          <w:rFonts w:cs="Times New Roman"/>
          <w:szCs w:val="20"/>
          <w:lang w:val="en-US"/>
        </w:rPr>
        <w:t>, n. 35, 2001</w:t>
      </w:r>
      <w:r w:rsidRPr="003716AA">
        <w:rPr>
          <w:rFonts w:cs="Times New Roman"/>
          <w:szCs w:val="20"/>
          <w:lang w:val="en-US"/>
        </w:rPr>
        <w:fldChar w:fldCharType="begin"/>
      </w:r>
      <w:r w:rsidRPr="003716AA">
        <w:rPr>
          <w:rFonts w:cs="Times New Roman"/>
          <w:szCs w:val="20"/>
          <w:lang w:val="en-US"/>
        </w:rPr>
        <w:instrText xml:space="preserve"> TA \l "BOYCE, P. et. al. </w:instrText>
      </w:r>
      <w:r w:rsidRPr="003716AA">
        <w:rPr>
          <w:rFonts w:cs="Times New Roman"/>
          <w:szCs w:val="20"/>
          <w:u w:val="single"/>
          <w:lang w:val="en-US"/>
        </w:rPr>
        <w:instrText>Obstetric risk factors for postnatal depression in urban and rural community samples</w:instrText>
      </w:r>
      <w:r w:rsidRPr="003716AA">
        <w:rPr>
          <w:rFonts w:cs="Times New Roman"/>
          <w:szCs w:val="20"/>
          <w:lang w:val="en-US"/>
        </w:rPr>
        <w:instrText xml:space="preserve">. </w:instrText>
      </w:r>
      <w:r w:rsidRPr="003716AA">
        <w:rPr>
          <w:rFonts w:cs="Times New Roman"/>
          <w:i/>
          <w:szCs w:val="20"/>
          <w:lang w:val="en-US"/>
        </w:rPr>
        <w:instrText>AustNZI Psychiatry</w:instrText>
      </w:r>
      <w:r w:rsidRPr="003716AA">
        <w:rPr>
          <w:rFonts w:cs="Times New Roman"/>
          <w:szCs w:val="20"/>
          <w:lang w:val="en-US"/>
        </w:rPr>
        <w:instrText xml:space="preserve">, n. 35, 2001" \s "BOYCE, P. et. al. Obstetric risk factors for postnatal depression in urban and rural community samples. AustNZI Psychiatry, n. 35, 2001" \c 6 </w:instrText>
      </w:r>
      <w:r w:rsidRPr="003716AA">
        <w:rPr>
          <w:rFonts w:cs="Times New Roman"/>
          <w:szCs w:val="20"/>
          <w:lang w:val="en-US"/>
        </w:rPr>
        <w:fldChar w:fldCharType="end"/>
      </w:r>
      <w:r w:rsidRPr="003716AA">
        <w:rPr>
          <w:rFonts w:cs="Times New Roman"/>
          <w:szCs w:val="20"/>
          <w:lang w:val="en-US"/>
        </w:rPr>
        <w:t>, pp. 69-74</w:t>
      </w:r>
      <w:r w:rsidR="003E3372">
        <w:rPr>
          <w:rFonts w:cs="Times New Roman"/>
          <w:szCs w:val="20"/>
          <w:lang w:val="en-US"/>
        </w:rPr>
        <w:t>.</w:t>
      </w:r>
    </w:p>
  </w:footnote>
  <w:footnote w:id="61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Style w:val="FootnoteReference"/>
          <w:rFonts w:cs="Times New Roman"/>
          <w:szCs w:val="20"/>
          <w:lang w:val="en-US"/>
        </w:rPr>
        <w:t xml:space="preserve"> </w:t>
      </w:r>
      <w:r w:rsidRPr="003716AA">
        <w:rPr>
          <w:rFonts w:cs="Times New Roman"/>
          <w:szCs w:val="20"/>
          <w:lang w:val="en-US"/>
        </w:rPr>
        <w:t xml:space="preserve">O’HARA, M. </w:t>
      </w:r>
      <w:r w:rsidRPr="003716AA">
        <w:rPr>
          <w:rFonts w:cs="Times New Roman"/>
          <w:szCs w:val="20"/>
          <w:u w:val="single"/>
          <w:lang w:val="en-US"/>
        </w:rPr>
        <w:t>Rates and risk of postpartum depression – a meta analysys</w:t>
      </w:r>
      <w:r w:rsidRPr="003716AA">
        <w:rPr>
          <w:rFonts w:cs="Times New Roman"/>
          <w:szCs w:val="20"/>
          <w:lang w:val="en-US"/>
        </w:rPr>
        <w:t xml:space="preserve">. </w:t>
      </w:r>
      <w:r w:rsidRPr="003716AA">
        <w:rPr>
          <w:rFonts w:cs="Times New Roman"/>
          <w:i/>
          <w:szCs w:val="20"/>
          <w:lang w:val="en-US"/>
        </w:rPr>
        <w:t>IntRev Psychiatry</w:t>
      </w:r>
      <w:r w:rsidRPr="003716AA">
        <w:rPr>
          <w:rFonts w:cs="Times New Roman"/>
          <w:szCs w:val="20"/>
          <w:lang w:val="en-US"/>
        </w:rPr>
        <w:t>, n. 8, 1996</w:t>
      </w:r>
      <w:r w:rsidRPr="003716AA">
        <w:rPr>
          <w:rFonts w:cs="Times New Roman"/>
          <w:szCs w:val="20"/>
          <w:lang w:val="en-US"/>
        </w:rPr>
        <w:fldChar w:fldCharType="begin"/>
      </w:r>
      <w:r w:rsidRPr="003716AA">
        <w:rPr>
          <w:rFonts w:cs="Times New Roman"/>
          <w:szCs w:val="20"/>
          <w:lang w:val="en-US"/>
        </w:rPr>
        <w:instrText xml:space="preserve"> TA \s "O’HARA, M. Rates and risk of postpartum depression – a meta analysys. IntRev Psychiatry, n. 8, 1996" </w:instrText>
      </w:r>
      <w:r w:rsidRPr="003716AA">
        <w:rPr>
          <w:rFonts w:cs="Times New Roman"/>
          <w:szCs w:val="20"/>
          <w:lang w:val="en-US"/>
        </w:rPr>
        <w:fldChar w:fldCharType="end"/>
      </w:r>
      <w:r w:rsidRPr="003716AA">
        <w:rPr>
          <w:rFonts w:cs="Times New Roman"/>
          <w:szCs w:val="20"/>
          <w:lang w:val="en-US"/>
        </w:rPr>
        <w:t xml:space="preserve">, pp. 37-54; ANGELSIOO, L. et. al. </w:t>
      </w:r>
      <w:r w:rsidRPr="003716AA">
        <w:rPr>
          <w:rFonts w:cs="Times New Roman"/>
          <w:szCs w:val="20"/>
          <w:u w:val="single"/>
          <w:lang w:val="en-US"/>
        </w:rPr>
        <w:t>Obstetric, somatic  and demographic risk factors for postpartum depressive syntoms</w:t>
      </w:r>
      <w:r w:rsidRPr="003716AA">
        <w:rPr>
          <w:rFonts w:cs="Times New Roman"/>
          <w:szCs w:val="20"/>
          <w:lang w:val="en-US"/>
        </w:rPr>
        <w:t xml:space="preserve">. </w:t>
      </w:r>
      <w:r w:rsidRPr="00A85A4B">
        <w:rPr>
          <w:rFonts w:cs="Times New Roman"/>
          <w:i/>
          <w:szCs w:val="20"/>
        </w:rPr>
        <w:t>ObstetGynecol</w:t>
      </w:r>
      <w:r w:rsidRPr="00A85A4B">
        <w:rPr>
          <w:rFonts w:cs="Times New Roman"/>
          <w:szCs w:val="20"/>
        </w:rPr>
        <w:t>, n. 99, 2002</w:t>
      </w:r>
      <w:r w:rsidRPr="003716AA">
        <w:rPr>
          <w:rFonts w:cs="Times New Roman"/>
          <w:szCs w:val="20"/>
          <w:lang w:val="en-US"/>
        </w:rPr>
        <w:fldChar w:fldCharType="begin"/>
      </w:r>
      <w:r w:rsidRPr="00A85A4B">
        <w:rPr>
          <w:rFonts w:cs="Times New Roman"/>
          <w:szCs w:val="20"/>
        </w:rPr>
        <w:instrText xml:space="preserve"> TA \s "ANGELSIOO, L. et. al. Obstetric, somatic  and demographic risk factors for postpartum depressive syntoms. ObstetGynecol, n. 99, 2002" </w:instrText>
      </w:r>
      <w:r w:rsidRPr="003716AA">
        <w:rPr>
          <w:rFonts w:cs="Times New Roman"/>
          <w:szCs w:val="20"/>
          <w:lang w:val="en-US"/>
        </w:rPr>
        <w:fldChar w:fldCharType="end"/>
      </w:r>
      <w:r w:rsidR="002C45B2" w:rsidRPr="00A85A4B">
        <w:rPr>
          <w:rFonts w:cs="Times New Roman"/>
          <w:szCs w:val="20"/>
        </w:rPr>
        <w:t>, pp. 223-228.</w:t>
      </w:r>
    </w:p>
  </w:footnote>
  <w:footnote w:id="62">
    <w:p w:rsidR="00E74DC9" w:rsidRPr="003716AA" w:rsidRDefault="00E74DC9" w:rsidP="003E3372">
      <w:pPr>
        <w:spacing w:line="240" w:lineRule="auto"/>
        <w:rPr>
          <w:rFonts w:cs="Times New Roman"/>
          <w:sz w:val="20"/>
          <w:szCs w:val="20"/>
        </w:rPr>
      </w:pPr>
      <w:r w:rsidRPr="003716AA">
        <w:rPr>
          <w:rStyle w:val="FootnoteReference"/>
          <w:rFonts w:cs="Times New Roman"/>
          <w:sz w:val="20"/>
          <w:szCs w:val="20"/>
        </w:rPr>
        <w:footnoteRef/>
      </w:r>
      <w:r w:rsidRPr="003716AA">
        <w:rPr>
          <w:rStyle w:val="FootnoteReference"/>
          <w:rFonts w:cs="Times New Roman"/>
          <w:sz w:val="20"/>
          <w:szCs w:val="20"/>
        </w:rPr>
        <w:t xml:space="preserve"> </w:t>
      </w:r>
      <w:r w:rsidRPr="003716AA">
        <w:rPr>
          <w:rFonts w:cs="Times New Roman"/>
          <w:sz w:val="20"/>
          <w:szCs w:val="20"/>
        </w:rPr>
        <w:t xml:space="preserve">CtIDH, </w:t>
      </w:r>
      <w:r w:rsidRPr="003716AA">
        <w:rPr>
          <w:rFonts w:cs="Times New Roman"/>
          <w:sz w:val="20"/>
          <w:szCs w:val="20"/>
          <w:u w:val="single"/>
        </w:rPr>
        <w:t>Caso Vera Vera e outros Vs. Equador</w:t>
      </w:r>
      <w:r w:rsidRPr="003716AA">
        <w:rPr>
          <w:rFonts w:cs="Times New Roman"/>
          <w:sz w:val="20"/>
          <w:szCs w:val="20"/>
        </w:rPr>
        <w:t>, 2001, Série C, No. 244</w:t>
      </w:r>
      <w:r w:rsidRPr="003716AA">
        <w:rPr>
          <w:rFonts w:cs="Times New Roman"/>
          <w:sz w:val="20"/>
          <w:szCs w:val="20"/>
        </w:rPr>
        <w:fldChar w:fldCharType="begin"/>
      </w:r>
      <w:r w:rsidRPr="003716AA">
        <w:rPr>
          <w:rFonts w:cs="Times New Roman"/>
          <w:sz w:val="20"/>
          <w:szCs w:val="20"/>
        </w:rPr>
        <w:instrText xml:space="preserve"> TA \s "Caso Vera Vera e outros Vs. Equador, 2001, Série C, No. 244" </w:instrText>
      </w:r>
      <w:r w:rsidRPr="003716AA">
        <w:rPr>
          <w:rFonts w:cs="Times New Roman"/>
          <w:sz w:val="20"/>
          <w:szCs w:val="20"/>
        </w:rPr>
        <w:fldChar w:fldCharType="end"/>
      </w:r>
      <w:r w:rsidR="00D133C0">
        <w:rPr>
          <w:rFonts w:cs="Times New Roman"/>
          <w:sz w:val="20"/>
          <w:szCs w:val="20"/>
        </w:rPr>
        <w:t>.</w:t>
      </w:r>
    </w:p>
  </w:footnote>
  <w:footnote w:id="63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</w:t>
      </w:r>
      <w:r w:rsidRPr="003716AA">
        <w:rPr>
          <w:rFonts w:eastAsia="Calibri" w:cs="Times New Roman"/>
        </w:rPr>
        <w:t xml:space="preserve">CtIDH, </w:t>
      </w:r>
      <w:r w:rsidRPr="003716AA">
        <w:rPr>
          <w:rFonts w:eastAsia="Calibri" w:cs="Times New Roman"/>
          <w:u w:val="single"/>
        </w:rPr>
        <w:t>Caso Artavia Murillo e outros Vs. Costa Rica</w:t>
      </w:r>
      <w:r w:rsidRPr="003716AA">
        <w:rPr>
          <w:rFonts w:eastAsia="Calibri" w:cs="Times New Roman"/>
        </w:rPr>
        <w:t>, 2012, Série C, No. 257</w:t>
      </w:r>
      <w:r w:rsidRPr="003716AA">
        <w:rPr>
          <w:rFonts w:eastAsia="Calibri" w:cs="Times New Roman"/>
        </w:rPr>
        <w:fldChar w:fldCharType="begin"/>
      </w:r>
      <w:r w:rsidRPr="003716AA">
        <w:rPr>
          <w:rFonts w:eastAsia="Calibri" w:cs="Times New Roman"/>
        </w:rPr>
        <w:instrText xml:space="preserve"> TA \s "Caso Artavia Murillo e outros Vs. Costa Rica, 2012, Série C, No. 257" </w:instrText>
      </w:r>
      <w:r w:rsidRPr="003716AA">
        <w:rPr>
          <w:rFonts w:eastAsia="Calibri" w:cs="Times New Roman"/>
        </w:rPr>
        <w:fldChar w:fldCharType="end"/>
      </w:r>
      <w:r w:rsidR="00464DA5">
        <w:rPr>
          <w:rFonts w:eastAsia="Calibri" w:cs="Times New Roman"/>
        </w:rPr>
        <w:t>.</w:t>
      </w:r>
    </w:p>
  </w:footnote>
  <w:footnote w:id="64">
    <w:p w:rsidR="00E74DC9" w:rsidRPr="003716AA" w:rsidRDefault="00E74DC9" w:rsidP="003E3372">
      <w:pPr>
        <w:pStyle w:val="FootnoteText"/>
        <w:tabs>
          <w:tab w:val="left" w:pos="5810"/>
        </w:tabs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CtEDH, </w:t>
      </w:r>
      <w:r w:rsidRPr="003716AA">
        <w:rPr>
          <w:rFonts w:cs="Times New Roman"/>
          <w:u w:val="single"/>
        </w:rPr>
        <w:t>Caso V.C. Vs. Eslováquia</w:t>
      </w:r>
      <w:r w:rsidRPr="003716AA">
        <w:rPr>
          <w:rFonts w:cs="Times New Roman"/>
        </w:rPr>
        <w:t>, 2011, Série A, No. 18968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\l "</w:instrText>
      </w:r>
      <w:r w:rsidRPr="003716AA">
        <w:rPr>
          <w:rFonts w:cs="Times New Roman"/>
          <w:u w:val="single"/>
        </w:rPr>
        <w:instrText>Caso V.C. Vs. Eslováquia</w:instrText>
      </w:r>
      <w:r w:rsidRPr="003716AA">
        <w:rPr>
          <w:rFonts w:cs="Times New Roman"/>
        </w:rPr>
        <w:instrText xml:space="preserve">, 2011, Série A, No. 18968" \s "Caso V.C. Vs. Eslováquia, 2011, Série A, No. 18968" \c 3 </w:instrText>
      </w:r>
      <w:r w:rsidRPr="003716AA">
        <w:rPr>
          <w:rFonts w:cs="Times New Roman"/>
        </w:rPr>
        <w:fldChar w:fldCharType="end"/>
      </w:r>
      <w:r w:rsidR="00464DA5">
        <w:rPr>
          <w:rFonts w:cs="Times New Roman"/>
        </w:rPr>
        <w:t>.</w:t>
      </w:r>
    </w:p>
  </w:footnote>
  <w:footnote w:id="65">
    <w:p w:rsidR="00E74DC9" w:rsidRPr="003716AA" w:rsidRDefault="00E74DC9" w:rsidP="003E3372">
      <w:pPr>
        <w:pStyle w:val="FootnoteText"/>
        <w:rPr>
          <w:rFonts w:cs="Times New Roman"/>
          <w:lang w:val="es-ES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  <w:lang w:val="es-ES"/>
        </w:rPr>
        <w:t xml:space="preserve"> </w:t>
      </w:r>
      <w:r w:rsidRPr="003716AA">
        <w:rPr>
          <w:rFonts w:cs="Times New Roman"/>
        </w:rPr>
        <w:t xml:space="preserve">CtIDH, </w:t>
      </w:r>
      <w:r w:rsidRPr="003716AA">
        <w:rPr>
          <w:rFonts w:cs="Times New Roman"/>
          <w:u w:val="single"/>
        </w:rPr>
        <w:t xml:space="preserve">Caso </w:t>
      </w:r>
      <w:hyperlink r:id="rId3" w:history="1">
        <w:r w:rsidRPr="003716AA">
          <w:rPr>
            <w:rFonts w:cs="Times New Roman"/>
            <w:u w:val="single"/>
          </w:rPr>
          <w:t xml:space="preserve">Bámaca Velásquez Vs. </w:t>
        </w:r>
        <w:r w:rsidRPr="003716AA">
          <w:rPr>
            <w:rFonts w:cs="Times New Roman"/>
            <w:u w:val="single"/>
            <w:lang w:val="es-ES"/>
          </w:rPr>
          <w:t>Guatemala</w:t>
        </w:r>
      </w:hyperlink>
      <w:r w:rsidRPr="003716AA">
        <w:rPr>
          <w:rFonts w:cs="Times New Roman"/>
          <w:lang w:val="es-ES"/>
        </w:rPr>
        <w:t>, 2002, Série C, No. 21</w:t>
      </w:r>
      <w:r>
        <w:rPr>
          <w:rFonts w:cs="Times New Roman"/>
          <w:lang w:val="es-ES"/>
        </w:rPr>
        <w:fldChar w:fldCharType="begin"/>
      </w:r>
      <w:r>
        <w:instrText xml:space="preserve"> TA \l "</w:instrText>
      </w:r>
      <w:r w:rsidRPr="00492E51">
        <w:rPr>
          <w:rFonts w:cs="Times New Roman"/>
          <w:u w:val="single"/>
        </w:rPr>
        <w:instrText xml:space="preserve">Caso Bámaca Velásquez Vs. </w:instrText>
      </w:r>
      <w:r w:rsidRPr="00492E51">
        <w:rPr>
          <w:rFonts w:cs="Times New Roman"/>
          <w:u w:val="single"/>
          <w:lang w:val="es-ES"/>
        </w:rPr>
        <w:instrText>Guatemala</w:instrText>
      </w:r>
      <w:r w:rsidRPr="00492E51">
        <w:rPr>
          <w:rFonts w:cs="Times New Roman"/>
          <w:lang w:val="es-ES"/>
        </w:rPr>
        <w:instrText>, 2002, Série C, No. 21</w:instrText>
      </w:r>
      <w:r>
        <w:instrText xml:space="preserve">" \s "Caso Bámaca Velásquez Vs. Guatemala, 2002, Série C, No. 21" \c 2 </w:instrText>
      </w:r>
      <w:r>
        <w:rPr>
          <w:rFonts w:cs="Times New Roman"/>
          <w:lang w:val="es-ES"/>
        </w:rPr>
        <w:fldChar w:fldCharType="end"/>
      </w:r>
      <w:r w:rsidR="00F229CF">
        <w:rPr>
          <w:rFonts w:cs="Times New Roman"/>
          <w:lang w:val="es-ES"/>
        </w:rPr>
        <w:t>.</w:t>
      </w:r>
    </w:p>
  </w:footnote>
  <w:footnote w:id="66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ONU, </w:t>
      </w:r>
      <w:r w:rsidRPr="003716AA">
        <w:rPr>
          <w:rFonts w:cs="Times New Roman"/>
          <w:szCs w:val="20"/>
          <w:u w:val="single"/>
        </w:rPr>
        <w:t>Convenção contra a Tortura e outros Tratamentos ou Penas Cruéis, Desumanos ou Degradantes</w:t>
      </w:r>
      <w:r w:rsidRPr="003716AA">
        <w:rPr>
          <w:rFonts w:cs="Times New Roman"/>
          <w:szCs w:val="20"/>
        </w:rPr>
        <w:t xml:space="preserve"> (1984)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Convenção contra a Tortura e outros Tratamentos ou Penas Cruéis, Desumanos ou Degradantes</w:instrText>
      </w:r>
      <w:r w:rsidRPr="003716AA">
        <w:rPr>
          <w:rFonts w:cs="Times New Roman"/>
          <w:szCs w:val="20"/>
        </w:rPr>
        <w:instrText xml:space="preserve"> (1984)" \s "Convenção contra a Tortura e outros Tratamentos ou Penas Cruéis, Desumanos ou Degradantes (1984)" \c 1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.</w:t>
      </w:r>
    </w:p>
  </w:footnote>
  <w:footnote w:id="67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CtIDH, </w:t>
      </w:r>
      <w:r w:rsidRPr="003716AA">
        <w:rPr>
          <w:rFonts w:cs="Times New Roman"/>
          <w:u w:val="single"/>
        </w:rPr>
        <w:t>Caso Ximenes Lopes Vs. Brasil</w:t>
      </w:r>
      <w:r w:rsidRPr="003716AA">
        <w:rPr>
          <w:rFonts w:cs="Times New Roman"/>
        </w:rPr>
        <w:t>, 2006, Série C, No. 149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\s "Caso Ximenes Lopes Vs. Brasil, 2006, Série C, No. 149"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§134.</w:t>
      </w:r>
    </w:p>
  </w:footnote>
  <w:footnote w:id="68">
    <w:p w:rsidR="00E74DC9" w:rsidRPr="004F702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CtIDH, </w:t>
      </w:r>
      <w:r w:rsidRPr="004F702A">
        <w:rPr>
          <w:rFonts w:cs="Times New Roman"/>
          <w:u w:val="single"/>
        </w:rPr>
        <w:t>Caso Ximenes Lopes Vs. Brasil</w:t>
      </w:r>
      <w:r w:rsidRPr="004F702A">
        <w:rPr>
          <w:rFonts w:cs="Times New Roman"/>
        </w:rPr>
        <w:t>, 2006, Série C, No. 149</w:t>
      </w:r>
      <w:r w:rsidRPr="004F702A">
        <w:rPr>
          <w:rFonts w:cs="Times New Roman"/>
        </w:rPr>
        <w:fldChar w:fldCharType="begin"/>
      </w:r>
      <w:r w:rsidRPr="004F702A">
        <w:rPr>
          <w:rFonts w:cs="Times New Roman"/>
        </w:rPr>
        <w:instrText xml:space="preserve"> TA \s "Caso Ximenes Lopes Vs. Brasil, 2006, Série C, No. 149" </w:instrText>
      </w:r>
      <w:r w:rsidRPr="004F702A">
        <w:rPr>
          <w:rFonts w:cs="Times New Roman"/>
        </w:rPr>
        <w:fldChar w:fldCharType="end"/>
      </w:r>
      <w:r w:rsidRPr="004F702A">
        <w:rPr>
          <w:rFonts w:cs="Times New Roman"/>
        </w:rPr>
        <w:t>, §134.</w:t>
      </w:r>
    </w:p>
  </w:footnote>
  <w:footnote w:id="69">
    <w:p w:rsidR="00E74DC9" w:rsidRPr="004F702A" w:rsidRDefault="00E74DC9" w:rsidP="003E3372">
      <w:pPr>
        <w:pStyle w:val="FootnoteText"/>
        <w:rPr>
          <w:rFonts w:cs="Times New Roman"/>
        </w:rPr>
      </w:pPr>
      <w:r w:rsidRPr="004F702A">
        <w:rPr>
          <w:rStyle w:val="FootnoteReference"/>
          <w:rFonts w:cs="Times New Roman"/>
        </w:rPr>
        <w:footnoteRef/>
      </w:r>
      <w:r w:rsidRPr="004F702A">
        <w:rPr>
          <w:rFonts w:cs="Times New Roman"/>
        </w:rPr>
        <w:t xml:space="preserve"> </w:t>
      </w:r>
      <w:r w:rsidR="004F702A" w:rsidRPr="004F702A">
        <w:rPr>
          <w:rFonts w:eastAsia="Times New Roman" w:cs="Times New Roman"/>
          <w:color w:val="000000"/>
        </w:rPr>
        <w:t xml:space="preserve">CtEDH, </w:t>
      </w:r>
      <w:r w:rsidR="004F702A" w:rsidRPr="004F702A">
        <w:rPr>
          <w:rFonts w:eastAsia="Times New Roman" w:cs="Times New Roman"/>
          <w:color w:val="000000"/>
          <w:u w:val="single"/>
        </w:rPr>
        <w:t>Caso Schneiter Vs. Suíça</w:t>
      </w:r>
      <w:r w:rsidR="004F702A" w:rsidRPr="004F702A">
        <w:rPr>
          <w:rFonts w:eastAsia="Times New Roman" w:cs="Times New Roman"/>
          <w:color w:val="000000"/>
        </w:rPr>
        <w:t>,</w:t>
      </w:r>
      <w:r w:rsidR="004F702A" w:rsidRPr="00177C4F">
        <w:rPr>
          <w:rFonts w:eastAsia="Times New Roman" w:cs="Times New Roman"/>
          <w:color w:val="000000"/>
        </w:rPr>
        <w:t xml:space="preserve"> </w:t>
      </w:r>
      <w:r w:rsidR="004F702A" w:rsidRPr="004F702A">
        <w:rPr>
          <w:rFonts w:eastAsia="Times New Roman" w:cs="Times New Roman"/>
          <w:color w:val="000000"/>
        </w:rPr>
        <w:t xml:space="preserve">2005, No. </w:t>
      </w:r>
      <w:r w:rsidR="004F702A">
        <w:rPr>
          <w:rFonts w:eastAsia="Times New Roman" w:cs="Times New Roman"/>
          <w:color w:val="000000"/>
        </w:rPr>
        <w:t>63062, §</w:t>
      </w:r>
      <w:r w:rsidRPr="004F702A">
        <w:rPr>
          <w:rFonts w:eastAsia="Times New Roman" w:cs="Times New Roman"/>
          <w:color w:val="000000"/>
        </w:rPr>
        <w:t>9</w:t>
      </w:r>
      <w:r w:rsidR="004F702A">
        <w:rPr>
          <w:rFonts w:eastAsia="Times New Roman" w:cs="Times New Roman"/>
          <w:color w:val="000000"/>
        </w:rPr>
        <w:t>.</w:t>
      </w:r>
    </w:p>
  </w:footnote>
  <w:footnote w:id="70">
    <w:p w:rsidR="00E74DC9" w:rsidRPr="004F702A" w:rsidRDefault="00E74DC9" w:rsidP="003E3372">
      <w:pPr>
        <w:pStyle w:val="FootnoteText"/>
        <w:rPr>
          <w:rFonts w:cs="Times New Roman"/>
        </w:rPr>
      </w:pPr>
      <w:r w:rsidRPr="008D0381">
        <w:rPr>
          <w:rStyle w:val="FootnoteReference"/>
          <w:rFonts w:cs="Times New Roman"/>
        </w:rPr>
        <w:footnoteRef/>
      </w:r>
      <w:r w:rsidRPr="008D0381">
        <w:rPr>
          <w:rFonts w:cs="Times New Roman"/>
        </w:rPr>
        <w:t xml:space="preserve"> </w:t>
      </w:r>
      <w:r w:rsidR="008D0381" w:rsidRPr="008D0381">
        <w:rPr>
          <w:rFonts w:cs="Times New Roman"/>
        </w:rPr>
        <w:t xml:space="preserve">CtEDH, </w:t>
      </w:r>
      <w:r w:rsidR="008D0381" w:rsidRPr="008D0381">
        <w:rPr>
          <w:rFonts w:cs="Times New Roman"/>
          <w:u w:val="single"/>
        </w:rPr>
        <w:t xml:space="preserve">Caso M.H. Vs. </w:t>
      </w:r>
      <w:r w:rsidR="008D0381">
        <w:rPr>
          <w:rFonts w:cs="Times New Roman"/>
          <w:u w:val="single"/>
        </w:rPr>
        <w:t>Reino Unido</w:t>
      </w:r>
      <w:r w:rsidR="008D0381" w:rsidRPr="008D0381">
        <w:rPr>
          <w:rFonts w:cs="Times New Roman"/>
        </w:rPr>
        <w:t>,</w:t>
      </w:r>
      <w:r w:rsidR="008D0381">
        <w:rPr>
          <w:rFonts w:cs="Times New Roman"/>
        </w:rPr>
        <w:t xml:space="preserve"> 2013, No. 11577, §</w:t>
      </w:r>
      <w:r w:rsidRPr="004F702A">
        <w:rPr>
          <w:rFonts w:eastAsia="Times New Roman" w:cs="Times New Roman"/>
          <w:color w:val="000000"/>
          <w:shd w:val="clear" w:color="auto" w:fill="FFFFFF"/>
        </w:rPr>
        <w:t>77</w:t>
      </w:r>
      <w:r w:rsidR="008D0381" w:rsidRPr="004F702A">
        <w:rPr>
          <w:rFonts w:eastAsia="Times New Roman" w:cs="Times New Roman"/>
          <w:color w:val="000000"/>
          <w:shd w:val="clear" w:color="auto" w:fill="FFFFFF"/>
        </w:rPr>
        <w:t>.</w:t>
      </w:r>
    </w:p>
  </w:footnote>
  <w:footnote w:id="71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CtEDH, </w:t>
      </w:r>
      <w:r w:rsidRPr="003716AA">
        <w:rPr>
          <w:rFonts w:cs="Times New Roman"/>
          <w:u w:val="single"/>
        </w:rPr>
        <w:t>Caso Winterewerp Vs. Holanda</w:t>
      </w:r>
      <w:r w:rsidRPr="003716AA">
        <w:rPr>
          <w:rFonts w:cs="Times New Roman"/>
        </w:rPr>
        <w:t>, 1979, Série A, No. 33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\s "Caso Winterewerp Vs. Holanda, 1979, Série A, No. 33"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§42.</w:t>
      </w:r>
    </w:p>
  </w:footnote>
  <w:footnote w:id="72">
    <w:p w:rsidR="00E74DC9" w:rsidRPr="003716AA" w:rsidRDefault="00E74DC9" w:rsidP="003E3372">
      <w:pPr>
        <w:pStyle w:val="FootnoteText"/>
        <w:rPr>
          <w:rFonts w:cs="Times New Roman"/>
          <w:lang w:val="es-ES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  <w:lang w:val="es-ES"/>
        </w:rPr>
        <w:t xml:space="preserve"> CtIDH, </w:t>
      </w:r>
      <w:r w:rsidRPr="003716AA">
        <w:rPr>
          <w:rFonts w:eastAsia="Calibri" w:cs="Times New Roman"/>
          <w:u w:val="single"/>
          <w:lang w:val="es-ES"/>
        </w:rPr>
        <w:t>Caso Atala Riffo e filhas Vs. Chile</w:t>
      </w:r>
      <w:r w:rsidRPr="003716AA">
        <w:rPr>
          <w:rFonts w:eastAsia="Calibri" w:cs="Times New Roman"/>
          <w:lang w:val="es-ES"/>
        </w:rPr>
        <w:t>, 2012, Série C, No. 239</w:t>
      </w:r>
      <w:r w:rsidRPr="003716AA">
        <w:rPr>
          <w:rFonts w:eastAsia="Calibri" w:cs="Times New Roman"/>
          <w:lang w:val="es-ES"/>
        </w:rPr>
        <w:fldChar w:fldCharType="begin"/>
      </w:r>
      <w:r w:rsidRPr="003716AA">
        <w:rPr>
          <w:rFonts w:eastAsia="Calibri" w:cs="Times New Roman"/>
          <w:lang w:val="es-ES"/>
        </w:rPr>
        <w:instrText xml:space="preserve"> TA \s "Caso Atala Riffo e filhas Vs. Chile, 2012, Série C, No. 239" </w:instrText>
      </w:r>
      <w:r w:rsidRPr="003716AA">
        <w:rPr>
          <w:rFonts w:eastAsia="Calibri" w:cs="Times New Roman"/>
          <w:lang w:val="es-ES"/>
        </w:rPr>
        <w:fldChar w:fldCharType="end"/>
      </w:r>
      <w:r w:rsidR="00F229CF">
        <w:rPr>
          <w:rFonts w:eastAsia="Calibri" w:cs="Times New Roman"/>
          <w:lang w:val="es-ES"/>
        </w:rPr>
        <w:t>.</w:t>
      </w:r>
    </w:p>
  </w:footnote>
  <w:footnote w:id="73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  <w:lang w:val="es-ES"/>
        </w:rPr>
        <w:t xml:space="preserve"> CtEDH, </w:t>
      </w:r>
      <w:r w:rsidRPr="003716AA">
        <w:rPr>
          <w:rFonts w:cs="Times New Roman"/>
          <w:u w:val="single"/>
          <w:lang w:val="es-ES"/>
        </w:rPr>
        <w:t xml:space="preserve">Caso Kiyutin Vs. </w:t>
      </w:r>
      <w:r w:rsidRPr="003716AA">
        <w:rPr>
          <w:rFonts w:cs="Times New Roman"/>
          <w:u w:val="single"/>
        </w:rPr>
        <w:t>Rússia</w:t>
      </w:r>
      <w:r w:rsidRPr="003716AA">
        <w:rPr>
          <w:rFonts w:cs="Times New Roman"/>
        </w:rPr>
        <w:t>, 2011, Série A, No. 2700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\l "</w:instrText>
      </w:r>
      <w:r w:rsidRPr="003716AA">
        <w:rPr>
          <w:rFonts w:cs="Times New Roman"/>
          <w:u w:val="single"/>
          <w:lang w:val="es-ES"/>
        </w:rPr>
        <w:instrText xml:space="preserve">Caso Kiyutin Vs. </w:instrText>
      </w:r>
      <w:r w:rsidRPr="003716AA">
        <w:rPr>
          <w:rFonts w:cs="Times New Roman"/>
          <w:u w:val="single"/>
        </w:rPr>
        <w:instrText>Rússia</w:instrText>
      </w:r>
      <w:r w:rsidRPr="003716AA">
        <w:rPr>
          <w:rFonts w:cs="Times New Roman"/>
        </w:rPr>
        <w:instrText xml:space="preserve">, 2011, Série A, No. 2700" \s "Caso Kiyutin Vs. Rússia, 2011, Série A, No. 2700" \c 3 </w:instrText>
      </w:r>
      <w:r w:rsidRPr="003716AA">
        <w:rPr>
          <w:rFonts w:cs="Times New Roman"/>
        </w:rPr>
        <w:fldChar w:fldCharType="end"/>
      </w:r>
      <w:r w:rsidR="00F229CF">
        <w:rPr>
          <w:rFonts w:cs="Times New Roman"/>
        </w:rPr>
        <w:t>.</w:t>
      </w:r>
    </w:p>
  </w:footnote>
  <w:footnote w:id="74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CtEDH, </w:t>
      </w:r>
      <w:r w:rsidRPr="003716AA">
        <w:rPr>
          <w:rFonts w:cs="Times New Roman"/>
          <w:u w:val="single"/>
        </w:rPr>
        <w:t>Caso D.H e outros Vs. República Tcheca</w:t>
      </w:r>
      <w:r w:rsidRPr="003716AA">
        <w:rPr>
          <w:rFonts w:cs="Times New Roman"/>
        </w:rPr>
        <w:t>, 2007, Série A, No. 57325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\l "</w:instrText>
      </w:r>
      <w:r w:rsidRPr="003716AA">
        <w:rPr>
          <w:rFonts w:cs="Times New Roman"/>
          <w:u w:val="single"/>
        </w:rPr>
        <w:instrText>Caso D.H e outros Vs. República Tcheca</w:instrText>
      </w:r>
      <w:r w:rsidRPr="003716AA">
        <w:rPr>
          <w:rFonts w:cs="Times New Roman"/>
        </w:rPr>
        <w:instrText xml:space="preserve">, 2007, Série A, No. 57325" \s "Caso D.H e outros Vs. República Tcheca, 2007, Série A, No. 57325" \c 3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§175.</w:t>
      </w:r>
    </w:p>
  </w:footnote>
  <w:footnote w:id="75">
    <w:p w:rsidR="00E74DC9" w:rsidRPr="003716AA" w:rsidRDefault="00E74DC9" w:rsidP="003E3372">
      <w:pPr>
        <w:spacing w:line="240" w:lineRule="auto"/>
        <w:rPr>
          <w:rFonts w:cs="Times New Roman"/>
          <w:sz w:val="20"/>
          <w:szCs w:val="20"/>
        </w:rPr>
      </w:pPr>
      <w:r w:rsidRPr="003716AA">
        <w:rPr>
          <w:rStyle w:val="FootnoteReference"/>
          <w:rFonts w:cs="Times New Roman"/>
          <w:sz w:val="20"/>
          <w:szCs w:val="20"/>
        </w:rPr>
        <w:footnoteRef/>
      </w:r>
      <w:r w:rsidRPr="003716AA">
        <w:rPr>
          <w:rFonts w:cs="Times New Roman"/>
          <w:sz w:val="20"/>
          <w:szCs w:val="20"/>
          <w:lang w:val="es-ES"/>
        </w:rPr>
        <w:t xml:space="preserve"> </w:t>
      </w:r>
      <w:r w:rsidRPr="003716AA">
        <w:rPr>
          <w:rFonts w:cs="Times New Roman"/>
          <w:sz w:val="20"/>
          <w:szCs w:val="20"/>
        </w:rPr>
        <w:t xml:space="preserve">CtIDH, </w:t>
      </w:r>
      <w:r w:rsidRPr="003716AA">
        <w:rPr>
          <w:rFonts w:cs="Times New Roman"/>
          <w:sz w:val="20"/>
          <w:szCs w:val="20"/>
          <w:u w:val="single"/>
        </w:rPr>
        <w:t>Opinião Consultiva Proposta de Modificação a Constituição Política da Costa Rica Relacionada com a Naturalização</w:t>
      </w:r>
      <w:r w:rsidRPr="003716AA">
        <w:rPr>
          <w:rFonts w:cs="Times New Roman"/>
          <w:sz w:val="20"/>
          <w:szCs w:val="20"/>
        </w:rPr>
        <w:t>, 1984, Série A, No. 4</w:t>
      </w:r>
      <w:r>
        <w:rPr>
          <w:rFonts w:cs="Times New Roman"/>
          <w:sz w:val="20"/>
          <w:szCs w:val="20"/>
        </w:rPr>
        <w:fldChar w:fldCharType="begin"/>
      </w:r>
      <w:r>
        <w:instrText xml:space="preserve"> TA \l "</w:instrText>
      </w:r>
      <w:r w:rsidRPr="00807DCA">
        <w:rPr>
          <w:rFonts w:cs="Times New Roman"/>
          <w:sz w:val="20"/>
          <w:szCs w:val="20"/>
          <w:u w:val="single"/>
        </w:rPr>
        <w:instrText>Opinião Consultiva Proposta de Modificação a Constituição Política da Costa Rica Relacionada com a Naturalização</w:instrText>
      </w:r>
      <w:r w:rsidRPr="00807DCA">
        <w:rPr>
          <w:rFonts w:cs="Times New Roman"/>
          <w:sz w:val="20"/>
          <w:szCs w:val="20"/>
        </w:rPr>
        <w:instrText>, 1984, Série A, No. 4</w:instrText>
      </w:r>
      <w:r>
        <w:instrText xml:space="preserve">" \s "Opinião Consultiva Proposta de Modificação a Constituição Política da Costa Rica Relacionada com a Naturalização, 1984, Série A, No. 4" \c 2 </w:instrText>
      </w:r>
      <w:r>
        <w:rPr>
          <w:rFonts w:cs="Times New Roman"/>
          <w:sz w:val="20"/>
          <w:szCs w:val="20"/>
        </w:rPr>
        <w:fldChar w:fldCharType="end"/>
      </w:r>
      <w:r w:rsidRPr="003716AA">
        <w:rPr>
          <w:rFonts w:cs="Times New Roman"/>
          <w:sz w:val="20"/>
          <w:szCs w:val="20"/>
        </w:rPr>
        <w:t>, §4</w:t>
      </w:r>
      <w:r>
        <w:rPr>
          <w:rFonts w:cs="Times New Roman"/>
          <w:sz w:val="20"/>
          <w:szCs w:val="20"/>
        </w:rPr>
        <w:t>.</w:t>
      </w:r>
    </w:p>
  </w:footnote>
  <w:footnote w:id="76">
    <w:p w:rsidR="00E74DC9" w:rsidRPr="003716AA" w:rsidRDefault="00E74DC9" w:rsidP="003E3372">
      <w:pPr>
        <w:pStyle w:val="FootnoteText"/>
        <w:rPr>
          <w:rFonts w:cs="Times New Roman"/>
          <w:lang w:val="es-ES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</w:t>
      </w:r>
      <w:r w:rsidRPr="003716AA">
        <w:rPr>
          <w:rFonts w:eastAsiaTheme="minorHAnsi" w:cs="Times New Roman"/>
        </w:rPr>
        <w:t xml:space="preserve">CtEDH, </w:t>
      </w:r>
      <w:r w:rsidRPr="003716AA">
        <w:rPr>
          <w:rFonts w:eastAsiaTheme="minorHAnsi" w:cs="Times New Roman"/>
          <w:u w:val="single"/>
        </w:rPr>
        <w:t>Caso Glor Vs. Suíça</w:t>
      </w:r>
      <w:r w:rsidRPr="003716AA">
        <w:rPr>
          <w:rFonts w:eastAsiaTheme="minorHAnsi" w:cs="Times New Roman"/>
        </w:rPr>
        <w:t>, 2009, Série A, No. 13444</w:t>
      </w:r>
      <w:r w:rsidRPr="003716AA">
        <w:rPr>
          <w:rFonts w:eastAsiaTheme="minorHAnsi" w:cs="Times New Roman"/>
        </w:rPr>
        <w:fldChar w:fldCharType="begin"/>
      </w:r>
      <w:r w:rsidRPr="003716AA">
        <w:rPr>
          <w:rFonts w:eastAsiaTheme="minorHAnsi" w:cs="Times New Roman"/>
        </w:rPr>
        <w:instrText xml:space="preserve"> TA \s "Caso Glor Vs. Suíça, 2009, Série A, No. 13444" </w:instrText>
      </w:r>
      <w:r w:rsidRPr="003716AA">
        <w:rPr>
          <w:rFonts w:eastAsiaTheme="minorHAnsi" w:cs="Times New Roman"/>
        </w:rPr>
        <w:fldChar w:fldCharType="end"/>
      </w:r>
      <w:r w:rsidRPr="003716AA">
        <w:rPr>
          <w:rFonts w:eastAsiaTheme="minorHAnsi" w:cs="Times New Roman"/>
        </w:rPr>
        <w:t xml:space="preserve">, </w:t>
      </w:r>
      <w:r w:rsidRPr="003716AA">
        <w:rPr>
          <w:rFonts w:cs="Times New Roman"/>
        </w:rPr>
        <w:t>§</w:t>
      </w:r>
      <w:r w:rsidRPr="003716AA">
        <w:rPr>
          <w:rFonts w:eastAsiaTheme="minorHAnsi" w:cs="Times New Roman"/>
        </w:rPr>
        <w:t>73</w:t>
      </w:r>
      <w:r w:rsidRPr="003716AA">
        <w:rPr>
          <w:rFonts w:cs="Times New Roman"/>
        </w:rPr>
        <w:t xml:space="preserve">; CtIDH, </w:t>
      </w:r>
      <w:r w:rsidRPr="003716AA">
        <w:rPr>
          <w:rFonts w:eastAsia="Calibri" w:cs="Times New Roman"/>
          <w:u w:val="single"/>
        </w:rPr>
        <w:t xml:space="preserve">Caso Artavia Murillo e outros Vs. </w:t>
      </w:r>
      <w:r w:rsidRPr="003716AA">
        <w:rPr>
          <w:rFonts w:eastAsia="Calibri" w:cs="Times New Roman"/>
          <w:u w:val="single"/>
          <w:lang w:val="es-ES"/>
        </w:rPr>
        <w:t>Costa Rica</w:t>
      </w:r>
      <w:r w:rsidRPr="003716AA">
        <w:rPr>
          <w:rFonts w:eastAsia="Calibri" w:cs="Times New Roman"/>
          <w:lang w:val="es-ES"/>
        </w:rPr>
        <w:t>, 2012, Série C, No. 257</w:t>
      </w:r>
      <w:r w:rsidRPr="003716AA">
        <w:rPr>
          <w:rFonts w:eastAsia="Calibri" w:cs="Times New Roman"/>
          <w:lang w:val="es-ES"/>
        </w:rPr>
        <w:fldChar w:fldCharType="begin"/>
      </w:r>
      <w:r w:rsidRPr="003716AA">
        <w:rPr>
          <w:rFonts w:eastAsia="Calibri" w:cs="Times New Roman"/>
          <w:lang w:val="es-ES"/>
        </w:rPr>
        <w:instrText xml:space="preserve"> TA \s "Caso Artavia Murillo e outros Vs. Costa Rica, 2012, Série C, No. 257" </w:instrText>
      </w:r>
      <w:r w:rsidRPr="003716AA">
        <w:rPr>
          <w:rFonts w:eastAsia="Calibri" w:cs="Times New Roman"/>
          <w:lang w:val="es-ES"/>
        </w:rPr>
        <w:fldChar w:fldCharType="end"/>
      </w:r>
      <w:r w:rsidRPr="003716AA">
        <w:rPr>
          <w:rFonts w:cs="Times New Roman"/>
          <w:lang w:val="es-ES"/>
        </w:rPr>
        <w:t>.</w:t>
      </w:r>
    </w:p>
  </w:footnote>
  <w:footnote w:id="77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CtIDH, </w:t>
      </w:r>
      <w:r w:rsidRPr="003716AA">
        <w:rPr>
          <w:rFonts w:cs="Times New Roman"/>
          <w:u w:val="single"/>
        </w:rPr>
        <w:t>Caso Meninas Yean e Bosico Vs. República Dominicana</w:t>
      </w:r>
      <w:r w:rsidRPr="003716AA">
        <w:rPr>
          <w:rFonts w:cs="Times New Roman"/>
        </w:rPr>
        <w:t>, 2006, Série C, No. 156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\l "</w:instrText>
      </w:r>
      <w:r w:rsidRPr="003716AA">
        <w:rPr>
          <w:rFonts w:cs="Times New Roman"/>
          <w:u w:val="single"/>
        </w:rPr>
        <w:instrText>Caso Meninas Yean e Bosico Vs. República Dominicana</w:instrText>
      </w:r>
      <w:r w:rsidRPr="003716AA">
        <w:rPr>
          <w:rFonts w:cs="Times New Roman"/>
        </w:rPr>
        <w:instrText xml:space="preserve">, 2006, Série C, No. 156" \s "Caso Meninas Yean e Bosico Vs. República Dominicana, 2006, Série C, No. 156" \c 2 </w:instrText>
      </w:r>
      <w:r w:rsidRPr="003716AA">
        <w:rPr>
          <w:rFonts w:cs="Times New Roman"/>
        </w:rPr>
        <w:fldChar w:fldCharType="end"/>
      </w:r>
      <w:r w:rsidR="00F229CF">
        <w:rPr>
          <w:rFonts w:cs="Times New Roman"/>
        </w:rPr>
        <w:t>.</w:t>
      </w:r>
    </w:p>
  </w:footnote>
  <w:footnote w:id="78">
    <w:p w:rsidR="00E74DC9" w:rsidRPr="003716AA" w:rsidRDefault="00E74DC9" w:rsidP="003E3372">
      <w:pPr>
        <w:spacing w:line="240" w:lineRule="auto"/>
        <w:rPr>
          <w:rFonts w:cs="Times New Roman"/>
          <w:sz w:val="20"/>
          <w:szCs w:val="20"/>
        </w:rPr>
      </w:pPr>
      <w:r w:rsidRPr="003716AA">
        <w:rPr>
          <w:rStyle w:val="FootnoteReference"/>
          <w:rFonts w:cs="Times New Roman"/>
          <w:sz w:val="20"/>
          <w:szCs w:val="20"/>
        </w:rPr>
        <w:footnoteRef/>
      </w:r>
      <w:r w:rsidRPr="003716AA">
        <w:rPr>
          <w:rFonts w:cs="Times New Roman"/>
          <w:sz w:val="20"/>
          <w:szCs w:val="20"/>
        </w:rPr>
        <w:t xml:space="preserve"> CtIDH, </w:t>
      </w:r>
      <w:r w:rsidRPr="003716AA">
        <w:rPr>
          <w:rFonts w:cs="Times New Roman"/>
          <w:sz w:val="20"/>
          <w:szCs w:val="20"/>
          <w:u w:val="single"/>
        </w:rPr>
        <w:t>Opinião Consultiva Condição Jurídica e Direitos Humanos da Criança</w:t>
      </w:r>
      <w:r w:rsidRPr="003716AA">
        <w:rPr>
          <w:rFonts w:cs="Times New Roman"/>
          <w:sz w:val="20"/>
          <w:szCs w:val="20"/>
        </w:rPr>
        <w:t>, 2002, Série A, No. 17</w:t>
      </w:r>
      <w:r>
        <w:rPr>
          <w:rFonts w:cs="Times New Roman"/>
          <w:sz w:val="20"/>
          <w:szCs w:val="20"/>
        </w:rPr>
        <w:fldChar w:fldCharType="begin"/>
      </w:r>
      <w:r>
        <w:instrText xml:space="preserve"> TA \l "</w:instrText>
      </w:r>
      <w:r w:rsidRPr="00E87814">
        <w:rPr>
          <w:rFonts w:cs="Times New Roman"/>
          <w:sz w:val="20"/>
          <w:szCs w:val="20"/>
          <w:u w:val="single"/>
        </w:rPr>
        <w:instrText>Opinião Consultiva Condição Jurídica e Direitos Humanos da Criança</w:instrText>
      </w:r>
      <w:r w:rsidRPr="00E87814">
        <w:rPr>
          <w:rFonts w:cs="Times New Roman"/>
          <w:sz w:val="20"/>
          <w:szCs w:val="20"/>
        </w:rPr>
        <w:instrText>, 2002, Série A, No. 17</w:instrText>
      </w:r>
      <w:r>
        <w:instrText xml:space="preserve">" \s "Opinião Consultiva Condição Jurídica e Direitos Humanos da Criança, 2002, Série A, No. 17" \c 2 </w:instrText>
      </w:r>
      <w:r>
        <w:rPr>
          <w:rFonts w:cs="Times New Roman"/>
          <w:sz w:val="20"/>
          <w:szCs w:val="20"/>
        </w:rPr>
        <w:fldChar w:fldCharType="end"/>
      </w:r>
      <w:r>
        <w:rPr>
          <w:rFonts w:cs="Times New Roman"/>
          <w:sz w:val="20"/>
          <w:szCs w:val="20"/>
        </w:rPr>
        <w:t>, §48.</w:t>
      </w:r>
    </w:p>
  </w:footnote>
  <w:footnote w:id="79">
    <w:p w:rsidR="00E74DC9" w:rsidRPr="003716AA" w:rsidRDefault="00E74DC9" w:rsidP="003E3372">
      <w:pPr>
        <w:pStyle w:val="FootnoteText"/>
        <w:rPr>
          <w:rFonts w:cs="Times New Roman"/>
          <w:highlight w:val="yellow"/>
          <w:lang w:val="es-ES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</w:t>
      </w:r>
      <w:r>
        <w:rPr>
          <w:rFonts w:cs="Times New Roman"/>
        </w:rPr>
        <w:t>CmDP</w:t>
      </w:r>
      <w:r w:rsidRPr="008F50AC">
        <w:rPr>
          <w:rFonts w:cs="Times New Roman"/>
        </w:rPr>
        <w:t xml:space="preserve">D, </w:t>
      </w:r>
      <w:r w:rsidRPr="00E91DF5">
        <w:rPr>
          <w:rFonts w:cs="Times New Roman"/>
          <w:u w:val="single"/>
        </w:rPr>
        <w:t>Projeto de Comentário Geral sobre o art. 12 da CDPD</w:t>
      </w:r>
      <w:r>
        <w:rPr>
          <w:rFonts w:cs="Times New Roman"/>
          <w:u w:val="single"/>
        </w:rPr>
        <w:fldChar w:fldCharType="begin"/>
      </w:r>
      <w:r>
        <w:instrText xml:space="preserve"> TA \l "</w:instrText>
      </w:r>
      <w:r w:rsidRPr="00615189">
        <w:rPr>
          <w:rFonts w:cs="Times New Roman"/>
        </w:rPr>
        <w:instrText xml:space="preserve">CmDPD, </w:instrText>
      </w:r>
      <w:r w:rsidRPr="00615189">
        <w:rPr>
          <w:rFonts w:cs="Times New Roman"/>
          <w:u w:val="single"/>
        </w:rPr>
        <w:instrText>Projeto de Comentário Geral sobre o art. 12 da CDPD</w:instrText>
      </w:r>
      <w:r>
        <w:instrText xml:space="preserve">" \s "CmDPD, Projeto de Comentário Geral sobre o art. 12 da CDPD" \c 8 </w:instrText>
      </w:r>
      <w:r>
        <w:rPr>
          <w:rFonts w:cs="Times New Roman"/>
          <w:u w:val="single"/>
        </w:rPr>
        <w:fldChar w:fldCharType="end"/>
      </w:r>
      <w:r w:rsidRPr="008F50AC">
        <w:rPr>
          <w:rFonts w:cs="Times New Roman"/>
        </w:rPr>
        <w:t>.</w:t>
      </w:r>
    </w:p>
  </w:footnote>
  <w:footnote w:id="80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  <w:highlight w:val="yellow"/>
          <w:lang w:val="es-ES"/>
        </w:rPr>
      </w:pPr>
      <w:r w:rsidRPr="008F50AC">
        <w:rPr>
          <w:rStyle w:val="FootnoteReference"/>
          <w:rFonts w:cs="Times New Roman"/>
          <w:szCs w:val="20"/>
        </w:rPr>
        <w:footnoteRef/>
      </w:r>
      <w:r w:rsidRPr="008F50AC">
        <w:rPr>
          <w:rFonts w:cs="Times New Roman"/>
          <w:szCs w:val="20"/>
          <w:lang w:val="es-ES"/>
        </w:rPr>
        <w:t xml:space="preserve"> </w:t>
      </w:r>
      <w:r w:rsidRPr="008F50AC">
        <w:rPr>
          <w:rFonts w:cs="Times New Roman"/>
          <w:szCs w:val="20"/>
        </w:rPr>
        <w:t>CtIDH</w:t>
      </w:r>
      <w:r w:rsidRPr="003716AA">
        <w:rPr>
          <w:rFonts w:cs="Times New Roman"/>
          <w:szCs w:val="20"/>
        </w:rPr>
        <w:t xml:space="preserve">, </w:t>
      </w:r>
      <w:r w:rsidRPr="003716AA">
        <w:rPr>
          <w:rFonts w:cs="Times New Roman"/>
          <w:szCs w:val="20"/>
          <w:u w:val="single"/>
        </w:rPr>
        <w:t>Opinião Consultiva Condição Jurídica e Direitos Humanos da Criança</w:t>
      </w:r>
      <w:r w:rsidRPr="003716AA">
        <w:rPr>
          <w:rFonts w:cs="Times New Roman"/>
          <w:szCs w:val="20"/>
        </w:rPr>
        <w:t>, 2002, Série A, No. 17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"Opinião Consultiva Condição Jurídica e Direitos Humanos da Criança, 2002, Série A, No. 17" </w:instrText>
      </w:r>
      <w:r>
        <w:rPr>
          <w:rFonts w:cs="Times New Roman"/>
          <w:szCs w:val="20"/>
        </w:rPr>
        <w:fldChar w:fldCharType="end"/>
      </w:r>
      <w:r>
        <w:rPr>
          <w:rFonts w:cs="Times New Roman"/>
          <w:szCs w:val="20"/>
        </w:rPr>
        <w:t>, §48.</w:t>
      </w:r>
    </w:p>
  </w:footnote>
  <w:footnote w:id="81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8F50AC">
        <w:rPr>
          <w:rFonts w:cs="Times New Roman"/>
          <w:szCs w:val="20"/>
          <w:vertAlign w:val="superscript"/>
        </w:rPr>
        <w:footnoteRef/>
      </w:r>
      <w:r w:rsidRPr="008F50AC">
        <w:rPr>
          <w:rFonts w:eastAsia="Times New Roman" w:cs="Times New Roman"/>
          <w:szCs w:val="20"/>
        </w:rPr>
        <w:t xml:space="preserve"> </w:t>
      </w:r>
      <w:r w:rsidRPr="008F50AC">
        <w:rPr>
          <w:rFonts w:cs="Times New Roman"/>
          <w:szCs w:val="20"/>
        </w:rPr>
        <w:t>CtIDH, Caso</w:t>
      </w:r>
      <w:r w:rsidRPr="003716AA">
        <w:rPr>
          <w:rFonts w:cs="Times New Roman"/>
          <w:szCs w:val="20"/>
        </w:rPr>
        <w:t xml:space="preserve"> Bámaca Velásquez Vs. Guatemala, 2002, Série C, No. 21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"Caso Bámaca Velásquez Vs. Guatemala, 2002, Série C, No. 21" </w:instrText>
      </w:r>
      <w:r>
        <w:rPr>
          <w:rFonts w:cs="Times New Roman"/>
          <w:szCs w:val="20"/>
        </w:rPr>
        <w:fldChar w:fldCharType="end"/>
      </w:r>
      <w:r w:rsidR="00790B72">
        <w:rPr>
          <w:rFonts w:cs="Times New Roman"/>
          <w:szCs w:val="20"/>
        </w:rPr>
        <w:t>.</w:t>
      </w:r>
    </w:p>
  </w:footnote>
  <w:footnote w:id="82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CtIDH, </w:t>
      </w:r>
      <w:r w:rsidRPr="003716AA">
        <w:rPr>
          <w:rFonts w:cs="Times New Roman"/>
          <w:u w:val="single"/>
        </w:rPr>
        <w:t>Caso Meninas Yean e Bosico Vs. República Dominicana</w:t>
      </w:r>
      <w:r w:rsidRPr="003716AA">
        <w:rPr>
          <w:rFonts w:cs="Times New Roman"/>
        </w:rPr>
        <w:t>, 2006, Série C, No. 156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\s "Caso Meninas Yean e Bosico Vs. República Dominicana, 2006, Série C, No. 156"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§113.</w:t>
      </w:r>
    </w:p>
  </w:footnote>
  <w:footnote w:id="83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i/>
          <w:szCs w:val="20"/>
        </w:rPr>
        <w:t xml:space="preserve"> </w:t>
      </w:r>
      <w:r w:rsidRPr="003716AA">
        <w:rPr>
          <w:rFonts w:cs="Times New Roman"/>
          <w:szCs w:val="20"/>
        </w:rPr>
        <w:t xml:space="preserve">CtIDH, </w:t>
      </w:r>
      <w:r w:rsidRPr="00790B72">
        <w:rPr>
          <w:rFonts w:cs="Times New Roman"/>
          <w:szCs w:val="20"/>
          <w:u w:val="single"/>
        </w:rPr>
        <w:t>Caso Bámaca Velásquez Vs. Guatemala</w:t>
      </w:r>
      <w:r w:rsidRPr="003716AA">
        <w:rPr>
          <w:rFonts w:cs="Times New Roman"/>
          <w:szCs w:val="20"/>
        </w:rPr>
        <w:t>, 2002, Série C, No. 21</w:t>
      </w:r>
      <w:r w:rsidR="003E3372">
        <w:rPr>
          <w:rFonts w:cs="Times New Roman"/>
          <w:szCs w:val="20"/>
        </w:rPr>
        <w:t>.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"Caso Bámaca Velásquez Vs. Guatemala, 2002, Série C, No. 21" </w:instrText>
      </w:r>
      <w:r>
        <w:rPr>
          <w:rFonts w:cs="Times New Roman"/>
          <w:szCs w:val="20"/>
        </w:rPr>
        <w:fldChar w:fldCharType="end"/>
      </w:r>
    </w:p>
  </w:footnote>
  <w:footnote w:id="84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Fonts w:cs="Times New Roman"/>
          <w:vertAlign w:val="superscript"/>
        </w:rPr>
        <w:footnoteRef/>
      </w:r>
      <w:r w:rsidRPr="003716AA">
        <w:rPr>
          <w:rFonts w:eastAsia="Times New Roman" w:cs="Times New Roman"/>
        </w:rPr>
        <w:t xml:space="preserve"> </w:t>
      </w:r>
      <w:r w:rsidRPr="003716AA">
        <w:rPr>
          <w:rFonts w:cs="Times New Roman"/>
        </w:rPr>
        <w:t xml:space="preserve">CtIDH, </w:t>
      </w:r>
      <w:r w:rsidRPr="003716AA">
        <w:rPr>
          <w:rFonts w:cs="Times New Roman"/>
          <w:u w:val="single"/>
        </w:rPr>
        <w:t>Caso Meninas Yean e Bosico Vs. República Dominicana</w:t>
      </w:r>
      <w:r w:rsidRPr="003716AA">
        <w:rPr>
          <w:rFonts w:cs="Times New Roman"/>
        </w:rPr>
        <w:t>, 2006, Série C, No. 156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\s "Caso Meninas Yean e Bosico Vs. República Dominicana, 2006, Série C, No. 156"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.</w:t>
      </w:r>
    </w:p>
  </w:footnote>
  <w:footnote w:id="85">
    <w:p w:rsidR="00E74DC9" w:rsidRPr="00113E0D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113E0D">
        <w:rPr>
          <w:rStyle w:val="FootnoteReference"/>
          <w:rFonts w:cs="Times New Roman"/>
          <w:szCs w:val="20"/>
        </w:rPr>
        <w:footnoteRef/>
      </w:r>
      <w:r w:rsidRPr="00113E0D">
        <w:rPr>
          <w:rFonts w:cs="Times New Roman"/>
          <w:szCs w:val="20"/>
        </w:rPr>
        <w:t xml:space="preserve"> CtIDH, </w:t>
      </w:r>
      <w:r w:rsidRPr="00113E0D">
        <w:rPr>
          <w:rFonts w:cs="Times New Roman"/>
          <w:szCs w:val="20"/>
          <w:u w:val="single"/>
        </w:rPr>
        <w:t>Opinião Consultiva Condição Jurídica e Direitos Humanos da Criança</w:t>
      </w:r>
      <w:r>
        <w:rPr>
          <w:rFonts w:cs="Times New Roman"/>
          <w:szCs w:val="20"/>
        </w:rPr>
        <w:t>, 2002, Série A, No. 17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"Opinião Consultiva Condição Jurídica e Direitos Humanos da Criança, 2002, Série A, No. 17" </w:instrText>
      </w:r>
      <w:r>
        <w:rPr>
          <w:rFonts w:cs="Times New Roman"/>
          <w:szCs w:val="20"/>
        </w:rPr>
        <w:fldChar w:fldCharType="end"/>
      </w:r>
      <w:r>
        <w:rPr>
          <w:rFonts w:cs="Times New Roman"/>
          <w:szCs w:val="20"/>
        </w:rPr>
        <w:t xml:space="preserve">, </w:t>
      </w:r>
      <w:r w:rsidRPr="00113E0D">
        <w:rPr>
          <w:rFonts w:cs="Times New Roman"/>
          <w:szCs w:val="20"/>
        </w:rPr>
        <w:t>§41</w:t>
      </w:r>
      <w:r>
        <w:rPr>
          <w:rFonts w:cs="Times New Roman"/>
          <w:szCs w:val="20"/>
        </w:rPr>
        <w:t>.</w:t>
      </w:r>
    </w:p>
  </w:footnote>
  <w:footnote w:id="86">
    <w:p w:rsidR="00E74DC9" w:rsidRPr="00113E0D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113E0D">
        <w:rPr>
          <w:rStyle w:val="FootnoteReference"/>
          <w:rFonts w:cs="Times New Roman"/>
          <w:szCs w:val="20"/>
        </w:rPr>
        <w:footnoteRef/>
      </w:r>
      <w:r w:rsidRPr="00113E0D">
        <w:rPr>
          <w:rFonts w:cs="Times New Roman"/>
          <w:szCs w:val="20"/>
        </w:rPr>
        <w:t xml:space="preserve"> CtIDH, </w:t>
      </w:r>
      <w:r w:rsidRPr="00113E0D">
        <w:rPr>
          <w:rFonts w:cs="Times New Roman"/>
          <w:szCs w:val="20"/>
          <w:u w:val="single"/>
        </w:rPr>
        <w:t>Opinião Consultiva Condição Jurídica e Direitos Humanos da Criança</w:t>
      </w:r>
      <w:r w:rsidRPr="00113E0D">
        <w:rPr>
          <w:rFonts w:cs="Times New Roman"/>
          <w:szCs w:val="20"/>
        </w:rPr>
        <w:t>, 2002, Série A, No. 17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"Opinião Consultiva Condição Jurídica e Direitos Humanos da Criança, 2002, Série A, No. 17" </w:instrText>
      </w:r>
      <w:r>
        <w:rPr>
          <w:rFonts w:cs="Times New Roman"/>
          <w:szCs w:val="20"/>
        </w:rPr>
        <w:fldChar w:fldCharType="end"/>
      </w:r>
      <w:r>
        <w:rPr>
          <w:rFonts w:cs="Times New Roman"/>
          <w:szCs w:val="20"/>
        </w:rPr>
        <w:t xml:space="preserve">, </w:t>
      </w:r>
      <w:r w:rsidRPr="00113E0D">
        <w:rPr>
          <w:rFonts w:cs="Times New Roman"/>
          <w:szCs w:val="20"/>
        </w:rPr>
        <w:t>§41</w:t>
      </w:r>
      <w:r>
        <w:rPr>
          <w:rFonts w:cs="Times New Roman"/>
          <w:szCs w:val="20"/>
        </w:rPr>
        <w:t>.</w:t>
      </w:r>
    </w:p>
  </w:footnote>
  <w:footnote w:id="87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113E0D">
        <w:rPr>
          <w:rFonts w:cs="Times New Roman"/>
          <w:szCs w:val="20"/>
          <w:vertAlign w:val="superscript"/>
        </w:rPr>
        <w:footnoteRef/>
      </w:r>
      <w:r w:rsidRPr="00113E0D">
        <w:rPr>
          <w:rFonts w:eastAsia="Times New Roman" w:cs="Times New Roman"/>
          <w:szCs w:val="20"/>
        </w:rPr>
        <w:t xml:space="preserve"> </w:t>
      </w:r>
      <w:r w:rsidRPr="00113E0D">
        <w:rPr>
          <w:rFonts w:cs="Times New Roman"/>
          <w:szCs w:val="20"/>
        </w:rPr>
        <w:t xml:space="preserve">CtIDH, </w:t>
      </w:r>
      <w:r w:rsidRPr="00113E0D">
        <w:rPr>
          <w:rFonts w:cs="Times New Roman"/>
          <w:szCs w:val="20"/>
          <w:u w:val="single"/>
        </w:rPr>
        <w:t>Opinião Consultiva</w:t>
      </w:r>
      <w:r>
        <w:rPr>
          <w:rFonts w:cs="Times New Roman"/>
          <w:szCs w:val="20"/>
          <w:u w:val="single"/>
        </w:rPr>
        <w:t>:</w:t>
      </w:r>
      <w:r w:rsidRPr="00113E0D">
        <w:rPr>
          <w:rFonts w:cs="Times New Roman"/>
          <w:szCs w:val="20"/>
          <w:u w:val="single"/>
        </w:rPr>
        <w:t xml:space="preserve"> A Expressão “Leis” no Artigo 30 da CADH</w:t>
      </w:r>
      <w:r w:rsidRPr="003716AA">
        <w:rPr>
          <w:rFonts w:cs="Times New Roman"/>
          <w:szCs w:val="20"/>
        </w:rPr>
        <w:t>, 1986, Série A, No. 6</w:t>
      </w:r>
      <w:r>
        <w:rPr>
          <w:rFonts w:cs="Times New Roman"/>
          <w:szCs w:val="20"/>
        </w:rPr>
        <w:fldChar w:fldCharType="begin"/>
      </w:r>
      <w:r>
        <w:instrText xml:space="preserve"> TA \l "</w:instrText>
      </w:r>
      <w:r w:rsidRPr="001B137D">
        <w:rPr>
          <w:rFonts w:cs="Times New Roman"/>
          <w:szCs w:val="20"/>
          <w:u w:val="single"/>
        </w:rPr>
        <w:instrText xml:space="preserve">Opinião Consultiva: A Expressão </w:instrText>
      </w:r>
      <w:r>
        <w:rPr>
          <w:szCs w:val="20"/>
        </w:rPr>
        <w:instrText>\</w:instrText>
      </w:r>
      <w:r w:rsidRPr="001B137D">
        <w:rPr>
          <w:rFonts w:cs="Times New Roman"/>
          <w:szCs w:val="20"/>
          <w:u w:val="single"/>
        </w:rPr>
        <w:instrText>“Leis</w:instrText>
      </w:r>
      <w:r>
        <w:rPr>
          <w:szCs w:val="20"/>
        </w:rPr>
        <w:instrText>\</w:instrText>
      </w:r>
      <w:r w:rsidRPr="001B137D">
        <w:rPr>
          <w:rFonts w:cs="Times New Roman"/>
          <w:szCs w:val="20"/>
          <w:u w:val="single"/>
        </w:rPr>
        <w:instrText>” no Artigo 30 da CADH</w:instrText>
      </w:r>
      <w:r w:rsidRPr="001B137D">
        <w:rPr>
          <w:rFonts w:cs="Times New Roman"/>
          <w:szCs w:val="20"/>
        </w:rPr>
        <w:instrText>, 1986, Série A, No. 6</w:instrText>
      </w:r>
      <w:r>
        <w:instrText xml:space="preserve">" \s "Opinião Consultiva: A Expressão \"Leis\" no Artigo 30 da CADH, 1986, Série A, No. 6" \c 2 </w:instrText>
      </w:r>
      <w:r>
        <w:rPr>
          <w:rFonts w:cs="Times New Roman"/>
          <w:szCs w:val="20"/>
        </w:rPr>
        <w:fldChar w:fldCharType="end"/>
      </w:r>
      <w:r w:rsidR="001412C0">
        <w:rPr>
          <w:rFonts w:cs="Times New Roman"/>
          <w:szCs w:val="20"/>
        </w:rPr>
        <w:t xml:space="preserve">, </w:t>
      </w:r>
      <w:r w:rsidRPr="003716AA">
        <w:rPr>
          <w:rFonts w:cs="Times New Roman"/>
          <w:szCs w:val="20"/>
        </w:rPr>
        <w:t>§</w:t>
      </w:r>
      <w:r w:rsidRPr="001412C0">
        <w:rPr>
          <w:rFonts w:cs="Times New Roman"/>
          <w:szCs w:val="20"/>
        </w:rPr>
        <w:t>§</w:t>
      </w:r>
      <w:r w:rsidRPr="001412C0">
        <w:rPr>
          <w:rFonts w:eastAsia="Times New Roman" w:cs="Times New Roman"/>
          <w:szCs w:val="20"/>
        </w:rPr>
        <w:t xml:space="preserve"> 17 e 18</w:t>
      </w:r>
      <w:r w:rsidR="001412C0">
        <w:rPr>
          <w:rFonts w:eastAsia="Times New Roman" w:cs="Times New Roman"/>
          <w:szCs w:val="20"/>
        </w:rPr>
        <w:t>.</w:t>
      </w:r>
    </w:p>
  </w:footnote>
  <w:footnote w:id="88">
    <w:p w:rsidR="00E74DC9" w:rsidRPr="003716AA" w:rsidRDefault="00E74DC9" w:rsidP="003E3372">
      <w:pPr>
        <w:spacing w:line="240" w:lineRule="auto"/>
        <w:rPr>
          <w:rFonts w:cs="Times New Roman"/>
          <w:sz w:val="20"/>
          <w:szCs w:val="20"/>
        </w:rPr>
      </w:pPr>
      <w:r w:rsidRPr="003716AA">
        <w:rPr>
          <w:rFonts w:cs="Times New Roman"/>
          <w:sz w:val="20"/>
          <w:szCs w:val="20"/>
          <w:vertAlign w:val="superscript"/>
        </w:rPr>
        <w:footnoteRef/>
      </w:r>
      <w:r w:rsidRPr="003716AA">
        <w:rPr>
          <w:rFonts w:eastAsia="Times New Roman" w:cs="Times New Roman"/>
          <w:sz w:val="20"/>
          <w:szCs w:val="20"/>
        </w:rPr>
        <w:t xml:space="preserve"> CtIDH, </w:t>
      </w:r>
      <w:r w:rsidRPr="003716AA">
        <w:rPr>
          <w:rFonts w:eastAsia="Times New Roman" w:cs="Times New Roman"/>
          <w:sz w:val="20"/>
          <w:szCs w:val="20"/>
          <w:u w:val="single"/>
        </w:rPr>
        <w:t>Caso Kimel Vs. Argentina</w:t>
      </w:r>
      <w:r w:rsidRPr="003716AA">
        <w:rPr>
          <w:rFonts w:eastAsia="Times New Roman" w:cs="Times New Roman"/>
          <w:sz w:val="20"/>
          <w:szCs w:val="20"/>
        </w:rPr>
        <w:t>, 2008, Série C, No. 177</w:t>
      </w:r>
      <w:r>
        <w:rPr>
          <w:rFonts w:eastAsia="Times New Roman" w:cs="Times New Roman"/>
          <w:sz w:val="20"/>
          <w:szCs w:val="20"/>
        </w:rPr>
        <w:fldChar w:fldCharType="begin"/>
      </w:r>
      <w:r>
        <w:instrText xml:space="preserve"> TA \l "</w:instrText>
      </w:r>
      <w:r w:rsidRPr="00CD7B89">
        <w:rPr>
          <w:rFonts w:eastAsia="Times New Roman" w:cs="Times New Roman"/>
          <w:sz w:val="20"/>
          <w:szCs w:val="20"/>
          <w:u w:val="single"/>
        </w:rPr>
        <w:instrText>Caso Kimel Vs. Argentina</w:instrText>
      </w:r>
      <w:r w:rsidRPr="00CD7B89">
        <w:rPr>
          <w:rFonts w:eastAsia="Times New Roman" w:cs="Times New Roman"/>
          <w:sz w:val="20"/>
          <w:szCs w:val="20"/>
        </w:rPr>
        <w:instrText>, 2008, Série C, No. 177</w:instrText>
      </w:r>
      <w:r>
        <w:instrText xml:space="preserve">" \s "Caso Kimel Vs. Argentina, 2008, Série C, No. 177" \c 2 </w:instrText>
      </w:r>
      <w:r>
        <w:rPr>
          <w:rFonts w:eastAsia="Times New Roman" w:cs="Times New Roman"/>
          <w:sz w:val="20"/>
          <w:szCs w:val="20"/>
        </w:rPr>
        <w:fldChar w:fldCharType="end"/>
      </w:r>
      <w:r w:rsidRPr="003716AA">
        <w:rPr>
          <w:rFonts w:eastAsia="Times New Roman" w:cs="Times New Roman"/>
          <w:sz w:val="20"/>
          <w:szCs w:val="20"/>
        </w:rPr>
        <w:t xml:space="preserve">, </w:t>
      </w:r>
      <w:r w:rsidRPr="003716AA">
        <w:rPr>
          <w:rFonts w:cs="Times New Roman"/>
          <w:sz w:val="20"/>
          <w:szCs w:val="20"/>
        </w:rPr>
        <w:t>§</w:t>
      </w:r>
      <w:r w:rsidRPr="003716AA">
        <w:rPr>
          <w:rFonts w:eastAsia="Times New Roman" w:cs="Times New Roman"/>
          <w:sz w:val="20"/>
          <w:szCs w:val="20"/>
        </w:rPr>
        <w:t>63.</w:t>
      </w:r>
    </w:p>
  </w:footnote>
  <w:footnote w:id="89">
    <w:p w:rsidR="00E74DC9" w:rsidRPr="003716AA" w:rsidRDefault="00E74DC9" w:rsidP="003E3372">
      <w:pPr>
        <w:spacing w:line="240" w:lineRule="auto"/>
        <w:rPr>
          <w:rFonts w:cs="Times New Roman"/>
          <w:sz w:val="20"/>
          <w:szCs w:val="20"/>
        </w:rPr>
      </w:pPr>
      <w:r w:rsidRPr="003716AA">
        <w:rPr>
          <w:rFonts w:cs="Times New Roman"/>
          <w:sz w:val="20"/>
          <w:szCs w:val="20"/>
          <w:vertAlign w:val="superscript"/>
        </w:rPr>
        <w:footnoteRef/>
      </w:r>
      <w:r w:rsidRPr="003716AA">
        <w:rPr>
          <w:rFonts w:eastAsia="Times New Roman" w:cs="Times New Roman"/>
          <w:sz w:val="20"/>
          <w:szCs w:val="20"/>
          <w:lang w:val="es-ES"/>
        </w:rPr>
        <w:t xml:space="preserve"> CtIDH, </w:t>
      </w:r>
      <w:r w:rsidRPr="003716AA">
        <w:rPr>
          <w:rFonts w:eastAsia="Times New Roman" w:cs="Times New Roman"/>
          <w:sz w:val="20"/>
          <w:szCs w:val="20"/>
          <w:u w:val="single"/>
          <w:lang w:val="es-ES"/>
        </w:rPr>
        <w:t xml:space="preserve">Caso Escher e outros </w:t>
      </w:r>
      <w:r w:rsidRPr="003716AA">
        <w:rPr>
          <w:rFonts w:eastAsia="Times New Roman" w:cs="Times New Roman"/>
          <w:sz w:val="20"/>
          <w:szCs w:val="20"/>
          <w:u w:val="single"/>
        </w:rPr>
        <w:t>Vs. Brasil</w:t>
      </w:r>
      <w:r w:rsidRPr="003716AA">
        <w:rPr>
          <w:rFonts w:eastAsia="Times New Roman" w:cs="Times New Roman"/>
          <w:sz w:val="20"/>
          <w:szCs w:val="20"/>
        </w:rPr>
        <w:t>, 2009, Série C, No. 208</w:t>
      </w:r>
      <w:r w:rsidRPr="003716AA">
        <w:rPr>
          <w:rFonts w:eastAsia="Times New Roman" w:cs="Times New Roman"/>
          <w:sz w:val="20"/>
          <w:szCs w:val="20"/>
        </w:rPr>
        <w:fldChar w:fldCharType="begin"/>
      </w:r>
      <w:r w:rsidRPr="003716AA">
        <w:rPr>
          <w:rFonts w:eastAsia="Times New Roman" w:cs="Times New Roman"/>
          <w:sz w:val="20"/>
          <w:szCs w:val="20"/>
        </w:rPr>
        <w:instrText xml:space="preserve"> TA \s "Caso Escher e outros Vs. Brasil, 2009, Série C, No. 208" </w:instrText>
      </w:r>
      <w:r w:rsidRPr="003716AA">
        <w:rPr>
          <w:rFonts w:eastAsia="Times New Roman" w:cs="Times New Roman"/>
          <w:sz w:val="20"/>
          <w:szCs w:val="20"/>
        </w:rPr>
        <w:fldChar w:fldCharType="end"/>
      </w:r>
      <w:r w:rsidRPr="003716AA">
        <w:rPr>
          <w:rFonts w:eastAsia="Times New Roman" w:cs="Times New Roman"/>
          <w:sz w:val="20"/>
          <w:szCs w:val="20"/>
        </w:rPr>
        <w:t>, §116.</w:t>
      </w:r>
    </w:p>
  </w:footnote>
  <w:footnote w:id="90">
    <w:p w:rsidR="00E74DC9" w:rsidRPr="00D133C0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  <w:lang w:val="es-ES"/>
        </w:rPr>
        <w:t xml:space="preserve"> </w:t>
      </w:r>
      <w:r w:rsidRPr="003716AA">
        <w:rPr>
          <w:rFonts w:cs="Times New Roman"/>
          <w:szCs w:val="20"/>
        </w:rPr>
        <w:t xml:space="preserve">CtIDH, </w:t>
      </w:r>
      <w:r w:rsidRPr="003716AA">
        <w:rPr>
          <w:rFonts w:cs="Times New Roman"/>
          <w:szCs w:val="20"/>
          <w:u w:val="single"/>
        </w:rPr>
        <w:t>Opinião Consultiva Proposta de Modificação a Constituição Política da Costa Rica Relacionada com a Naturalização</w:t>
      </w:r>
      <w:r w:rsidRPr="003716AA">
        <w:rPr>
          <w:rFonts w:cs="Times New Roman"/>
          <w:szCs w:val="20"/>
        </w:rPr>
        <w:t xml:space="preserve">, </w:t>
      </w:r>
      <w:r w:rsidRPr="00D133C0">
        <w:rPr>
          <w:rFonts w:cs="Times New Roman"/>
          <w:szCs w:val="20"/>
        </w:rPr>
        <w:t>1984, Série A, No. 4</w:t>
      </w:r>
      <w:r w:rsidRPr="00D133C0">
        <w:rPr>
          <w:rFonts w:cs="Times New Roman"/>
          <w:szCs w:val="20"/>
        </w:rPr>
        <w:fldChar w:fldCharType="begin"/>
      </w:r>
      <w:r w:rsidRPr="00D133C0">
        <w:rPr>
          <w:rFonts w:cs="Times New Roman"/>
          <w:szCs w:val="20"/>
        </w:rPr>
        <w:instrText xml:space="preserve"> TA \s "Opinião Consultiva Proposta de Modificação a Constituição Política da Costa Rica Relacionada com a Naturalização, 1984, Série A, No. 4" </w:instrText>
      </w:r>
      <w:r w:rsidRPr="00D133C0">
        <w:rPr>
          <w:rFonts w:cs="Times New Roman"/>
          <w:szCs w:val="20"/>
        </w:rPr>
        <w:fldChar w:fldCharType="end"/>
      </w:r>
      <w:r w:rsidRPr="00D133C0">
        <w:rPr>
          <w:rFonts w:cs="Times New Roman"/>
          <w:szCs w:val="20"/>
        </w:rPr>
        <w:t>, §56.</w:t>
      </w:r>
    </w:p>
  </w:footnote>
  <w:footnote w:id="91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D133C0">
        <w:rPr>
          <w:rFonts w:cs="Times New Roman"/>
          <w:szCs w:val="20"/>
          <w:vertAlign w:val="superscript"/>
        </w:rPr>
        <w:footnoteRef/>
      </w:r>
      <w:r w:rsidRPr="00D133C0">
        <w:rPr>
          <w:rFonts w:eastAsia="Times New Roman" w:cs="Times New Roman"/>
          <w:szCs w:val="20"/>
          <w:lang w:val="es-ES"/>
        </w:rPr>
        <w:t xml:space="preserve"> </w:t>
      </w:r>
      <w:r w:rsidRPr="00D133C0">
        <w:rPr>
          <w:rFonts w:cs="Times New Roman"/>
          <w:szCs w:val="20"/>
        </w:rPr>
        <w:t>CtIDH,</w:t>
      </w:r>
      <w:r w:rsidRPr="003716AA">
        <w:rPr>
          <w:rFonts w:cs="Times New Roman"/>
          <w:szCs w:val="20"/>
        </w:rPr>
        <w:t xml:space="preserve"> </w:t>
      </w:r>
      <w:r w:rsidRPr="008F50AC">
        <w:rPr>
          <w:rFonts w:cs="Times New Roman"/>
          <w:szCs w:val="20"/>
          <w:u w:val="single"/>
        </w:rPr>
        <w:t>Caso Kimel Vs. Argentina</w:t>
      </w:r>
      <w:r>
        <w:rPr>
          <w:rFonts w:cs="Times New Roman"/>
          <w:szCs w:val="20"/>
        </w:rPr>
        <w:t>, 2008, Série C, No. 177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"Caso Kimel Vs. Argentina, 2008, Série C, No. 177"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§58</w:t>
      </w:r>
      <w:r>
        <w:rPr>
          <w:rFonts w:cs="Times New Roman"/>
          <w:szCs w:val="20"/>
        </w:rPr>
        <w:t>.</w:t>
      </w:r>
    </w:p>
  </w:footnote>
  <w:footnote w:id="92">
    <w:p w:rsidR="00E74DC9" w:rsidRPr="0066106C" w:rsidRDefault="00E74DC9" w:rsidP="003E3372">
      <w:pPr>
        <w:pStyle w:val="ListParagraph"/>
        <w:jc w:val="both"/>
        <w:rPr>
          <w:rFonts w:cs="Times New Roman"/>
          <w:szCs w:val="20"/>
          <w:lang w:val="es-ES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="00684701">
        <w:rPr>
          <w:rFonts w:cs="Times New Roman"/>
          <w:szCs w:val="20"/>
        </w:rPr>
        <w:t xml:space="preserve"> </w:t>
      </w:r>
      <w:r w:rsidRPr="0066106C">
        <w:rPr>
          <w:rFonts w:cs="Times New Roman"/>
          <w:szCs w:val="20"/>
        </w:rPr>
        <w:t xml:space="preserve">CtIDH, </w:t>
      </w:r>
      <w:r w:rsidRPr="0066106C">
        <w:rPr>
          <w:rFonts w:cs="Times New Roman"/>
          <w:szCs w:val="20"/>
          <w:u w:val="single"/>
        </w:rPr>
        <w:t>Opinião Consultiva Condição Jurídica e Direitos Humanos da Criança</w:t>
      </w:r>
      <w:r w:rsidRPr="0066106C">
        <w:rPr>
          <w:rFonts w:cs="Times New Roman"/>
          <w:szCs w:val="20"/>
        </w:rPr>
        <w:t>, 2002, Série A, No. 17</w:t>
      </w:r>
      <w:r w:rsidRPr="0066106C">
        <w:rPr>
          <w:rFonts w:cs="Times New Roman"/>
          <w:szCs w:val="20"/>
        </w:rPr>
        <w:fldChar w:fldCharType="begin"/>
      </w:r>
      <w:r w:rsidRPr="0066106C">
        <w:rPr>
          <w:rFonts w:cs="Times New Roman"/>
          <w:szCs w:val="20"/>
        </w:rPr>
        <w:instrText xml:space="preserve"> TA \s "Opinião Consultiva Condição Jurídica e Direitos Humanos da Criança, 2002, Série A, No. 17" </w:instrText>
      </w:r>
      <w:r w:rsidRPr="0066106C">
        <w:rPr>
          <w:rFonts w:cs="Times New Roman"/>
          <w:szCs w:val="20"/>
        </w:rPr>
        <w:fldChar w:fldCharType="end"/>
      </w:r>
      <w:r w:rsidRPr="0066106C">
        <w:rPr>
          <w:rFonts w:cs="Times New Roman"/>
          <w:szCs w:val="20"/>
        </w:rPr>
        <w:t xml:space="preserve"> §48.</w:t>
      </w:r>
    </w:p>
  </w:footnote>
  <w:footnote w:id="93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66106C">
        <w:rPr>
          <w:rStyle w:val="FootnoteReference"/>
          <w:rFonts w:cs="Times New Roman"/>
          <w:szCs w:val="20"/>
        </w:rPr>
        <w:footnoteRef/>
      </w:r>
      <w:r w:rsidRPr="0066106C">
        <w:rPr>
          <w:rFonts w:cs="Times New Roman"/>
          <w:szCs w:val="20"/>
          <w:lang w:val="es-ES"/>
        </w:rPr>
        <w:t xml:space="preserve"> CtIDH, </w:t>
      </w:r>
      <w:r w:rsidRPr="0066106C">
        <w:rPr>
          <w:rFonts w:cs="Times New Roman"/>
          <w:szCs w:val="20"/>
          <w:u w:val="single"/>
          <w:lang w:val="es-ES"/>
        </w:rPr>
        <w:t>Caso “Cinco Pensionistas” Vs.</w:t>
      </w:r>
      <w:r w:rsidRPr="003716AA">
        <w:rPr>
          <w:rFonts w:cs="Times New Roman"/>
          <w:szCs w:val="20"/>
          <w:u w:val="single"/>
          <w:lang w:val="es-ES"/>
        </w:rPr>
        <w:t xml:space="preserve"> Peru</w:t>
      </w:r>
      <w:r w:rsidRPr="003716AA">
        <w:rPr>
          <w:rFonts w:cs="Times New Roman"/>
          <w:szCs w:val="20"/>
          <w:lang w:val="es-ES"/>
        </w:rPr>
        <w:t>, Série C, No. 98</w:t>
      </w:r>
      <w:r w:rsidRPr="003716AA">
        <w:rPr>
          <w:rFonts w:cs="Times New Roman"/>
          <w:szCs w:val="20"/>
          <w:lang w:val="es-ES"/>
        </w:rPr>
        <w:fldChar w:fldCharType="begin"/>
      </w:r>
      <w:r w:rsidRPr="003716AA">
        <w:rPr>
          <w:rFonts w:cs="Times New Roman"/>
          <w:szCs w:val="20"/>
          <w:lang w:val="es-ES"/>
        </w:rPr>
        <w:instrText xml:space="preserve"> TA \s "Caso \"Cinco Pensionistas\" Vs. Peru, Série C, No. 98" </w:instrText>
      </w:r>
      <w:r w:rsidRPr="003716AA">
        <w:rPr>
          <w:rFonts w:cs="Times New Roman"/>
          <w:szCs w:val="20"/>
          <w:lang w:val="es-ES"/>
        </w:rPr>
        <w:fldChar w:fldCharType="end"/>
      </w:r>
      <w:r w:rsidRPr="003716AA">
        <w:rPr>
          <w:rFonts w:cs="Times New Roman"/>
          <w:szCs w:val="20"/>
        </w:rPr>
        <w:t>, §165.</w:t>
      </w:r>
    </w:p>
  </w:footnote>
  <w:footnote w:id="94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D053DE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Heliodoro-Portugal Vs. Panamá</w:t>
      </w:r>
      <w:r w:rsidRPr="003716AA">
        <w:rPr>
          <w:rFonts w:cs="Times New Roman"/>
          <w:szCs w:val="20"/>
        </w:rPr>
        <w:t>, 2008, Série C, No. 186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Heliodoro-Portugal Vs. Panamá</w:instrText>
      </w:r>
      <w:r w:rsidRPr="003716AA">
        <w:rPr>
          <w:rFonts w:cs="Times New Roman"/>
          <w:szCs w:val="20"/>
        </w:rPr>
        <w:instrText xml:space="preserve">, 2008, Série C, No. 186" \s "Caso Heliodoro-Portugal Vs. Panamá, 2008, Série C, No. 186"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§58.</w:t>
      </w:r>
    </w:p>
  </w:footnote>
  <w:footnote w:id="95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D053DE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Barreto Leiva Vs. Venezuela</w:t>
      </w:r>
      <w:r w:rsidRPr="003716AA">
        <w:rPr>
          <w:rFonts w:cs="Times New Roman"/>
          <w:szCs w:val="20"/>
        </w:rPr>
        <w:t>, 2009, Série C, No. 206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\l "</w:instrText>
      </w:r>
      <w:r w:rsidRPr="003716AA">
        <w:rPr>
          <w:rFonts w:cs="Times New Roman"/>
          <w:szCs w:val="20"/>
          <w:u w:val="single"/>
        </w:rPr>
        <w:instrText>Caso Barreto Leiva Vs. Venezuela</w:instrText>
      </w:r>
      <w:r w:rsidRPr="003716AA">
        <w:rPr>
          <w:rFonts w:cs="Times New Roman"/>
          <w:szCs w:val="20"/>
        </w:rPr>
        <w:instrText xml:space="preserve">, 2009, Série C, No. 206" \s "Caso Barreto Leiva Vs. Venezuela, 2009, Série C, No. 206" \c 2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§108.</w:t>
      </w:r>
    </w:p>
  </w:footnote>
  <w:footnote w:id="96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D053DE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Heliodoro-Portugal Vs. Panamá</w:t>
      </w:r>
      <w:r w:rsidRPr="003716AA">
        <w:rPr>
          <w:rFonts w:cs="Times New Roman"/>
          <w:szCs w:val="20"/>
        </w:rPr>
        <w:t>, 2008, Série C, No. 186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"Caso Heliodoro-Portugal Vs. Panamá, 2008, Série C, No. 186"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§185.</w:t>
      </w:r>
    </w:p>
  </w:footnote>
  <w:footnote w:id="97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  <w:highlight w:val="yellow"/>
          <w:lang w:val="es-ES"/>
        </w:rPr>
      </w:pPr>
      <w:r w:rsidRPr="00C776B0">
        <w:rPr>
          <w:rFonts w:cs="Times New Roman"/>
          <w:szCs w:val="20"/>
          <w:vertAlign w:val="superscript"/>
        </w:rPr>
        <w:footnoteRef/>
      </w:r>
      <w:r w:rsidRPr="00C776B0">
        <w:rPr>
          <w:rFonts w:eastAsia="Times New Roman" w:cs="Times New Roman"/>
          <w:szCs w:val="20"/>
          <w:lang w:val="es-ES"/>
        </w:rPr>
        <w:t xml:space="preserve"> </w:t>
      </w:r>
      <w:r w:rsidRPr="00C776B0">
        <w:rPr>
          <w:rFonts w:cs="Times New Roman"/>
          <w:szCs w:val="20"/>
        </w:rPr>
        <w:t xml:space="preserve">CtIDH, </w:t>
      </w:r>
      <w:r w:rsidRPr="00C776B0">
        <w:rPr>
          <w:rFonts w:cs="Times New Roman"/>
          <w:szCs w:val="20"/>
          <w:u w:val="single"/>
        </w:rPr>
        <w:t>Opinião Consultiva: Garantias Judic</w:t>
      </w:r>
      <w:r w:rsidR="00C776B0" w:rsidRPr="00C776B0">
        <w:rPr>
          <w:rFonts w:cs="Times New Roman"/>
          <w:szCs w:val="20"/>
          <w:u w:val="single"/>
        </w:rPr>
        <w:t>iais em Estados de Emergência</w:t>
      </w:r>
      <w:r w:rsidR="00C776B0" w:rsidRPr="00C776B0">
        <w:rPr>
          <w:rFonts w:cs="Times New Roman"/>
          <w:szCs w:val="20"/>
        </w:rPr>
        <w:t>,</w:t>
      </w:r>
      <w:r w:rsidRPr="00C776B0">
        <w:rPr>
          <w:rFonts w:cs="Times New Roman"/>
          <w:szCs w:val="20"/>
        </w:rPr>
        <w:t>1987, Série A, No. 9</w:t>
      </w:r>
      <w:r w:rsidRPr="00C776B0">
        <w:rPr>
          <w:rFonts w:cs="Times New Roman"/>
          <w:szCs w:val="20"/>
        </w:rPr>
        <w:fldChar w:fldCharType="begin"/>
      </w:r>
      <w:r w:rsidRPr="00C776B0">
        <w:rPr>
          <w:rFonts w:cs="Times New Roman"/>
          <w:szCs w:val="20"/>
        </w:rPr>
        <w:instrText xml:space="preserve"> TA \s "Opinião Consultiva: Garantias Judiciais em Estados de Emergência (arts. 27.2, 25 e 8º da CADH), 1987, Série A, No. 9" </w:instrText>
      </w:r>
      <w:r w:rsidRPr="00C776B0">
        <w:rPr>
          <w:rFonts w:cs="Times New Roman"/>
          <w:szCs w:val="20"/>
        </w:rPr>
        <w:fldChar w:fldCharType="end"/>
      </w:r>
      <w:r w:rsidRPr="00C776B0">
        <w:rPr>
          <w:rFonts w:eastAsia="Times New Roman" w:cs="Times New Roman"/>
          <w:szCs w:val="20"/>
          <w:lang w:val="es-ES"/>
        </w:rPr>
        <w:t xml:space="preserve"> </w:t>
      </w:r>
      <w:r w:rsidRPr="00C776B0">
        <w:rPr>
          <w:rFonts w:cs="Times New Roman"/>
          <w:szCs w:val="20"/>
        </w:rPr>
        <w:t>§</w:t>
      </w:r>
      <w:r w:rsidRPr="00C776B0">
        <w:rPr>
          <w:rFonts w:eastAsia="Times New Roman" w:cs="Times New Roman"/>
          <w:szCs w:val="20"/>
          <w:lang w:val="es-ES"/>
        </w:rPr>
        <w:t>27.</w:t>
      </w:r>
    </w:p>
  </w:footnote>
  <w:footnote w:id="98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4431FF">
        <w:rPr>
          <w:rFonts w:cs="Times New Roman"/>
          <w:szCs w:val="20"/>
          <w:vertAlign w:val="superscript"/>
        </w:rPr>
        <w:footnoteRef/>
      </w:r>
      <w:r w:rsidRPr="004431FF">
        <w:rPr>
          <w:rFonts w:eastAsia="Times New Roman" w:cs="Times New Roman"/>
          <w:szCs w:val="20"/>
          <w:lang w:val="es-ES"/>
        </w:rPr>
        <w:t xml:space="preserve"> </w:t>
      </w:r>
      <w:r w:rsidRPr="004431FF">
        <w:rPr>
          <w:rFonts w:cs="Times New Roman"/>
          <w:szCs w:val="20"/>
        </w:rPr>
        <w:t xml:space="preserve">ALVARADO, P. </w:t>
      </w:r>
      <w:r w:rsidRPr="00F7659E">
        <w:rPr>
          <w:rFonts w:cs="Times New Roman"/>
          <w:szCs w:val="20"/>
          <w:u w:val="single"/>
        </w:rPr>
        <w:t>El derecho al acesso a la justicia em la jurisprudencia Latino Americana</w:t>
      </w:r>
      <w:r w:rsidRPr="004431FF">
        <w:rPr>
          <w:rFonts w:cs="Times New Roman"/>
          <w:szCs w:val="20"/>
        </w:rPr>
        <w:t>. Bogotá: Departamento</w:t>
      </w:r>
      <w:r w:rsidRPr="003716AA">
        <w:rPr>
          <w:rFonts w:cs="Times New Roman"/>
          <w:szCs w:val="20"/>
        </w:rPr>
        <w:t xml:space="preserve"> de Publicaciones, 2010</w:t>
      </w:r>
      <w:r>
        <w:rPr>
          <w:rFonts w:cs="Times New Roman"/>
          <w:szCs w:val="20"/>
        </w:rPr>
        <w:fldChar w:fldCharType="begin"/>
      </w:r>
      <w:r>
        <w:instrText xml:space="preserve"> TA \l "</w:instrText>
      </w:r>
      <w:r w:rsidRPr="00DC4D9F">
        <w:rPr>
          <w:rFonts w:cs="Times New Roman"/>
          <w:szCs w:val="20"/>
        </w:rPr>
        <w:instrText xml:space="preserve">ALVARADO, P. </w:instrText>
      </w:r>
      <w:r w:rsidRPr="00DC4D9F">
        <w:rPr>
          <w:rFonts w:cs="Times New Roman"/>
          <w:szCs w:val="20"/>
          <w:u w:val="single"/>
        </w:rPr>
        <w:instrText>El derecho al acesso a la justicia em la jurisprudencia Latino Americana</w:instrText>
      </w:r>
      <w:r w:rsidRPr="00DC4D9F">
        <w:rPr>
          <w:rFonts w:cs="Times New Roman"/>
          <w:szCs w:val="20"/>
        </w:rPr>
        <w:instrText>. Bogotá: Departamento de Publicaciones, 2010</w:instrText>
      </w:r>
      <w:r>
        <w:instrText xml:space="preserve">" \s "ALVARADO, P. El derecho al acesso a la justicia em la jurisprudencia Latino Americana. Bogotá: Departamento de Publicaciones, 2010" \c 6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p. 27</w:t>
      </w:r>
      <w:r>
        <w:rPr>
          <w:rFonts w:cs="Times New Roman"/>
          <w:szCs w:val="20"/>
        </w:rPr>
        <w:t>.</w:t>
      </w:r>
    </w:p>
  </w:footnote>
  <w:footnote w:id="99">
    <w:p w:rsidR="00E74DC9" w:rsidRPr="003716AA" w:rsidRDefault="00E74DC9" w:rsidP="003E3372">
      <w:pPr>
        <w:pStyle w:val="Normal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6A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3716AA">
        <w:rPr>
          <w:rFonts w:ascii="Times New Roman" w:hAnsi="Times New Roman" w:cs="Times New Roman"/>
          <w:sz w:val="20"/>
          <w:szCs w:val="20"/>
        </w:rPr>
        <w:t xml:space="preserve"> </w:t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  <w:highlight w:val="white"/>
        </w:rPr>
        <w:t xml:space="preserve">CtIDH, </w:t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  <w:highlight w:val="white"/>
          <w:u w:val="single"/>
        </w:rPr>
        <w:t>Caso Barbani Duarte e outros Vs. Uruguai,</w:t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  <w:highlight w:val="white"/>
        </w:rPr>
        <w:t xml:space="preserve"> 2011, Série C, No. 234</w:t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  <w:highlight w:val="white"/>
        </w:rPr>
        <w:fldChar w:fldCharType="begin"/>
      </w:r>
      <w:r w:rsidRPr="003716AA">
        <w:rPr>
          <w:rFonts w:ascii="Times New Roman" w:hAnsi="Times New Roman" w:cs="Times New Roman"/>
          <w:sz w:val="20"/>
          <w:szCs w:val="20"/>
        </w:rPr>
        <w:instrText xml:space="preserve"> TA \l "</w:instrText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  <w:highlight w:val="white"/>
          <w:u w:val="single"/>
        </w:rPr>
        <w:instrText>Caso Barbani Duarte e outros Vs. Uruguai,</w:instrText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  <w:highlight w:val="white"/>
        </w:rPr>
        <w:instrText xml:space="preserve"> 2011, Série C, No. 234</w:instrText>
      </w:r>
      <w:r w:rsidRPr="003716AA">
        <w:rPr>
          <w:rFonts w:ascii="Times New Roman" w:hAnsi="Times New Roman" w:cs="Times New Roman"/>
          <w:sz w:val="20"/>
          <w:szCs w:val="20"/>
        </w:rPr>
        <w:instrText xml:space="preserve">" \s "Caso Barbani Duarte e outros Vs. Uruguai, 2011, Série C, No. 234" \c 2 </w:instrText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  <w:highlight w:val="white"/>
        </w:rPr>
        <w:fldChar w:fldCharType="end"/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  <w:highlight w:val="white"/>
        </w:rPr>
        <w:t xml:space="preserve">, </w:t>
      </w:r>
      <w:r w:rsidRPr="003716AA">
        <w:rPr>
          <w:rFonts w:ascii="Times New Roman" w:hAnsi="Times New Roman" w:cs="Times New Roman"/>
          <w:color w:val="auto"/>
          <w:sz w:val="20"/>
          <w:szCs w:val="20"/>
        </w:rPr>
        <w:t>§</w:t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  <w:highlight w:val="white"/>
        </w:rPr>
        <w:t>120</w:t>
      </w:r>
      <w:r w:rsidRPr="003716AA">
        <w:rPr>
          <w:rFonts w:ascii="Times New Roman" w:eastAsia="Arial" w:hAnsi="Times New Roman" w:cs="Times New Roman"/>
          <w:color w:val="auto"/>
          <w:sz w:val="20"/>
          <w:szCs w:val="20"/>
        </w:rPr>
        <w:t>.</w:t>
      </w:r>
    </w:p>
  </w:footnote>
  <w:footnote w:id="100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ONU, </w:t>
      </w:r>
      <w:r w:rsidRPr="003716AA">
        <w:rPr>
          <w:rFonts w:cs="Times New Roman"/>
          <w:szCs w:val="20"/>
          <w:u w:val="single"/>
        </w:rPr>
        <w:t>Princípios para a Proteção de Pessoas com Doença Mental e para a Melhoria dos Cuidados de Saúde Mental</w:t>
      </w:r>
      <w:r w:rsidRPr="003716AA">
        <w:rPr>
          <w:rFonts w:cs="Times New Roman"/>
          <w:szCs w:val="20"/>
        </w:rPr>
        <w:t xml:space="preserve"> (1991), A/RES/46/119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"Princípios para a Proteção de Pessoas com Doença Mental e para a Melhoria dos Cuidados de Saúde Mental (1991), A/RES/46/119"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Princípio 1(6)</w:t>
      </w:r>
      <w:r>
        <w:rPr>
          <w:rFonts w:cs="Times New Roman"/>
          <w:szCs w:val="20"/>
        </w:rPr>
        <w:t>.</w:t>
      </w:r>
    </w:p>
  </w:footnote>
  <w:footnote w:id="101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Barreto Leiva Vs. Venezuela</w:t>
      </w:r>
      <w:r w:rsidRPr="003716AA">
        <w:rPr>
          <w:rFonts w:cs="Times New Roman"/>
          <w:szCs w:val="20"/>
        </w:rPr>
        <w:t>, 2009, Série C, No. 206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"Caso Barreto Leiva Vs. Venezuela, 2009, Série C, No. 206"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§63.</w:t>
      </w:r>
    </w:p>
  </w:footnote>
  <w:footnote w:id="102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Barreto Leiva Vs. Venezuela</w:t>
      </w:r>
      <w:r w:rsidRPr="003716AA">
        <w:rPr>
          <w:rFonts w:cs="Times New Roman"/>
          <w:szCs w:val="20"/>
        </w:rPr>
        <w:t>, 2009, Série C, No. 206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"Caso Barreto Leiva Vs. Venezuela, 2009, Série C, No. 206"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§63.</w:t>
      </w:r>
    </w:p>
  </w:footnote>
  <w:footnote w:id="103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CtEDH, </w:t>
      </w:r>
      <w:r w:rsidRPr="003716AA">
        <w:rPr>
          <w:rFonts w:cs="Times New Roman"/>
          <w:u w:val="single"/>
        </w:rPr>
        <w:t>Caso Shtukaturov Vs. Rússia</w:t>
      </w:r>
      <w:r w:rsidRPr="003716AA">
        <w:rPr>
          <w:rFonts w:cs="Times New Roman"/>
        </w:rPr>
        <w:t>, 2008, Série A, No. 44009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\s "Caso Shtukaturov Vs. Rússia, 2008, Série A, No. 44009"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§73.</w:t>
      </w:r>
    </w:p>
  </w:footnote>
  <w:footnote w:id="104">
    <w:p w:rsidR="00E74DC9" w:rsidRPr="003716AA" w:rsidRDefault="00E74DC9" w:rsidP="003E3372">
      <w:pPr>
        <w:pStyle w:val="Normal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6A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3716AA">
        <w:rPr>
          <w:rFonts w:ascii="Times New Roman" w:hAnsi="Times New Roman" w:cs="Times New Roman"/>
          <w:sz w:val="20"/>
          <w:szCs w:val="20"/>
        </w:rPr>
        <w:t xml:space="preserve"> CtIDH, </w:t>
      </w:r>
      <w:r w:rsidRPr="003716AA">
        <w:rPr>
          <w:rFonts w:ascii="Times New Roman" w:hAnsi="Times New Roman" w:cs="Times New Roman"/>
          <w:sz w:val="20"/>
          <w:szCs w:val="20"/>
          <w:u w:val="single"/>
        </w:rPr>
        <w:t>Caso Apitz Barbera e outros Vs. Venezuela</w:t>
      </w:r>
      <w:r w:rsidRPr="003716AA">
        <w:rPr>
          <w:rFonts w:ascii="Times New Roman" w:hAnsi="Times New Roman" w:cs="Times New Roman"/>
          <w:sz w:val="20"/>
          <w:szCs w:val="20"/>
        </w:rPr>
        <w:t>, 2008, Série C, No. 182</w:t>
      </w:r>
      <w:r w:rsidRPr="003716AA">
        <w:rPr>
          <w:rFonts w:ascii="Times New Roman" w:hAnsi="Times New Roman" w:cs="Times New Roman"/>
          <w:sz w:val="20"/>
          <w:szCs w:val="20"/>
        </w:rPr>
        <w:fldChar w:fldCharType="begin"/>
      </w:r>
      <w:r w:rsidRPr="003716AA">
        <w:rPr>
          <w:rFonts w:ascii="Times New Roman" w:hAnsi="Times New Roman" w:cs="Times New Roman"/>
          <w:sz w:val="20"/>
          <w:szCs w:val="20"/>
        </w:rPr>
        <w:instrText xml:space="preserve"> TA \s "Caso Apitz Barbera e outros Vs. Venezuela, 2008, Série C, No. 182" </w:instrText>
      </w:r>
      <w:r w:rsidRPr="003716AA">
        <w:rPr>
          <w:rFonts w:ascii="Times New Roman" w:hAnsi="Times New Roman" w:cs="Times New Roman"/>
          <w:sz w:val="20"/>
          <w:szCs w:val="20"/>
        </w:rPr>
        <w:fldChar w:fldCharType="end"/>
      </w:r>
      <w:r w:rsidRPr="003716AA">
        <w:rPr>
          <w:rFonts w:ascii="Times New Roman" w:hAnsi="Times New Roman" w:cs="Times New Roman"/>
          <w:sz w:val="20"/>
          <w:szCs w:val="20"/>
        </w:rPr>
        <w:t>, §75.</w:t>
      </w:r>
    </w:p>
  </w:footnote>
  <w:footnote w:id="105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4431FF">
        <w:rPr>
          <w:rFonts w:cs="Times New Roman"/>
          <w:szCs w:val="20"/>
          <w:vertAlign w:val="superscript"/>
        </w:rPr>
        <w:footnoteRef/>
      </w:r>
      <w:r w:rsidRPr="004431FF">
        <w:rPr>
          <w:rFonts w:eastAsia="Times New Roman" w:cs="Times New Roman"/>
          <w:szCs w:val="20"/>
        </w:rPr>
        <w:t xml:space="preserve"> </w:t>
      </w:r>
      <w:r w:rsidRPr="004431FF">
        <w:rPr>
          <w:rFonts w:cs="Times New Roman"/>
          <w:szCs w:val="20"/>
        </w:rPr>
        <w:t>CtIDH,</w:t>
      </w:r>
      <w:r w:rsidRPr="003716AA">
        <w:rPr>
          <w:rFonts w:cs="Times New Roman"/>
          <w:szCs w:val="20"/>
        </w:rPr>
        <w:t xml:space="preserve"> </w:t>
      </w:r>
      <w:r w:rsidRPr="004431FF">
        <w:rPr>
          <w:rFonts w:cs="Times New Roman"/>
          <w:szCs w:val="20"/>
          <w:u w:val="single"/>
        </w:rPr>
        <w:t>Opinião Consultiva</w:t>
      </w:r>
      <w:r>
        <w:rPr>
          <w:rFonts w:cs="Times New Roman"/>
          <w:szCs w:val="20"/>
          <w:u w:val="single"/>
        </w:rPr>
        <w:t>:</w:t>
      </w:r>
      <w:r w:rsidRPr="004431FF">
        <w:rPr>
          <w:rFonts w:cs="Times New Roman"/>
          <w:szCs w:val="20"/>
          <w:u w:val="single"/>
        </w:rPr>
        <w:t xml:space="preserve"> Garantias Judiciais em Estados de Emergência,</w:t>
      </w:r>
      <w:r w:rsidRPr="003716AA">
        <w:rPr>
          <w:rFonts w:cs="Times New Roman"/>
          <w:szCs w:val="20"/>
        </w:rPr>
        <w:t xml:space="preserve"> 1</w:t>
      </w:r>
      <w:r>
        <w:rPr>
          <w:rFonts w:cs="Times New Roman"/>
          <w:szCs w:val="20"/>
        </w:rPr>
        <w:t>98</w:t>
      </w:r>
      <w:r w:rsidRPr="003716AA">
        <w:rPr>
          <w:rFonts w:cs="Times New Roman"/>
          <w:szCs w:val="20"/>
        </w:rPr>
        <w:t>7, Série A, No. 9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"Opinião Consultiva: Garantias Judiciais em Estados de Emergência (arts. 27.2, 25 e 8º da CADH), 1987, Série A, No. 9"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 xml:space="preserve"> §23</w:t>
      </w:r>
      <w:r>
        <w:rPr>
          <w:rFonts w:cs="Times New Roman"/>
          <w:szCs w:val="20"/>
        </w:rPr>
        <w:t>.</w:t>
      </w:r>
    </w:p>
  </w:footnote>
  <w:footnote w:id="106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CtEDH, </w:t>
      </w:r>
      <w:r w:rsidRPr="003716AA">
        <w:rPr>
          <w:rFonts w:cs="Times New Roman"/>
          <w:szCs w:val="20"/>
          <w:u w:val="single"/>
        </w:rPr>
        <w:t>Caso Berkova Vs. Slovakia</w:t>
      </w:r>
      <w:r w:rsidRPr="003716AA">
        <w:rPr>
          <w:rFonts w:cs="Times New Roman"/>
          <w:szCs w:val="20"/>
        </w:rPr>
        <w:t xml:space="preserve">, 2009, No. </w:t>
      </w:r>
      <w:r>
        <w:t>67149</w:t>
      </w:r>
      <w:r>
        <w:fldChar w:fldCharType="begin"/>
      </w:r>
      <w:r>
        <w:instrText xml:space="preserve"> TA \l "</w:instrText>
      </w:r>
      <w:r w:rsidRPr="0024192F">
        <w:rPr>
          <w:rFonts w:cs="Times New Roman"/>
          <w:szCs w:val="20"/>
          <w:u w:val="single"/>
        </w:rPr>
        <w:instrText>Caso Berkova Vs. Slovakia</w:instrText>
      </w:r>
      <w:r w:rsidRPr="0024192F">
        <w:rPr>
          <w:rFonts w:cs="Times New Roman"/>
          <w:szCs w:val="20"/>
        </w:rPr>
        <w:instrText xml:space="preserve">, 2009, No. </w:instrText>
      </w:r>
      <w:r w:rsidRPr="0024192F">
        <w:instrText>67149</w:instrText>
      </w:r>
      <w:r>
        <w:instrText xml:space="preserve">" \s "Caso Berkova Vs. Slovakia, 2009, No. 67149" \c 3 </w:instrText>
      </w:r>
      <w:r>
        <w:fldChar w:fldCharType="end"/>
      </w:r>
      <w:r w:rsidRPr="003716AA">
        <w:rPr>
          <w:rFonts w:cs="Times New Roman"/>
          <w:szCs w:val="20"/>
        </w:rPr>
        <w:t>, §174</w:t>
      </w:r>
      <w:r>
        <w:rPr>
          <w:rFonts w:cs="Times New Roman"/>
          <w:szCs w:val="20"/>
        </w:rPr>
        <w:t>.</w:t>
      </w:r>
    </w:p>
  </w:footnote>
  <w:footnote w:id="107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Caso Mejíaldrovo Vs. Equador</w:t>
      </w:r>
      <w:r w:rsidRPr="003716AA">
        <w:rPr>
          <w:rFonts w:cs="Times New Roman"/>
          <w:szCs w:val="20"/>
        </w:rPr>
        <w:t>, 2011, Série C, No. 228</w:t>
      </w:r>
      <w:r>
        <w:rPr>
          <w:rFonts w:cs="Times New Roman"/>
          <w:szCs w:val="20"/>
        </w:rPr>
        <w:fldChar w:fldCharType="begin"/>
      </w:r>
      <w:r>
        <w:instrText xml:space="preserve"> TA \l "</w:instrText>
      </w:r>
      <w:r w:rsidRPr="007C0385">
        <w:rPr>
          <w:rFonts w:cs="Times New Roman"/>
          <w:szCs w:val="20"/>
          <w:u w:val="single"/>
        </w:rPr>
        <w:instrText>Caso Mejíaldrovo Vs. Equador</w:instrText>
      </w:r>
      <w:r w:rsidRPr="007C0385">
        <w:rPr>
          <w:rFonts w:cs="Times New Roman"/>
          <w:szCs w:val="20"/>
        </w:rPr>
        <w:instrText>, 2011, Série C, No. 228</w:instrText>
      </w:r>
      <w:r>
        <w:instrText xml:space="preserve">" \s "Caso Mejíaldrovo Vs. Equador, 2011, Série C, No. 228" \c 2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§94</w:t>
      </w:r>
      <w:r>
        <w:rPr>
          <w:rFonts w:cs="Times New Roman"/>
          <w:szCs w:val="20"/>
        </w:rPr>
        <w:t>.</w:t>
      </w:r>
    </w:p>
  </w:footnote>
  <w:footnote w:id="108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CtIDH, </w:t>
      </w:r>
      <w:r w:rsidRPr="003716AA">
        <w:rPr>
          <w:rFonts w:cs="Times New Roman"/>
          <w:u w:val="single"/>
        </w:rPr>
        <w:t>Caso Herrera Ulloa Vs. Costa Rica</w:t>
      </w:r>
      <w:r w:rsidRPr="003716AA">
        <w:rPr>
          <w:rFonts w:cs="Times New Roman"/>
        </w:rPr>
        <w:t>, 2004, Série C, No. 107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XE "CtIDH, </w:instrText>
      </w:r>
      <w:r w:rsidRPr="003716AA">
        <w:rPr>
          <w:rFonts w:cs="Times New Roman"/>
          <w:u w:val="single"/>
        </w:rPr>
        <w:instrText>Caso Herrera Ulloa Vs. Costa Rica</w:instrText>
      </w:r>
      <w:r w:rsidRPr="003716AA">
        <w:rPr>
          <w:rFonts w:cs="Times New Roman"/>
        </w:rPr>
        <w:instrText xml:space="preserve">, 2004, Série C, No. 107"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§</w:t>
      </w:r>
      <w:r w:rsidRPr="008D6EC6">
        <w:rPr>
          <w:rFonts w:cs="Times New Roman"/>
        </w:rPr>
        <w:t>165</w:t>
      </w:r>
      <w:r>
        <w:rPr>
          <w:rStyle w:val="apple-converted-space"/>
          <w:rFonts w:cs="Times New Roman"/>
          <w:color w:val="38939B"/>
        </w:rPr>
        <w:t>.</w:t>
      </w:r>
    </w:p>
  </w:footnote>
  <w:footnote w:id="109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CtIDH, </w:t>
      </w:r>
      <w:r w:rsidRPr="003716AA">
        <w:rPr>
          <w:rFonts w:cs="Times New Roman"/>
          <w:u w:val="single"/>
        </w:rPr>
        <w:t>Caso Caballero Delgado e Santana Vs. Colômbia</w:t>
      </w:r>
      <w:r w:rsidRPr="003716AA">
        <w:rPr>
          <w:rFonts w:cs="Times New Roman"/>
        </w:rPr>
        <w:t>, 1997, Série C, No 31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\l "</w:instrText>
      </w:r>
      <w:r w:rsidRPr="003716AA">
        <w:rPr>
          <w:rFonts w:cs="Times New Roman"/>
          <w:u w:val="single"/>
        </w:rPr>
        <w:instrText>Caso Caballero Delgado e Santana Vs. Colômbia</w:instrText>
      </w:r>
      <w:r w:rsidRPr="003716AA">
        <w:rPr>
          <w:rFonts w:cs="Times New Roman"/>
        </w:rPr>
        <w:instrText xml:space="preserve">, 1997, Série C, No 31" \s "Caso Caballero Delgado e Santana Vs. Colômbia, 1997, Série C, No 31" \c 2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§34.</w:t>
      </w:r>
    </w:p>
  </w:footnote>
  <w:footnote w:id="110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OEA, </w:t>
      </w:r>
      <w:r w:rsidRPr="003716AA">
        <w:rPr>
          <w:rFonts w:cs="Times New Roman"/>
          <w:u w:val="single"/>
        </w:rPr>
        <w:t>Convenção Americana sobre Direitos Humanos</w:t>
      </w:r>
      <w:r w:rsidRPr="003716AA">
        <w:rPr>
          <w:rFonts w:cs="Times New Roman"/>
        </w:rPr>
        <w:t xml:space="preserve"> (1969)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\s "Convenção Americana sobre Direitos Humanos (1969)"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art. 63.</w:t>
      </w:r>
    </w:p>
  </w:footnote>
  <w:footnote w:id="111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 xml:space="preserve">Medida Provisória Comunidade de </w:t>
      </w:r>
      <w:r>
        <w:rPr>
          <w:rFonts w:cs="Times New Roman"/>
          <w:szCs w:val="20"/>
          <w:u w:val="single"/>
        </w:rPr>
        <w:t>P</w:t>
      </w:r>
      <w:r w:rsidRPr="003716AA">
        <w:rPr>
          <w:rFonts w:cs="Times New Roman"/>
          <w:szCs w:val="20"/>
          <w:u w:val="single"/>
        </w:rPr>
        <w:t>az de San Jose de Apartadó</w:t>
      </w:r>
      <w:r w:rsidRPr="003716AA">
        <w:rPr>
          <w:rFonts w:cs="Times New Roman"/>
          <w:szCs w:val="20"/>
        </w:rPr>
        <w:t xml:space="preserve"> Vs. Colômbia, 2004</w:t>
      </w:r>
      <w:r>
        <w:rPr>
          <w:rFonts w:cs="Times New Roman"/>
          <w:szCs w:val="20"/>
        </w:rPr>
        <w:fldChar w:fldCharType="begin"/>
      </w:r>
      <w:r>
        <w:instrText xml:space="preserve"> TA \l "</w:instrText>
      </w:r>
      <w:r w:rsidRPr="00E95681">
        <w:rPr>
          <w:rFonts w:cs="Times New Roman"/>
          <w:szCs w:val="20"/>
          <w:u w:val="single"/>
        </w:rPr>
        <w:instrText>Medida Provisória Comunidade de Paz de San Jose de Apartadó</w:instrText>
      </w:r>
      <w:r w:rsidRPr="00E95681">
        <w:rPr>
          <w:rFonts w:cs="Times New Roman"/>
          <w:szCs w:val="20"/>
        </w:rPr>
        <w:instrText xml:space="preserve"> Vs. Colômbia, 2004</w:instrText>
      </w:r>
      <w:r>
        <w:instrText xml:space="preserve">" \s "Medida Provisória Comunidade de Paz de San Jose de Apartadó Vs. Colômbia, 2004" \c 2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§7</w:t>
      </w:r>
      <w:r>
        <w:rPr>
          <w:rFonts w:cs="Times New Roman"/>
          <w:szCs w:val="20"/>
        </w:rPr>
        <w:t xml:space="preserve">. </w:t>
      </w:r>
      <w:r w:rsidRPr="003716AA">
        <w:rPr>
          <w:rFonts w:cs="Times New Roman"/>
          <w:szCs w:val="20"/>
        </w:rPr>
        <w:t xml:space="preserve">CtIDH, </w:t>
      </w:r>
      <w:r w:rsidRPr="003716AA">
        <w:rPr>
          <w:rFonts w:cs="Times New Roman"/>
          <w:szCs w:val="20"/>
          <w:u w:val="single"/>
        </w:rPr>
        <w:t>Medida Provistória Jiguamiando e o Curbaradí Vs. Colômbia</w:t>
      </w:r>
      <w:r w:rsidRPr="003716AA">
        <w:rPr>
          <w:rFonts w:cs="Times New Roman"/>
          <w:szCs w:val="20"/>
        </w:rPr>
        <w:t>, 2003</w:t>
      </w:r>
      <w:r>
        <w:rPr>
          <w:rFonts w:cs="Times New Roman"/>
          <w:szCs w:val="20"/>
        </w:rPr>
        <w:fldChar w:fldCharType="begin"/>
      </w:r>
      <w:r>
        <w:instrText xml:space="preserve"> TA \l "</w:instrText>
      </w:r>
      <w:r w:rsidRPr="00E96777">
        <w:rPr>
          <w:rFonts w:cs="Times New Roman"/>
          <w:szCs w:val="20"/>
          <w:u w:val="single"/>
        </w:rPr>
        <w:instrText>Medida Provistória Jiguamiando e o Curbaradí Vs. Colômbia</w:instrText>
      </w:r>
      <w:r w:rsidRPr="00E96777">
        <w:rPr>
          <w:rFonts w:cs="Times New Roman"/>
          <w:szCs w:val="20"/>
        </w:rPr>
        <w:instrText>, 2003</w:instrText>
      </w:r>
      <w:r>
        <w:instrText xml:space="preserve">" \s "Medida Provistória Jiguamiando e o Curbaradí Vs. Colômbia, 2003" \c 2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§11</w:t>
      </w:r>
      <w:r>
        <w:rPr>
          <w:rFonts w:cs="Times New Roman"/>
          <w:szCs w:val="20"/>
        </w:rPr>
        <w:t>.</w:t>
      </w:r>
    </w:p>
  </w:footnote>
  <w:footnote w:id="112">
    <w:p w:rsidR="00E74DC9" w:rsidRPr="003716AA" w:rsidRDefault="00E74DC9" w:rsidP="003E3372">
      <w:pPr>
        <w:pStyle w:val="FootnoteText"/>
        <w:rPr>
          <w:rFonts w:cs="Times New Roman"/>
        </w:rPr>
      </w:pPr>
      <w:r w:rsidRPr="003716AA">
        <w:rPr>
          <w:rStyle w:val="FootnoteReference"/>
          <w:rFonts w:cs="Times New Roman"/>
        </w:rPr>
        <w:footnoteRef/>
      </w:r>
      <w:r w:rsidRPr="003716AA">
        <w:rPr>
          <w:rFonts w:cs="Times New Roman"/>
        </w:rPr>
        <w:t xml:space="preserve"> </w:t>
      </w:r>
      <w:r w:rsidRPr="003716AA">
        <w:rPr>
          <w:rFonts w:cs="Times New Roman"/>
          <w:u w:val="single"/>
        </w:rPr>
        <w:t>Regulamento da Corte Interamericana de Direitos Humanos</w:t>
      </w:r>
      <w:r w:rsidRPr="003716AA">
        <w:rPr>
          <w:rFonts w:cs="Times New Roman"/>
        </w:rPr>
        <w:t xml:space="preserve"> (2009)</w:t>
      </w:r>
      <w:r w:rsidRPr="003716AA">
        <w:rPr>
          <w:rFonts w:cs="Times New Roman"/>
        </w:rPr>
        <w:fldChar w:fldCharType="begin"/>
      </w:r>
      <w:r w:rsidRPr="003716AA">
        <w:rPr>
          <w:rFonts w:cs="Times New Roman"/>
        </w:rPr>
        <w:instrText xml:space="preserve"> TA \l "</w:instrText>
      </w:r>
      <w:r w:rsidRPr="003716AA">
        <w:rPr>
          <w:rFonts w:cs="Times New Roman"/>
          <w:u w:val="single"/>
        </w:rPr>
        <w:instrText>Regulamento da Corte Interamericana de Direitos Humanos</w:instrText>
      </w:r>
      <w:r w:rsidRPr="003716AA">
        <w:rPr>
          <w:rFonts w:cs="Times New Roman"/>
        </w:rPr>
        <w:instrText xml:space="preserve"> (2009)" \s "Regulamento da Corte Interamericana de Direitos Humanos (2009)" \c 8 </w:instrText>
      </w:r>
      <w:r w:rsidRPr="003716AA">
        <w:rPr>
          <w:rFonts w:cs="Times New Roman"/>
        </w:rPr>
        <w:fldChar w:fldCharType="end"/>
      </w:r>
      <w:r w:rsidRPr="003716AA">
        <w:rPr>
          <w:rFonts w:cs="Times New Roman"/>
        </w:rPr>
        <w:t>, art. 27.1.</w:t>
      </w:r>
    </w:p>
  </w:footnote>
  <w:footnote w:id="113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CtIDH, </w:t>
      </w:r>
      <w:r w:rsidRPr="003716AA">
        <w:rPr>
          <w:rFonts w:cs="Times New Roman"/>
          <w:szCs w:val="20"/>
          <w:u w:val="single"/>
        </w:rPr>
        <w:t>Medida Provisória Belfort Istúriz Vs. Venezuela</w:t>
      </w:r>
      <w:r w:rsidRPr="003716AA">
        <w:rPr>
          <w:rFonts w:cs="Times New Roman"/>
          <w:szCs w:val="20"/>
        </w:rPr>
        <w:t>, 2010</w:t>
      </w:r>
      <w:r>
        <w:rPr>
          <w:rFonts w:cs="Times New Roman"/>
          <w:szCs w:val="20"/>
        </w:rPr>
        <w:fldChar w:fldCharType="begin"/>
      </w:r>
      <w:r>
        <w:instrText xml:space="preserve"> TA \l "</w:instrText>
      </w:r>
      <w:r w:rsidRPr="00F00A37">
        <w:rPr>
          <w:rFonts w:cs="Times New Roman"/>
          <w:szCs w:val="20"/>
          <w:u w:val="single"/>
        </w:rPr>
        <w:instrText>Medida Provisória Belfort Istúriz Vs. Venezuela</w:instrText>
      </w:r>
      <w:r w:rsidRPr="00F00A37">
        <w:rPr>
          <w:rFonts w:cs="Times New Roman"/>
          <w:szCs w:val="20"/>
        </w:rPr>
        <w:instrText>, 2010</w:instrText>
      </w:r>
      <w:r>
        <w:instrText xml:space="preserve">" \s "Medida Provisória Belfort Istúriz Vs. Venezuela, 2010" \c 2 </w:instrText>
      </w:r>
      <w:r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§9</w:t>
      </w:r>
      <w:r>
        <w:rPr>
          <w:rFonts w:cs="Times New Roman"/>
          <w:szCs w:val="20"/>
        </w:rPr>
        <w:t>.</w:t>
      </w:r>
    </w:p>
  </w:footnote>
  <w:footnote w:id="114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8D6EC6">
        <w:rPr>
          <w:rStyle w:val="FootnoteReference"/>
          <w:rFonts w:cs="Times New Roman"/>
          <w:szCs w:val="20"/>
        </w:rPr>
        <w:footnoteRef/>
      </w:r>
      <w:r w:rsidRPr="008D6EC6">
        <w:rPr>
          <w:rFonts w:cs="Times New Roman"/>
          <w:szCs w:val="20"/>
        </w:rPr>
        <w:t xml:space="preserve"> CtIDH, </w:t>
      </w:r>
      <w:r w:rsidRPr="008D6EC6">
        <w:rPr>
          <w:rFonts w:cs="Times New Roman"/>
          <w:szCs w:val="20"/>
          <w:u w:val="single"/>
        </w:rPr>
        <w:t>Medida Provisória Quatro Comunidades Indígenas Ngobe Vs. Panamá</w:t>
      </w:r>
      <w:r w:rsidRPr="008D6EC6">
        <w:rPr>
          <w:rFonts w:cs="Times New Roman"/>
          <w:szCs w:val="20"/>
        </w:rPr>
        <w:t>, 2010</w:t>
      </w:r>
      <w:r w:rsidRPr="008D6EC6">
        <w:rPr>
          <w:rFonts w:cs="Times New Roman"/>
          <w:szCs w:val="20"/>
        </w:rPr>
        <w:fldChar w:fldCharType="begin"/>
      </w:r>
      <w:r w:rsidRPr="008D6EC6">
        <w:rPr>
          <w:rFonts w:cs="Times New Roman"/>
          <w:szCs w:val="20"/>
        </w:rPr>
        <w:instrText xml:space="preserve"> TA \s "Medida Provisória Quatro Comunidades Indígenas Ngobe Vs. Panamá, 2010" </w:instrText>
      </w:r>
      <w:r w:rsidRPr="008D6EC6">
        <w:rPr>
          <w:rFonts w:cs="Times New Roman"/>
          <w:szCs w:val="20"/>
        </w:rPr>
        <w:fldChar w:fldCharType="end"/>
      </w:r>
      <w:r w:rsidRPr="008D6EC6">
        <w:rPr>
          <w:rFonts w:cs="Times New Roman"/>
          <w:szCs w:val="20"/>
        </w:rPr>
        <w:t>, §</w:t>
      </w:r>
      <w:r w:rsidR="00896D37">
        <w:rPr>
          <w:rFonts w:cs="Times New Roman"/>
          <w:szCs w:val="20"/>
        </w:rPr>
        <w:t>§8-</w:t>
      </w:r>
      <w:r w:rsidRPr="00896D37">
        <w:rPr>
          <w:rFonts w:cs="Times New Roman"/>
          <w:szCs w:val="20"/>
        </w:rPr>
        <w:t>10.</w:t>
      </w:r>
    </w:p>
  </w:footnote>
  <w:footnote w:id="115">
    <w:p w:rsidR="00E74DC9" w:rsidRPr="008D6EC6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8D6EC6">
        <w:rPr>
          <w:rStyle w:val="FootnoteReference"/>
          <w:rFonts w:cs="Times New Roman"/>
          <w:szCs w:val="20"/>
        </w:rPr>
        <w:footnoteRef/>
      </w:r>
      <w:r w:rsidRPr="008D6EC6">
        <w:rPr>
          <w:rFonts w:cs="Times New Roman"/>
          <w:szCs w:val="20"/>
        </w:rPr>
        <w:t xml:space="preserve"> CtIDH, </w:t>
      </w:r>
      <w:r w:rsidRPr="008D6EC6">
        <w:rPr>
          <w:rFonts w:cs="Times New Roman"/>
          <w:szCs w:val="20"/>
          <w:u w:val="single"/>
        </w:rPr>
        <w:t>Medida Provistória Jiguamiando e o Curbaradí Vs. Colômbia</w:t>
      </w:r>
      <w:r w:rsidRPr="008D6EC6">
        <w:rPr>
          <w:rFonts w:cs="Times New Roman"/>
          <w:szCs w:val="20"/>
        </w:rPr>
        <w:t>, 2003</w:t>
      </w:r>
      <w:r>
        <w:rPr>
          <w:rFonts w:cs="Times New Roman"/>
          <w:szCs w:val="20"/>
        </w:rPr>
        <w:fldChar w:fldCharType="begin"/>
      </w:r>
      <w:r>
        <w:rPr>
          <w:rFonts w:cs="Times New Roman"/>
          <w:szCs w:val="20"/>
        </w:rPr>
        <w:instrText xml:space="preserve"> TA \s "Medida Provistória Jiguamiando e o Curbaradí Vs. Colômbia, 2003" </w:instrText>
      </w:r>
      <w:r>
        <w:rPr>
          <w:rFonts w:cs="Times New Roman"/>
          <w:szCs w:val="20"/>
        </w:rPr>
        <w:fldChar w:fldCharType="end"/>
      </w:r>
      <w:r w:rsidRPr="008D6EC6">
        <w:rPr>
          <w:rFonts w:cs="Times New Roman"/>
          <w:szCs w:val="20"/>
        </w:rPr>
        <w:t>, §11.</w:t>
      </w:r>
    </w:p>
  </w:footnote>
  <w:footnote w:id="116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8D6EC6">
        <w:rPr>
          <w:rStyle w:val="FootnoteReference"/>
          <w:rFonts w:cs="Times New Roman"/>
          <w:szCs w:val="20"/>
        </w:rPr>
        <w:footnoteRef/>
      </w:r>
      <w:r w:rsidRPr="008D6EC6">
        <w:rPr>
          <w:rFonts w:cs="Times New Roman"/>
          <w:szCs w:val="20"/>
        </w:rPr>
        <w:t xml:space="preserve"> CtIDH, </w:t>
      </w:r>
      <w:r w:rsidRPr="008D6EC6">
        <w:rPr>
          <w:rFonts w:cs="Times New Roman"/>
          <w:szCs w:val="20"/>
          <w:u w:val="single"/>
        </w:rPr>
        <w:t>Medida Provisória Reggiardo Tolosa Vs. Argentina</w:t>
      </w:r>
      <w:r w:rsidRPr="003716AA">
        <w:rPr>
          <w:rFonts w:cs="Times New Roman"/>
          <w:szCs w:val="20"/>
        </w:rPr>
        <w:t>, 1993</w:t>
      </w:r>
      <w:r>
        <w:rPr>
          <w:rFonts w:cs="Times New Roman"/>
          <w:szCs w:val="20"/>
        </w:rPr>
        <w:fldChar w:fldCharType="begin"/>
      </w:r>
      <w:r>
        <w:instrText xml:space="preserve"> TA \l "</w:instrText>
      </w:r>
      <w:r w:rsidRPr="00EF0833">
        <w:rPr>
          <w:rFonts w:cs="Times New Roman"/>
          <w:szCs w:val="20"/>
          <w:u w:val="single"/>
        </w:rPr>
        <w:instrText>Medida Provisória Reggiardo Tolosa Vs. Argentina</w:instrText>
      </w:r>
      <w:r w:rsidRPr="00EF0833">
        <w:rPr>
          <w:rFonts w:cs="Times New Roman"/>
          <w:szCs w:val="20"/>
        </w:rPr>
        <w:instrText>, 1993</w:instrText>
      </w:r>
      <w:r>
        <w:instrText xml:space="preserve">" \s "Medida Provisória Reggiardo Tolosa Vs. Argentina, 1993" \c 2 </w:instrText>
      </w:r>
      <w:r>
        <w:rPr>
          <w:rFonts w:cs="Times New Roman"/>
          <w:szCs w:val="20"/>
        </w:rPr>
        <w:fldChar w:fldCharType="end"/>
      </w:r>
      <w:r>
        <w:rPr>
          <w:rFonts w:cs="Times New Roman"/>
          <w:szCs w:val="20"/>
        </w:rPr>
        <w:t>.</w:t>
      </w:r>
    </w:p>
  </w:footnote>
  <w:footnote w:id="117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8D6EC6">
        <w:rPr>
          <w:rStyle w:val="FootnoteReference"/>
          <w:rFonts w:cs="Times New Roman"/>
          <w:szCs w:val="20"/>
        </w:rPr>
        <w:footnoteRef/>
      </w:r>
      <w:r w:rsidRPr="008D6EC6">
        <w:rPr>
          <w:rFonts w:cs="Times New Roman"/>
          <w:szCs w:val="20"/>
        </w:rPr>
        <w:t xml:space="preserve"> CtIDH, </w:t>
      </w:r>
      <w:r w:rsidRPr="008D6EC6">
        <w:rPr>
          <w:rFonts w:cs="Times New Roman"/>
          <w:szCs w:val="20"/>
          <w:u w:val="single"/>
        </w:rPr>
        <w:t>Medida Provisória Alejandro Ponce Villacís e Alejando Pronce Martínez Vs. Equador</w:t>
      </w:r>
      <w:r w:rsidRPr="003716AA">
        <w:rPr>
          <w:rFonts w:cs="Times New Roman"/>
          <w:szCs w:val="20"/>
        </w:rPr>
        <w:t>, 2011</w:t>
      </w:r>
      <w:r>
        <w:rPr>
          <w:rFonts w:cs="Times New Roman"/>
          <w:szCs w:val="20"/>
        </w:rPr>
        <w:fldChar w:fldCharType="begin"/>
      </w:r>
      <w:r>
        <w:instrText xml:space="preserve"> TA \l "</w:instrText>
      </w:r>
      <w:r w:rsidRPr="0007185A">
        <w:rPr>
          <w:rFonts w:cs="Times New Roman"/>
          <w:szCs w:val="20"/>
          <w:u w:val="single"/>
        </w:rPr>
        <w:instrText>Medida Provisória Alejandro Ponce Villacís e Alejando Pronce Martínez Vs. Equador</w:instrText>
      </w:r>
      <w:r w:rsidRPr="0007185A">
        <w:rPr>
          <w:rFonts w:cs="Times New Roman"/>
          <w:szCs w:val="20"/>
        </w:rPr>
        <w:instrText>, 2011</w:instrText>
      </w:r>
      <w:r>
        <w:instrText xml:space="preserve">" \s "Medida Provisória Alejandro Ponce Villacís e Alejando Pronce Martínez Vs. Equador, 2011" \c 2 </w:instrText>
      </w:r>
      <w:r>
        <w:rPr>
          <w:rFonts w:cs="Times New Roman"/>
          <w:szCs w:val="20"/>
        </w:rPr>
        <w:fldChar w:fldCharType="end"/>
      </w:r>
      <w:r>
        <w:rPr>
          <w:rFonts w:cs="Times New Roman"/>
          <w:szCs w:val="20"/>
        </w:rPr>
        <w:t>,</w:t>
      </w:r>
      <w:r w:rsidRPr="003716AA">
        <w:rPr>
          <w:rFonts w:cs="Times New Roman"/>
          <w:szCs w:val="20"/>
        </w:rPr>
        <w:t xml:space="preserve"> §</w:t>
      </w:r>
      <w:r>
        <w:rPr>
          <w:rFonts w:cs="Times New Roman"/>
          <w:szCs w:val="20"/>
        </w:rPr>
        <w:t>§</w:t>
      </w:r>
      <w:r w:rsidRPr="003716AA">
        <w:rPr>
          <w:rFonts w:cs="Times New Roman"/>
          <w:szCs w:val="20"/>
        </w:rPr>
        <w:t>3 e 10</w:t>
      </w:r>
      <w:r>
        <w:rPr>
          <w:rFonts w:cs="Times New Roman"/>
          <w:szCs w:val="20"/>
        </w:rPr>
        <w:t>.</w:t>
      </w:r>
    </w:p>
  </w:footnote>
  <w:footnote w:id="118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</w:t>
      </w:r>
      <w:r w:rsidRPr="00734E9A">
        <w:rPr>
          <w:rFonts w:cs="Times New Roman"/>
          <w:szCs w:val="20"/>
          <w:u w:val="single"/>
        </w:rPr>
        <w:t>Regulamento da Comissão Interamericana de Direitos Humanos</w:t>
      </w:r>
      <w:r w:rsidRPr="003716AA">
        <w:rPr>
          <w:rFonts w:cs="Times New Roman"/>
          <w:szCs w:val="20"/>
        </w:rPr>
        <w:t xml:space="preserve"> (2013)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"Regulamento da Comissão Interamericana de Direitos Humanos (2013)"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art. 25.12</w:t>
      </w:r>
      <w:r>
        <w:rPr>
          <w:rFonts w:cs="Times New Roman"/>
          <w:szCs w:val="20"/>
        </w:rPr>
        <w:t>.</w:t>
      </w:r>
    </w:p>
  </w:footnote>
  <w:footnote w:id="119">
    <w:p w:rsidR="00E74DC9" w:rsidRPr="003716AA" w:rsidRDefault="00E74DC9" w:rsidP="003E3372">
      <w:pPr>
        <w:pStyle w:val="ListParagraph"/>
        <w:jc w:val="both"/>
        <w:rPr>
          <w:rFonts w:cs="Times New Roman"/>
          <w:szCs w:val="20"/>
        </w:rPr>
      </w:pPr>
      <w:r w:rsidRPr="003716AA">
        <w:rPr>
          <w:rStyle w:val="FootnoteReference"/>
          <w:rFonts w:cs="Times New Roman"/>
          <w:szCs w:val="20"/>
        </w:rPr>
        <w:footnoteRef/>
      </w:r>
      <w:r w:rsidRPr="003716AA">
        <w:rPr>
          <w:rFonts w:cs="Times New Roman"/>
          <w:szCs w:val="20"/>
        </w:rPr>
        <w:t xml:space="preserve"> </w:t>
      </w:r>
      <w:r w:rsidRPr="003716AA">
        <w:rPr>
          <w:rFonts w:cs="Times New Roman"/>
          <w:szCs w:val="20"/>
          <w:u w:val="single"/>
        </w:rPr>
        <w:t>Regulamento da Corte Interamericana de Direitos Humanos</w:t>
      </w:r>
      <w:r w:rsidRPr="003716AA">
        <w:rPr>
          <w:rFonts w:cs="Times New Roman"/>
          <w:szCs w:val="20"/>
        </w:rPr>
        <w:t xml:space="preserve"> (2009)</w:t>
      </w:r>
      <w:r w:rsidRPr="003716AA">
        <w:rPr>
          <w:rFonts w:cs="Times New Roman"/>
          <w:szCs w:val="20"/>
        </w:rPr>
        <w:fldChar w:fldCharType="begin"/>
      </w:r>
      <w:r w:rsidRPr="003716AA">
        <w:rPr>
          <w:rFonts w:cs="Times New Roman"/>
          <w:szCs w:val="20"/>
        </w:rPr>
        <w:instrText xml:space="preserve"> TA \s "Regulamento da Corte Interamericana de Direitos Humanos (2009)" </w:instrText>
      </w:r>
      <w:r w:rsidRPr="003716AA">
        <w:rPr>
          <w:rFonts w:cs="Times New Roman"/>
          <w:szCs w:val="20"/>
        </w:rPr>
        <w:fldChar w:fldCharType="end"/>
      </w:r>
      <w:r w:rsidRPr="003716AA">
        <w:rPr>
          <w:rFonts w:cs="Times New Roman"/>
          <w:szCs w:val="20"/>
        </w:rPr>
        <w:t>, art. 27.2.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190" w:rsidRDefault="00E74DC9">
    <w:pPr>
      <w:pStyle w:val="Header"/>
    </w:pPr>
    <w:r>
      <w:ptab w:relativeTo="margin" w:alignment="right" w:leader="none"/>
    </w:r>
  </w:p>
  <w:p w:rsidR="00E74DC9" w:rsidRDefault="00E74DC9" w:rsidP="00F45190">
    <w:pPr>
      <w:pStyle w:val="Header"/>
      <w:jc w:val="right"/>
    </w:pPr>
    <w:r>
      <w:t>Equipe 271</w:t>
    </w:r>
  </w:p>
  <w:p w:rsidR="00E74DC9" w:rsidRDefault="00E74D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942F0"/>
    <w:multiLevelType w:val="multilevel"/>
    <w:tmpl w:val="63B23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9A1A4F"/>
    <w:multiLevelType w:val="multilevel"/>
    <w:tmpl w:val="63B23C9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62411E9E"/>
    <w:multiLevelType w:val="hybridMultilevel"/>
    <w:tmpl w:val="A834440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E0"/>
    <w:rsid w:val="00007657"/>
    <w:rsid w:val="000159B2"/>
    <w:rsid w:val="00044E63"/>
    <w:rsid w:val="000464D0"/>
    <w:rsid w:val="00053E33"/>
    <w:rsid w:val="00056F8A"/>
    <w:rsid w:val="00080EBE"/>
    <w:rsid w:val="000840CA"/>
    <w:rsid w:val="00086677"/>
    <w:rsid w:val="000B4C93"/>
    <w:rsid w:val="000C0DB5"/>
    <w:rsid w:val="000C5EBD"/>
    <w:rsid w:val="000C6751"/>
    <w:rsid w:val="000E28C3"/>
    <w:rsid w:val="001048A4"/>
    <w:rsid w:val="00105C36"/>
    <w:rsid w:val="00106B01"/>
    <w:rsid w:val="0011024F"/>
    <w:rsid w:val="00113378"/>
    <w:rsid w:val="00113E0D"/>
    <w:rsid w:val="00114938"/>
    <w:rsid w:val="001163BF"/>
    <w:rsid w:val="001263FF"/>
    <w:rsid w:val="00135A81"/>
    <w:rsid w:val="00141167"/>
    <w:rsid w:val="001412C0"/>
    <w:rsid w:val="001574D1"/>
    <w:rsid w:val="00162B00"/>
    <w:rsid w:val="00173621"/>
    <w:rsid w:val="00177C4F"/>
    <w:rsid w:val="00186DE4"/>
    <w:rsid w:val="001A045F"/>
    <w:rsid w:val="001A0C27"/>
    <w:rsid w:val="001B1596"/>
    <w:rsid w:val="001E25AB"/>
    <w:rsid w:val="001F783A"/>
    <w:rsid w:val="00213B56"/>
    <w:rsid w:val="00225276"/>
    <w:rsid w:val="00230195"/>
    <w:rsid w:val="002355DB"/>
    <w:rsid w:val="0024563E"/>
    <w:rsid w:val="00246061"/>
    <w:rsid w:val="0025637E"/>
    <w:rsid w:val="00256C3D"/>
    <w:rsid w:val="002739B5"/>
    <w:rsid w:val="00281010"/>
    <w:rsid w:val="00282F97"/>
    <w:rsid w:val="002836FA"/>
    <w:rsid w:val="00294016"/>
    <w:rsid w:val="002A5DA8"/>
    <w:rsid w:val="002C45B2"/>
    <w:rsid w:val="002C7361"/>
    <w:rsid w:val="002D4AC3"/>
    <w:rsid w:val="00311864"/>
    <w:rsid w:val="0031481D"/>
    <w:rsid w:val="003224FB"/>
    <w:rsid w:val="00345E9F"/>
    <w:rsid w:val="003716AA"/>
    <w:rsid w:val="00371D3C"/>
    <w:rsid w:val="00384CB9"/>
    <w:rsid w:val="003B0C91"/>
    <w:rsid w:val="003B2684"/>
    <w:rsid w:val="003C17B3"/>
    <w:rsid w:val="003D1CCD"/>
    <w:rsid w:val="003E3372"/>
    <w:rsid w:val="00412222"/>
    <w:rsid w:val="0042219D"/>
    <w:rsid w:val="004267FC"/>
    <w:rsid w:val="0043117C"/>
    <w:rsid w:val="004431FF"/>
    <w:rsid w:val="00446C9D"/>
    <w:rsid w:val="00455EF0"/>
    <w:rsid w:val="00460D72"/>
    <w:rsid w:val="00463ACA"/>
    <w:rsid w:val="00464DA5"/>
    <w:rsid w:val="0047105B"/>
    <w:rsid w:val="00473128"/>
    <w:rsid w:val="004831A6"/>
    <w:rsid w:val="004863E5"/>
    <w:rsid w:val="004907D6"/>
    <w:rsid w:val="004A3755"/>
    <w:rsid w:val="004B52E7"/>
    <w:rsid w:val="004B61B1"/>
    <w:rsid w:val="004C2AF3"/>
    <w:rsid w:val="004F671B"/>
    <w:rsid w:val="004F695B"/>
    <w:rsid w:val="004F702A"/>
    <w:rsid w:val="00501FAB"/>
    <w:rsid w:val="005076B2"/>
    <w:rsid w:val="00512EE9"/>
    <w:rsid w:val="00517718"/>
    <w:rsid w:val="00545138"/>
    <w:rsid w:val="00553422"/>
    <w:rsid w:val="00567611"/>
    <w:rsid w:val="00582424"/>
    <w:rsid w:val="005910EE"/>
    <w:rsid w:val="005A2F96"/>
    <w:rsid w:val="005A7D9D"/>
    <w:rsid w:val="005D284C"/>
    <w:rsid w:val="005D7B0D"/>
    <w:rsid w:val="00612578"/>
    <w:rsid w:val="00624132"/>
    <w:rsid w:val="00635862"/>
    <w:rsid w:val="00651F0D"/>
    <w:rsid w:val="00656E8C"/>
    <w:rsid w:val="0066106C"/>
    <w:rsid w:val="00684701"/>
    <w:rsid w:val="00690751"/>
    <w:rsid w:val="006A32E8"/>
    <w:rsid w:val="006A4ED5"/>
    <w:rsid w:val="006A56C0"/>
    <w:rsid w:val="006A576E"/>
    <w:rsid w:val="006B435F"/>
    <w:rsid w:val="006B629F"/>
    <w:rsid w:val="006D2B01"/>
    <w:rsid w:val="00701ACB"/>
    <w:rsid w:val="00716670"/>
    <w:rsid w:val="0072125E"/>
    <w:rsid w:val="00732DC5"/>
    <w:rsid w:val="00734E9A"/>
    <w:rsid w:val="007374CB"/>
    <w:rsid w:val="00741D6C"/>
    <w:rsid w:val="00741DB7"/>
    <w:rsid w:val="00744CA4"/>
    <w:rsid w:val="0075476C"/>
    <w:rsid w:val="00756C01"/>
    <w:rsid w:val="00774815"/>
    <w:rsid w:val="00777AE2"/>
    <w:rsid w:val="00780BEA"/>
    <w:rsid w:val="00790B72"/>
    <w:rsid w:val="007A3317"/>
    <w:rsid w:val="007B74BC"/>
    <w:rsid w:val="007E5326"/>
    <w:rsid w:val="007E79D9"/>
    <w:rsid w:val="007F5CE9"/>
    <w:rsid w:val="00810A89"/>
    <w:rsid w:val="008112F0"/>
    <w:rsid w:val="00811CD6"/>
    <w:rsid w:val="00813BC5"/>
    <w:rsid w:val="008140ED"/>
    <w:rsid w:val="00823424"/>
    <w:rsid w:val="008367E0"/>
    <w:rsid w:val="008453DF"/>
    <w:rsid w:val="008463AA"/>
    <w:rsid w:val="008467CA"/>
    <w:rsid w:val="0084707C"/>
    <w:rsid w:val="00852A31"/>
    <w:rsid w:val="00860869"/>
    <w:rsid w:val="008632AC"/>
    <w:rsid w:val="00866DEC"/>
    <w:rsid w:val="008807AF"/>
    <w:rsid w:val="00896D37"/>
    <w:rsid w:val="0089765F"/>
    <w:rsid w:val="008B3964"/>
    <w:rsid w:val="008C0732"/>
    <w:rsid w:val="008C117B"/>
    <w:rsid w:val="008D0381"/>
    <w:rsid w:val="008D6EC6"/>
    <w:rsid w:val="008F12CD"/>
    <w:rsid w:val="008F2AE7"/>
    <w:rsid w:val="008F50AC"/>
    <w:rsid w:val="00903279"/>
    <w:rsid w:val="0090330B"/>
    <w:rsid w:val="00906054"/>
    <w:rsid w:val="0091008C"/>
    <w:rsid w:val="0091125E"/>
    <w:rsid w:val="0095589B"/>
    <w:rsid w:val="00975FE9"/>
    <w:rsid w:val="00992331"/>
    <w:rsid w:val="009A43BC"/>
    <w:rsid w:val="009C4A6A"/>
    <w:rsid w:val="009C7FB6"/>
    <w:rsid w:val="009D2E06"/>
    <w:rsid w:val="009E49F0"/>
    <w:rsid w:val="009E741B"/>
    <w:rsid w:val="00A21CBD"/>
    <w:rsid w:val="00A378AD"/>
    <w:rsid w:val="00A40096"/>
    <w:rsid w:val="00A54E40"/>
    <w:rsid w:val="00A6712D"/>
    <w:rsid w:val="00A85A4B"/>
    <w:rsid w:val="00AC22D6"/>
    <w:rsid w:val="00AD1B5C"/>
    <w:rsid w:val="00AD4362"/>
    <w:rsid w:val="00AD439D"/>
    <w:rsid w:val="00B23F36"/>
    <w:rsid w:val="00B6290A"/>
    <w:rsid w:val="00B8257A"/>
    <w:rsid w:val="00B879AE"/>
    <w:rsid w:val="00B93BD4"/>
    <w:rsid w:val="00B97993"/>
    <w:rsid w:val="00BA1438"/>
    <w:rsid w:val="00BA387E"/>
    <w:rsid w:val="00BA62BA"/>
    <w:rsid w:val="00BB14D9"/>
    <w:rsid w:val="00BD272E"/>
    <w:rsid w:val="00C02C28"/>
    <w:rsid w:val="00C30F40"/>
    <w:rsid w:val="00C31954"/>
    <w:rsid w:val="00C34995"/>
    <w:rsid w:val="00C658D5"/>
    <w:rsid w:val="00C776B0"/>
    <w:rsid w:val="00CA1543"/>
    <w:rsid w:val="00CB0580"/>
    <w:rsid w:val="00CB65EA"/>
    <w:rsid w:val="00CC5222"/>
    <w:rsid w:val="00CE31D3"/>
    <w:rsid w:val="00D009D4"/>
    <w:rsid w:val="00D01B41"/>
    <w:rsid w:val="00D053DE"/>
    <w:rsid w:val="00D133C0"/>
    <w:rsid w:val="00D50C6A"/>
    <w:rsid w:val="00D663BE"/>
    <w:rsid w:val="00D66957"/>
    <w:rsid w:val="00D74E07"/>
    <w:rsid w:val="00DA6E04"/>
    <w:rsid w:val="00DB2F86"/>
    <w:rsid w:val="00DC19A5"/>
    <w:rsid w:val="00DC35FF"/>
    <w:rsid w:val="00DD309F"/>
    <w:rsid w:val="00DE0E36"/>
    <w:rsid w:val="00DE13F6"/>
    <w:rsid w:val="00E1230B"/>
    <w:rsid w:val="00E24F58"/>
    <w:rsid w:val="00E30385"/>
    <w:rsid w:val="00E33C11"/>
    <w:rsid w:val="00E6141F"/>
    <w:rsid w:val="00E65B2C"/>
    <w:rsid w:val="00E66202"/>
    <w:rsid w:val="00E74DC9"/>
    <w:rsid w:val="00E91DF5"/>
    <w:rsid w:val="00EA3548"/>
    <w:rsid w:val="00EA63D7"/>
    <w:rsid w:val="00ED1DA0"/>
    <w:rsid w:val="00ED2651"/>
    <w:rsid w:val="00EF190C"/>
    <w:rsid w:val="00F200CE"/>
    <w:rsid w:val="00F21AD3"/>
    <w:rsid w:val="00F22535"/>
    <w:rsid w:val="00F229CF"/>
    <w:rsid w:val="00F37691"/>
    <w:rsid w:val="00F421FB"/>
    <w:rsid w:val="00F45190"/>
    <w:rsid w:val="00F53674"/>
    <w:rsid w:val="00F7659E"/>
    <w:rsid w:val="00F76E30"/>
    <w:rsid w:val="00F8750D"/>
    <w:rsid w:val="00F87528"/>
    <w:rsid w:val="00FB317F"/>
    <w:rsid w:val="00FD1668"/>
    <w:rsid w:val="00FD4AE8"/>
    <w:rsid w:val="00F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53F07CD-2B83-4F7B-8C55-87C0B0DD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BD4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7E0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367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7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7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7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7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7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7E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7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7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7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7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7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7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67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8367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67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8367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67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8367E0"/>
    <w:rPr>
      <w:b/>
      <w:bCs/>
    </w:rPr>
  </w:style>
  <w:style w:type="character" w:styleId="Emphasis">
    <w:name w:val="Emphasis"/>
    <w:basedOn w:val="DefaultParagraphFont"/>
    <w:uiPriority w:val="20"/>
    <w:rsid w:val="008367E0"/>
    <w:rPr>
      <w:i/>
      <w:iCs/>
    </w:rPr>
  </w:style>
  <w:style w:type="paragraph" w:styleId="NoSpacing">
    <w:name w:val="No Spacing"/>
    <w:link w:val="NoSpacingChar"/>
    <w:uiPriority w:val="1"/>
    <w:qFormat/>
    <w:rsid w:val="008367E0"/>
    <w:pPr>
      <w:spacing w:after="0" w:line="240" w:lineRule="auto"/>
    </w:pPr>
  </w:style>
  <w:style w:type="paragraph" w:styleId="ListParagraph">
    <w:name w:val="List Paragraph"/>
    <w:aliases w:val="Rodapé Le"/>
    <w:basedOn w:val="Normal"/>
    <w:uiPriority w:val="34"/>
    <w:qFormat/>
    <w:rsid w:val="0075476C"/>
    <w:pPr>
      <w:spacing w:line="240" w:lineRule="auto"/>
      <w:contextualSpacing/>
      <w:jc w:val="left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367E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367E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8367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7E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8367E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367E0"/>
    <w:rPr>
      <w:b/>
      <w:bCs/>
      <w:i/>
      <w:iCs/>
      <w:color w:val="4F81BD" w:themeColor="accent1"/>
    </w:rPr>
  </w:style>
  <w:style w:type="character" w:styleId="SubtleReference">
    <w:name w:val="Subtle Reference"/>
    <w:aliases w:val="Título Maior"/>
    <w:basedOn w:val="DefaultParagraphFont"/>
    <w:uiPriority w:val="31"/>
    <w:qFormat/>
    <w:rsid w:val="008367E0"/>
    <w:rPr>
      <w:rFonts w:ascii="Times New Roman" w:hAnsi="Times New Roman"/>
      <w:b/>
      <w:smallCaps/>
      <w:color w:val="auto"/>
      <w:sz w:val="24"/>
      <w:u w:val="none"/>
    </w:rPr>
  </w:style>
  <w:style w:type="character" w:styleId="IntenseReference">
    <w:name w:val="Intense Reference"/>
    <w:basedOn w:val="DefaultParagraphFont"/>
    <w:uiPriority w:val="32"/>
    <w:rsid w:val="008367E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367E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67E0"/>
    <w:pPr>
      <w:outlineLvl w:val="9"/>
    </w:pPr>
  </w:style>
  <w:style w:type="paragraph" w:customStyle="1" w:styleId="LWCL">
    <w:name w:val="Lê WCL"/>
    <w:basedOn w:val="Normal"/>
    <w:link w:val="LWCLChar"/>
    <w:rsid w:val="008367E0"/>
  </w:style>
  <w:style w:type="paragraph" w:customStyle="1" w:styleId="Le">
    <w:name w:val="Le"/>
    <w:basedOn w:val="LWCL"/>
    <w:link w:val="LeChar"/>
    <w:rsid w:val="008367E0"/>
  </w:style>
  <w:style w:type="character" w:customStyle="1" w:styleId="LWCLChar">
    <w:name w:val="Lê WCL Char"/>
    <w:basedOn w:val="DefaultParagraphFont"/>
    <w:link w:val="LWCL"/>
    <w:rsid w:val="008367E0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5476C"/>
    <w:pPr>
      <w:tabs>
        <w:tab w:val="left" w:pos="480"/>
        <w:tab w:val="right" w:leader="dot" w:pos="9352"/>
      </w:tabs>
      <w:spacing w:after="100" w:line="240" w:lineRule="auto"/>
    </w:pPr>
  </w:style>
  <w:style w:type="character" w:customStyle="1" w:styleId="LeChar">
    <w:name w:val="Le Char"/>
    <w:basedOn w:val="LWCLChar"/>
    <w:link w:val="Le"/>
    <w:rsid w:val="008367E0"/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E28C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E28C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E2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28C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8C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E28C3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8C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C3"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reference,FA Fu,Footnote Text Char Char Char Char Char,Footnote Text Char Char Char Char"/>
    <w:basedOn w:val="Normal"/>
    <w:link w:val="FootnoteTextChar"/>
    <w:uiPriority w:val="99"/>
    <w:unhideWhenUsed/>
    <w:rsid w:val="000E28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reference Char,FA Fu Char,Footnote Text Char Char Char Char Char Char,Footnote Text Char Char Char Char Char1"/>
    <w:basedOn w:val="DefaultParagraphFont"/>
    <w:link w:val="FootnoteText"/>
    <w:uiPriority w:val="99"/>
    <w:rsid w:val="000E28C3"/>
    <w:rPr>
      <w:rFonts w:ascii="Times New Roman" w:hAnsi="Times New Roman"/>
      <w:sz w:val="20"/>
      <w:szCs w:val="20"/>
    </w:rPr>
  </w:style>
  <w:style w:type="character" w:styleId="FootnoteReference">
    <w:name w:val="footnote reference"/>
    <w:aliases w:val="Footnotes refss,Texto de nota al pie,Appel note de bas de page,referencia nota al pie,BVI fnr,Footnote number,f"/>
    <w:basedOn w:val="DefaultParagraphFont"/>
    <w:uiPriority w:val="99"/>
    <w:unhideWhenUsed/>
    <w:rsid w:val="000E28C3"/>
    <w:rPr>
      <w:vertAlign w:val="superscript"/>
    </w:rPr>
  </w:style>
  <w:style w:type="paragraph" w:customStyle="1" w:styleId="Normal1">
    <w:name w:val="Normal1"/>
    <w:rsid w:val="0075476C"/>
    <w:pPr>
      <w:widowControl w:val="0"/>
      <w:spacing w:after="0"/>
    </w:pPr>
    <w:rPr>
      <w:rFonts w:ascii="Droid Serif" w:eastAsia="Droid Serif" w:hAnsi="Droid Serif" w:cs="Droid Serif"/>
      <w:color w:val="00000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B93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BD4"/>
    <w:pPr>
      <w:spacing w:after="200" w:line="240" w:lineRule="auto"/>
      <w:jc w:val="left"/>
    </w:pPr>
    <w:rPr>
      <w:rFonts w:asciiTheme="minorHAnsi" w:hAnsiTheme="minorHAnsi"/>
      <w:sz w:val="20"/>
      <w:szCs w:val="20"/>
      <w:lang w:eastAsia="pt-B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BD4"/>
    <w:rPr>
      <w:sz w:val="20"/>
      <w:szCs w:val="20"/>
      <w:lang w:eastAsia="pt-BR"/>
    </w:rPr>
  </w:style>
  <w:style w:type="paragraph" w:styleId="Index1">
    <w:name w:val="index 1"/>
    <w:basedOn w:val="Normal"/>
    <w:next w:val="Normal"/>
    <w:autoRedefine/>
    <w:uiPriority w:val="99"/>
    <w:unhideWhenUsed/>
    <w:rsid w:val="005D284C"/>
    <w:pPr>
      <w:tabs>
        <w:tab w:val="right" w:leader="dot" w:pos="9352"/>
      </w:tabs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0F40"/>
    <w:pPr>
      <w:spacing w:line="240" w:lineRule="auto"/>
      <w:ind w:left="480" w:hanging="240"/>
    </w:pPr>
  </w:style>
  <w:style w:type="character" w:customStyle="1" w:styleId="NoSpacingChar">
    <w:name w:val="No Spacing Char"/>
    <w:link w:val="NoSpacing"/>
    <w:uiPriority w:val="1"/>
    <w:locked/>
    <w:rsid w:val="00A378AD"/>
  </w:style>
  <w:style w:type="paragraph" w:styleId="NormalWeb">
    <w:name w:val="Normal (Web)"/>
    <w:basedOn w:val="Normal"/>
    <w:uiPriority w:val="99"/>
    <w:semiHidden/>
    <w:unhideWhenUsed/>
    <w:rsid w:val="005A7D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TableofAuthorities">
    <w:name w:val="table of authorities"/>
    <w:basedOn w:val="Normal"/>
    <w:next w:val="Normal"/>
    <w:uiPriority w:val="99"/>
    <w:unhideWhenUsed/>
    <w:rsid w:val="00A40096"/>
  </w:style>
  <w:style w:type="paragraph" w:styleId="TOAHeading">
    <w:name w:val="toa heading"/>
    <w:basedOn w:val="Normal"/>
    <w:next w:val="Normal"/>
    <w:uiPriority w:val="99"/>
    <w:unhideWhenUsed/>
    <w:rsid w:val="00A40096"/>
    <w:rPr>
      <w:rFonts w:eastAsiaTheme="majorEastAsia" w:cstheme="majorBidi"/>
      <w:b/>
      <w:bCs/>
      <w:szCs w:val="24"/>
    </w:rPr>
  </w:style>
  <w:style w:type="character" w:customStyle="1" w:styleId="apple-converted-space">
    <w:name w:val="apple-converted-space"/>
    <w:basedOn w:val="DefaultParagraphFont"/>
    <w:rsid w:val="00FD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jdh.org.mx/BJDH/busqueda" TargetMode="External"/><Relationship Id="rId2" Type="http://schemas.openxmlformats.org/officeDocument/2006/relationships/hyperlink" Target="http://www.bjdh.org.mx/BJDH/busqueda" TargetMode="External"/><Relationship Id="rId1" Type="http://schemas.openxmlformats.org/officeDocument/2006/relationships/hyperlink" Target="http://www.bjdh.org.mx/BJDH/busqued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87B8-BAF0-4B9C-B58F-818B72A8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8500</Words>
  <Characters>48456</Characters>
  <Application>Microsoft Office Word</Application>
  <DocSecurity>0</DocSecurity>
  <Lines>403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São Paulo</Company>
  <LinksUpToDate>false</LinksUpToDate>
  <CharactersWithSpaces>56843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Inter-American HR Moot Court Competition</cp:lastModifiedBy>
  <cp:revision>2</cp:revision>
  <dcterms:created xsi:type="dcterms:W3CDTF">2017-09-21T15:55:00Z</dcterms:created>
  <dcterms:modified xsi:type="dcterms:W3CDTF">2017-09-21T15:55:00Z</dcterms:modified>
</cp:coreProperties>
</file>