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0A8" w:rsidRPr="007E3047" w:rsidRDefault="00631A8F" w:rsidP="00631A8F">
      <w:pPr>
        <w:tabs>
          <w:tab w:val="left" w:pos="3750"/>
        </w:tabs>
        <w:spacing w:after="0" w:line="480" w:lineRule="auto"/>
        <w:rPr>
          <w:rFonts w:ascii="Times New Roman" w:hAnsi="Times New Roman"/>
          <w:sz w:val="24"/>
          <w:szCs w:val="24"/>
        </w:rPr>
      </w:pPr>
      <w:bookmarkStart w:id="0" w:name="_Toc288772500"/>
      <w:bookmarkStart w:id="1" w:name="_Toc288773123"/>
      <w:bookmarkStart w:id="2" w:name="_Toc288772502"/>
      <w:bookmarkStart w:id="3" w:name="_GoBack"/>
      <w:bookmarkEnd w:id="3"/>
      <w:r w:rsidRPr="007E3047">
        <w:rPr>
          <w:rFonts w:ascii="Times New Roman" w:hAnsi="Times New Roman"/>
          <w:sz w:val="24"/>
          <w:szCs w:val="24"/>
        </w:rPr>
        <w:tab/>
      </w: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tabs>
          <w:tab w:val="center" w:pos="4535"/>
          <w:tab w:val="left" w:pos="7590"/>
        </w:tabs>
        <w:spacing w:after="0" w:line="480" w:lineRule="auto"/>
        <w:jc w:val="center"/>
        <w:rPr>
          <w:rFonts w:ascii="Times New Roman" w:hAnsi="Times New Roman"/>
          <w:b/>
          <w:sz w:val="24"/>
          <w:szCs w:val="24"/>
        </w:rPr>
      </w:pPr>
      <w:r w:rsidRPr="007E3047">
        <w:rPr>
          <w:rFonts w:ascii="Times New Roman" w:hAnsi="Times New Roman"/>
          <w:b/>
          <w:sz w:val="24"/>
          <w:szCs w:val="24"/>
        </w:rPr>
        <w:t>Corte Interamericana de Direitos Humanos</w:t>
      </w:r>
    </w:p>
    <w:p w:rsidR="005750A8" w:rsidRPr="007E3047" w:rsidRDefault="005750A8" w:rsidP="005750A8">
      <w:pPr>
        <w:tabs>
          <w:tab w:val="center" w:pos="4535"/>
          <w:tab w:val="left" w:pos="7590"/>
        </w:tabs>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sz w:val="24"/>
          <w:szCs w:val="24"/>
        </w:rPr>
      </w:pPr>
    </w:p>
    <w:p w:rsidR="005750A8" w:rsidRPr="007E3047" w:rsidRDefault="005750A8" w:rsidP="005750A8">
      <w:pPr>
        <w:spacing w:after="0" w:line="480" w:lineRule="auto"/>
        <w:jc w:val="center"/>
        <w:rPr>
          <w:rFonts w:ascii="Times New Roman" w:hAnsi="Times New Roman"/>
          <w:sz w:val="24"/>
          <w:szCs w:val="24"/>
        </w:rPr>
      </w:pPr>
    </w:p>
    <w:p w:rsidR="005750A8" w:rsidRPr="007E3047" w:rsidRDefault="005750A8" w:rsidP="005750A8">
      <w:pPr>
        <w:spacing w:after="0" w:line="480" w:lineRule="auto"/>
        <w:jc w:val="center"/>
        <w:rPr>
          <w:rFonts w:ascii="Times New Roman" w:hAnsi="Times New Roman"/>
          <w:sz w:val="24"/>
          <w:szCs w:val="24"/>
        </w:rPr>
      </w:pPr>
    </w:p>
    <w:p w:rsidR="005750A8" w:rsidRPr="007E3047" w:rsidRDefault="005750A8" w:rsidP="005750A8">
      <w:pPr>
        <w:tabs>
          <w:tab w:val="left" w:pos="2940"/>
          <w:tab w:val="center" w:pos="4535"/>
        </w:tabs>
        <w:spacing w:after="0" w:line="480" w:lineRule="auto"/>
        <w:jc w:val="center"/>
        <w:rPr>
          <w:rFonts w:ascii="Times New Roman" w:hAnsi="Times New Roman"/>
          <w:b/>
          <w:sz w:val="24"/>
          <w:szCs w:val="24"/>
        </w:rPr>
      </w:pPr>
    </w:p>
    <w:p w:rsidR="005750A8" w:rsidRPr="007E3047" w:rsidRDefault="00AB365E" w:rsidP="005750A8">
      <w:pPr>
        <w:tabs>
          <w:tab w:val="left" w:pos="2940"/>
          <w:tab w:val="center" w:pos="4535"/>
        </w:tabs>
        <w:spacing w:after="0" w:line="480" w:lineRule="auto"/>
        <w:jc w:val="center"/>
        <w:rPr>
          <w:rFonts w:ascii="Times New Roman" w:hAnsi="Times New Roman"/>
          <w:b/>
          <w:sz w:val="24"/>
          <w:szCs w:val="24"/>
        </w:rPr>
      </w:pPr>
      <w:r w:rsidRPr="007E3047">
        <w:rPr>
          <w:rFonts w:ascii="Times New Roman" w:hAnsi="Times New Roman"/>
          <w:b/>
          <w:sz w:val="24"/>
          <w:szCs w:val="24"/>
        </w:rPr>
        <w:t>Bolt</w:t>
      </w:r>
      <w:r w:rsidR="005750A8" w:rsidRPr="007E3047">
        <w:rPr>
          <w:rFonts w:ascii="Times New Roman" w:hAnsi="Times New Roman"/>
          <w:b/>
          <w:sz w:val="24"/>
          <w:szCs w:val="24"/>
        </w:rPr>
        <w:t xml:space="preserve"> e Outros</w:t>
      </w:r>
    </w:p>
    <w:p w:rsidR="005750A8" w:rsidRPr="007E3047" w:rsidRDefault="005750A8"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Vs.</w:t>
      </w:r>
    </w:p>
    <w:p w:rsidR="005750A8" w:rsidRPr="007E3047" w:rsidRDefault="00AB365E"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República Cardenal</w:t>
      </w:r>
    </w:p>
    <w:p w:rsidR="005750A8" w:rsidRPr="007E3047" w:rsidRDefault="005750A8" w:rsidP="005750A8">
      <w:pPr>
        <w:spacing w:after="0" w:line="480" w:lineRule="auto"/>
        <w:jc w:val="center"/>
        <w:rPr>
          <w:rFonts w:ascii="Times New Roman" w:hAnsi="Times New Roman"/>
          <w:b/>
          <w:i/>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910F1F"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Memorial dos Representantes do</w:t>
      </w:r>
      <w:r w:rsidR="00AF6FCE" w:rsidRPr="007E3047">
        <w:rPr>
          <w:rFonts w:ascii="Times New Roman" w:hAnsi="Times New Roman"/>
          <w:b/>
          <w:sz w:val="24"/>
          <w:szCs w:val="24"/>
        </w:rPr>
        <w:t xml:space="preserve"> </w:t>
      </w:r>
      <w:r w:rsidRPr="007E3047">
        <w:rPr>
          <w:rFonts w:ascii="Times New Roman" w:hAnsi="Times New Roman"/>
          <w:b/>
          <w:sz w:val="24"/>
          <w:szCs w:val="24"/>
        </w:rPr>
        <w:t>Estado</w:t>
      </w: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04DBB"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2015</w:t>
      </w:r>
    </w:p>
    <w:p w:rsidR="00C50BE0" w:rsidRPr="007E3047" w:rsidRDefault="005750A8" w:rsidP="007F68FD">
      <w:pPr>
        <w:pStyle w:val="TOCHeading"/>
        <w:spacing w:before="0" w:line="480" w:lineRule="auto"/>
        <w:jc w:val="center"/>
        <w:rPr>
          <w:rFonts w:ascii="Times New Roman" w:hAnsi="Times New Roman"/>
          <w:color w:val="auto"/>
          <w:sz w:val="24"/>
          <w:szCs w:val="24"/>
        </w:rPr>
      </w:pPr>
      <w:r w:rsidRPr="007E3047">
        <w:rPr>
          <w:rFonts w:ascii="Times New Roman" w:hAnsi="Times New Roman"/>
          <w:color w:val="auto"/>
          <w:sz w:val="24"/>
          <w:szCs w:val="24"/>
        </w:rPr>
        <w:t>ÍNDICE</w:t>
      </w:r>
    </w:p>
    <w:p w:rsidR="00C50BE0" w:rsidRPr="007E3047" w:rsidRDefault="00C50BE0" w:rsidP="007F68FD">
      <w:pPr>
        <w:pStyle w:val="TOC1"/>
        <w:tabs>
          <w:tab w:val="right" w:leader="underscore" w:pos="9060"/>
        </w:tabs>
        <w:spacing w:before="0" w:line="480" w:lineRule="auto"/>
        <w:rPr>
          <w:rFonts w:ascii="Times New Roman" w:eastAsiaTheme="minorEastAsia" w:hAnsi="Times New Roman"/>
          <w:b w:val="0"/>
          <w:bCs w:val="0"/>
          <w:i w:val="0"/>
          <w:iCs w:val="0"/>
          <w:noProof/>
          <w:lang w:eastAsia="pt-BR"/>
        </w:rPr>
      </w:pPr>
      <w:r w:rsidRPr="007E3047">
        <w:rPr>
          <w:rFonts w:ascii="Times New Roman" w:hAnsi="Times New Roman"/>
        </w:rPr>
        <w:fldChar w:fldCharType="begin"/>
      </w:r>
      <w:r w:rsidRPr="007E3047">
        <w:rPr>
          <w:rFonts w:ascii="Times New Roman" w:hAnsi="Times New Roman"/>
        </w:rPr>
        <w:instrText xml:space="preserve"> TOC \o "1-3" \h \z \u </w:instrText>
      </w:r>
      <w:r w:rsidRPr="007E3047">
        <w:rPr>
          <w:rFonts w:ascii="Times New Roman" w:hAnsi="Times New Roman"/>
        </w:rPr>
        <w:fldChar w:fldCharType="separate"/>
      </w:r>
      <w:hyperlink w:anchor="_Toc414915805" w:history="1">
        <w:r w:rsidRPr="007E3047">
          <w:rPr>
            <w:rStyle w:val="Hyperlink"/>
            <w:rFonts w:ascii="Times New Roman" w:hAnsi="Times New Roman"/>
            <w:i w:val="0"/>
            <w:noProof/>
          </w:rPr>
          <w:t>1. LISTA DE ABREVIATURAS</w:t>
        </w:r>
        <w:r w:rsidRPr="007E3047">
          <w:rPr>
            <w:rFonts w:ascii="Times New Roman" w:hAnsi="Times New Roman"/>
            <w:i w:val="0"/>
            <w:noProof/>
            <w:webHidden/>
          </w:rPr>
          <w:tab/>
        </w:r>
        <w:r w:rsidR="00BB347E" w:rsidRPr="007E3047">
          <w:rPr>
            <w:rFonts w:ascii="Times New Roman" w:hAnsi="Times New Roman"/>
            <w:i w:val="0"/>
            <w:noProof/>
            <w:webHidden/>
          </w:rPr>
          <w:t>3</w:t>
        </w:r>
      </w:hyperlink>
    </w:p>
    <w:p w:rsidR="00C50BE0" w:rsidRPr="007E3047" w:rsidRDefault="00634A80" w:rsidP="007F68FD">
      <w:pPr>
        <w:pStyle w:val="TOC1"/>
        <w:tabs>
          <w:tab w:val="right" w:leader="underscore" w:pos="9060"/>
        </w:tabs>
        <w:spacing w:before="0" w:line="480" w:lineRule="auto"/>
        <w:rPr>
          <w:rFonts w:ascii="Times New Roman" w:eastAsiaTheme="minorEastAsia" w:hAnsi="Times New Roman"/>
          <w:bCs w:val="0"/>
          <w:i w:val="0"/>
          <w:iCs w:val="0"/>
          <w:noProof/>
          <w:lang w:eastAsia="pt-BR"/>
        </w:rPr>
      </w:pPr>
      <w:hyperlink w:anchor="_Toc414915806" w:history="1">
        <w:r w:rsidR="00C50BE0" w:rsidRPr="007E3047">
          <w:rPr>
            <w:rStyle w:val="Hyperlink"/>
            <w:rFonts w:ascii="Times New Roman" w:hAnsi="Times New Roman"/>
            <w:i w:val="0"/>
            <w:caps/>
            <w:noProof/>
          </w:rPr>
          <w:t>2.  Índice de justificativas</w:t>
        </w:r>
        <w:r w:rsidR="00C50BE0" w:rsidRPr="007E3047">
          <w:rPr>
            <w:rFonts w:ascii="Times New Roman" w:hAnsi="Times New Roman"/>
            <w:i w:val="0"/>
            <w:noProof/>
            <w:webHidden/>
          </w:rPr>
          <w:tab/>
        </w:r>
        <w:r w:rsidR="00BB347E" w:rsidRPr="007E3047">
          <w:rPr>
            <w:rFonts w:ascii="Times New Roman" w:hAnsi="Times New Roman"/>
            <w:i w:val="0"/>
            <w:noProof/>
            <w:webHidden/>
          </w:rPr>
          <w:t>4</w:t>
        </w:r>
      </w:hyperlink>
    </w:p>
    <w:p w:rsidR="00C50BE0" w:rsidRPr="007E3047" w:rsidRDefault="00634A80"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07" w:history="1">
        <w:r w:rsidR="00C50BE0" w:rsidRPr="007E3047">
          <w:rPr>
            <w:rStyle w:val="Hyperlink"/>
            <w:rFonts w:ascii="Times New Roman" w:hAnsi="Times New Roman"/>
            <w:noProof/>
            <w:sz w:val="24"/>
            <w:szCs w:val="24"/>
          </w:rPr>
          <w:t>2.2 Casos Legais</w:t>
        </w:r>
        <w:r w:rsidR="00C50BE0" w:rsidRPr="007E3047">
          <w:rPr>
            <w:rFonts w:ascii="Times New Roman" w:hAnsi="Times New Roman"/>
            <w:noProof/>
            <w:webHidden/>
            <w:sz w:val="24"/>
            <w:szCs w:val="24"/>
          </w:rPr>
          <w:tab/>
        </w:r>
        <w:r w:rsidR="00BB347E" w:rsidRPr="007E3047">
          <w:rPr>
            <w:rFonts w:ascii="Times New Roman" w:hAnsi="Times New Roman"/>
            <w:noProof/>
            <w:webHidden/>
            <w:sz w:val="24"/>
            <w:szCs w:val="24"/>
          </w:rPr>
          <w:t>4</w:t>
        </w:r>
      </w:hyperlink>
    </w:p>
    <w:p w:rsidR="00C50BE0" w:rsidRPr="007E3047" w:rsidRDefault="00634A80" w:rsidP="007F68FD">
      <w:pPr>
        <w:pStyle w:val="TOC3"/>
        <w:tabs>
          <w:tab w:val="right" w:leader="underscore" w:pos="9060"/>
        </w:tabs>
        <w:spacing w:line="480" w:lineRule="auto"/>
        <w:ind w:left="0"/>
        <w:rPr>
          <w:rFonts w:ascii="Times New Roman" w:eastAsiaTheme="minorEastAsia" w:hAnsi="Times New Roman"/>
          <w:b/>
          <w:noProof/>
          <w:sz w:val="24"/>
          <w:szCs w:val="24"/>
          <w:lang w:eastAsia="pt-BR"/>
        </w:rPr>
      </w:pPr>
      <w:hyperlink w:anchor="_Toc414915808" w:history="1">
        <w:r w:rsidR="00C50BE0" w:rsidRPr="007E3047">
          <w:rPr>
            <w:rStyle w:val="Hyperlink"/>
            <w:rFonts w:ascii="Times New Roman" w:hAnsi="Times New Roman"/>
            <w:b/>
            <w:noProof/>
            <w:sz w:val="24"/>
            <w:szCs w:val="24"/>
          </w:rPr>
          <w:t>2.2.1 Comissão Interamericana de Direitos Humanos</w:t>
        </w:r>
        <w:r w:rsidR="00C50BE0" w:rsidRPr="007E3047">
          <w:rPr>
            <w:rFonts w:ascii="Times New Roman" w:hAnsi="Times New Roman"/>
            <w:b/>
            <w:noProof/>
            <w:webHidden/>
            <w:sz w:val="24"/>
            <w:szCs w:val="24"/>
          </w:rPr>
          <w:tab/>
        </w:r>
        <w:r w:rsidR="00BB347E" w:rsidRPr="007E3047">
          <w:rPr>
            <w:rFonts w:ascii="Times New Roman" w:hAnsi="Times New Roman"/>
            <w:b/>
            <w:noProof/>
            <w:webHidden/>
            <w:sz w:val="24"/>
            <w:szCs w:val="24"/>
          </w:rPr>
          <w:t>4</w:t>
        </w:r>
      </w:hyperlink>
    </w:p>
    <w:p w:rsidR="00C50BE0" w:rsidRPr="007E3047" w:rsidRDefault="00634A80" w:rsidP="007F68FD">
      <w:pPr>
        <w:pStyle w:val="TOC3"/>
        <w:tabs>
          <w:tab w:val="right" w:leader="underscore" w:pos="9060"/>
        </w:tabs>
        <w:spacing w:line="480" w:lineRule="auto"/>
        <w:ind w:left="0"/>
        <w:rPr>
          <w:rFonts w:ascii="Times New Roman" w:eastAsiaTheme="minorEastAsia" w:hAnsi="Times New Roman"/>
          <w:b/>
          <w:noProof/>
          <w:sz w:val="24"/>
          <w:szCs w:val="24"/>
          <w:lang w:eastAsia="pt-BR"/>
        </w:rPr>
      </w:pPr>
      <w:hyperlink w:anchor="_Toc414915811" w:history="1">
        <w:r w:rsidR="00C50BE0" w:rsidRPr="007E3047">
          <w:rPr>
            <w:rStyle w:val="Hyperlink"/>
            <w:rFonts w:ascii="Times New Roman" w:hAnsi="Times New Roman"/>
            <w:b/>
            <w:noProof/>
            <w:sz w:val="24"/>
            <w:szCs w:val="24"/>
          </w:rPr>
          <w:t>2.2.2 Corte Interamericana de Direitos Humanos</w:t>
        </w:r>
        <w:r w:rsidR="00C50BE0" w:rsidRPr="007E3047">
          <w:rPr>
            <w:rFonts w:ascii="Times New Roman" w:hAnsi="Times New Roman"/>
            <w:b/>
            <w:noProof/>
            <w:webHidden/>
            <w:sz w:val="24"/>
            <w:szCs w:val="24"/>
          </w:rPr>
          <w:tab/>
        </w:r>
        <w:r w:rsidR="00BB347E" w:rsidRPr="007E3047">
          <w:rPr>
            <w:rFonts w:ascii="Times New Roman" w:hAnsi="Times New Roman"/>
            <w:b/>
            <w:noProof/>
            <w:webHidden/>
            <w:sz w:val="24"/>
            <w:szCs w:val="24"/>
          </w:rPr>
          <w:t>4</w:t>
        </w:r>
      </w:hyperlink>
    </w:p>
    <w:p w:rsidR="00C50BE0" w:rsidRPr="007E3047" w:rsidRDefault="00634A80" w:rsidP="007F68FD">
      <w:pPr>
        <w:pStyle w:val="TOC3"/>
        <w:tabs>
          <w:tab w:val="right" w:leader="underscore" w:pos="9060"/>
        </w:tabs>
        <w:spacing w:line="480" w:lineRule="auto"/>
        <w:ind w:left="0"/>
        <w:rPr>
          <w:rFonts w:ascii="Times New Roman" w:eastAsiaTheme="minorEastAsia" w:hAnsi="Times New Roman"/>
          <w:b/>
          <w:noProof/>
          <w:sz w:val="24"/>
          <w:szCs w:val="24"/>
          <w:lang w:eastAsia="pt-BR"/>
        </w:rPr>
      </w:pPr>
      <w:hyperlink w:anchor="_Toc414915813" w:history="1">
        <w:r w:rsidR="00C50BE0" w:rsidRPr="007E3047">
          <w:rPr>
            <w:rStyle w:val="Hyperlink"/>
            <w:rFonts w:ascii="Times New Roman" w:hAnsi="Times New Roman"/>
            <w:b/>
            <w:noProof/>
            <w:sz w:val="24"/>
            <w:szCs w:val="24"/>
          </w:rPr>
          <w:t>2.2.3 Tribunal Penal Internacional</w:t>
        </w:r>
        <w:r w:rsidR="00C50BE0" w:rsidRPr="007E3047">
          <w:rPr>
            <w:rFonts w:ascii="Times New Roman" w:hAnsi="Times New Roman"/>
            <w:b/>
            <w:noProof/>
            <w:webHidden/>
            <w:sz w:val="24"/>
            <w:szCs w:val="24"/>
          </w:rPr>
          <w:tab/>
        </w:r>
        <w:r w:rsidR="00BB347E" w:rsidRPr="007E3047">
          <w:rPr>
            <w:rFonts w:ascii="Times New Roman" w:hAnsi="Times New Roman"/>
            <w:b/>
            <w:noProof/>
            <w:webHidden/>
            <w:sz w:val="24"/>
            <w:szCs w:val="24"/>
          </w:rPr>
          <w:t>7</w:t>
        </w:r>
      </w:hyperlink>
    </w:p>
    <w:p w:rsidR="00C50BE0" w:rsidRPr="007E3047" w:rsidRDefault="00634A80"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14" w:history="1">
        <w:r w:rsidR="00C50BE0" w:rsidRPr="007E3047">
          <w:rPr>
            <w:rStyle w:val="Hyperlink"/>
            <w:rFonts w:ascii="Times New Roman" w:hAnsi="Times New Roman"/>
            <w:noProof/>
            <w:sz w:val="24"/>
            <w:szCs w:val="24"/>
          </w:rPr>
          <w:t>2.3 Documentos legais</w:t>
        </w:r>
        <w:r w:rsidR="00C50BE0" w:rsidRPr="007E3047">
          <w:rPr>
            <w:rFonts w:ascii="Times New Roman" w:hAnsi="Times New Roman"/>
            <w:noProof/>
            <w:webHidden/>
            <w:sz w:val="24"/>
            <w:szCs w:val="24"/>
          </w:rPr>
          <w:tab/>
        </w:r>
        <w:r w:rsidR="00BB347E" w:rsidRPr="007E3047">
          <w:rPr>
            <w:rFonts w:ascii="Times New Roman" w:hAnsi="Times New Roman"/>
            <w:noProof/>
            <w:webHidden/>
            <w:sz w:val="24"/>
            <w:szCs w:val="24"/>
          </w:rPr>
          <w:t>7</w:t>
        </w:r>
      </w:hyperlink>
    </w:p>
    <w:p w:rsidR="00C50BE0" w:rsidRPr="007E3047" w:rsidRDefault="00634A80"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15" w:history="1">
        <w:r w:rsidR="00C50BE0" w:rsidRPr="007E3047">
          <w:rPr>
            <w:rStyle w:val="Hyperlink"/>
            <w:rFonts w:ascii="Times New Roman" w:hAnsi="Times New Roman"/>
            <w:noProof/>
            <w:sz w:val="24"/>
            <w:szCs w:val="24"/>
          </w:rPr>
          <w:t>2.4 Doutrinas</w:t>
        </w:r>
        <w:r w:rsidR="00C50BE0" w:rsidRPr="007E3047">
          <w:rPr>
            <w:rFonts w:ascii="Times New Roman" w:hAnsi="Times New Roman"/>
            <w:noProof/>
            <w:webHidden/>
            <w:sz w:val="24"/>
            <w:szCs w:val="24"/>
          </w:rPr>
          <w:tab/>
        </w:r>
        <w:r w:rsidR="00C50BE0" w:rsidRPr="007E3047">
          <w:rPr>
            <w:rFonts w:ascii="Times New Roman" w:hAnsi="Times New Roman"/>
            <w:noProof/>
            <w:webHidden/>
            <w:sz w:val="24"/>
            <w:szCs w:val="24"/>
          </w:rPr>
          <w:fldChar w:fldCharType="begin"/>
        </w:r>
        <w:r w:rsidR="00C50BE0" w:rsidRPr="007E3047">
          <w:rPr>
            <w:rFonts w:ascii="Times New Roman" w:hAnsi="Times New Roman"/>
            <w:noProof/>
            <w:webHidden/>
            <w:sz w:val="24"/>
            <w:szCs w:val="24"/>
          </w:rPr>
          <w:instrText xml:space="preserve"> PAGEREF _Toc414915815 \h </w:instrText>
        </w:r>
        <w:r w:rsidR="00C50BE0" w:rsidRPr="007E3047">
          <w:rPr>
            <w:rFonts w:ascii="Times New Roman" w:hAnsi="Times New Roman"/>
            <w:noProof/>
            <w:webHidden/>
            <w:sz w:val="24"/>
            <w:szCs w:val="24"/>
          </w:rPr>
        </w:r>
        <w:r w:rsidR="00C50BE0" w:rsidRPr="007E3047">
          <w:rPr>
            <w:rFonts w:ascii="Times New Roman" w:hAnsi="Times New Roman"/>
            <w:noProof/>
            <w:webHidden/>
            <w:sz w:val="24"/>
            <w:szCs w:val="24"/>
          </w:rPr>
          <w:fldChar w:fldCharType="separate"/>
        </w:r>
        <w:r w:rsidR="00C50BE0" w:rsidRPr="007E3047">
          <w:rPr>
            <w:rFonts w:ascii="Times New Roman" w:hAnsi="Times New Roman"/>
            <w:noProof/>
            <w:webHidden/>
            <w:sz w:val="24"/>
            <w:szCs w:val="24"/>
          </w:rPr>
          <w:t>8</w:t>
        </w:r>
        <w:r w:rsidR="00C50BE0" w:rsidRPr="007E3047">
          <w:rPr>
            <w:rFonts w:ascii="Times New Roman" w:hAnsi="Times New Roman"/>
            <w:noProof/>
            <w:webHidden/>
            <w:sz w:val="24"/>
            <w:szCs w:val="24"/>
          </w:rPr>
          <w:fldChar w:fldCharType="end"/>
        </w:r>
      </w:hyperlink>
    </w:p>
    <w:p w:rsidR="00C50BE0" w:rsidRPr="007E3047" w:rsidRDefault="00634A80"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16" w:history="1">
        <w:r w:rsidR="00C50BE0" w:rsidRPr="007E3047">
          <w:rPr>
            <w:rStyle w:val="Hyperlink"/>
            <w:rFonts w:ascii="Times New Roman" w:hAnsi="Times New Roman"/>
            <w:noProof/>
            <w:sz w:val="24"/>
            <w:szCs w:val="24"/>
          </w:rPr>
          <w:t>2.</w:t>
        </w:r>
        <w:r w:rsidR="008F19AF" w:rsidRPr="007E3047">
          <w:rPr>
            <w:rStyle w:val="Hyperlink"/>
            <w:rFonts w:ascii="Times New Roman" w:hAnsi="Times New Roman"/>
            <w:noProof/>
            <w:sz w:val="24"/>
            <w:szCs w:val="24"/>
          </w:rPr>
          <w:t>5</w:t>
        </w:r>
        <w:r w:rsidR="00C50BE0" w:rsidRPr="007E3047">
          <w:rPr>
            <w:rStyle w:val="Hyperlink"/>
            <w:rFonts w:ascii="Times New Roman" w:hAnsi="Times New Roman"/>
            <w:noProof/>
            <w:sz w:val="24"/>
            <w:szCs w:val="24"/>
          </w:rPr>
          <w:t>. Outros</w:t>
        </w:r>
        <w:r w:rsidR="00C50BE0" w:rsidRPr="007E3047">
          <w:rPr>
            <w:rFonts w:ascii="Times New Roman" w:hAnsi="Times New Roman"/>
            <w:noProof/>
            <w:webHidden/>
            <w:sz w:val="24"/>
            <w:szCs w:val="24"/>
          </w:rPr>
          <w:tab/>
        </w:r>
        <w:r w:rsidR="00BB347E" w:rsidRPr="007E3047">
          <w:rPr>
            <w:rFonts w:ascii="Times New Roman" w:hAnsi="Times New Roman"/>
            <w:noProof/>
            <w:webHidden/>
            <w:sz w:val="24"/>
            <w:szCs w:val="24"/>
          </w:rPr>
          <w:t>9</w:t>
        </w:r>
      </w:hyperlink>
    </w:p>
    <w:p w:rsidR="00C50BE0" w:rsidRPr="007E3047" w:rsidRDefault="00634A80" w:rsidP="007F68FD">
      <w:pPr>
        <w:pStyle w:val="TOC1"/>
        <w:tabs>
          <w:tab w:val="left" w:pos="440"/>
          <w:tab w:val="right" w:leader="underscore" w:pos="9060"/>
        </w:tabs>
        <w:spacing w:before="0" w:line="480" w:lineRule="auto"/>
        <w:rPr>
          <w:rFonts w:ascii="Times New Roman" w:eastAsiaTheme="minorEastAsia" w:hAnsi="Times New Roman"/>
          <w:bCs w:val="0"/>
          <w:i w:val="0"/>
          <w:iCs w:val="0"/>
          <w:noProof/>
          <w:lang w:eastAsia="pt-BR"/>
        </w:rPr>
      </w:pPr>
      <w:hyperlink w:anchor="_Toc414915817" w:history="1">
        <w:r w:rsidR="00C50BE0" w:rsidRPr="007E3047">
          <w:rPr>
            <w:rStyle w:val="Hyperlink"/>
            <w:rFonts w:ascii="Times New Roman" w:hAnsi="Times New Roman"/>
            <w:i w:val="0"/>
            <w:caps/>
            <w:noProof/>
          </w:rPr>
          <w:t>3</w:t>
        </w:r>
        <w:r w:rsidR="00C50BE0" w:rsidRPr="007E3047">
          <w:rPr>
            <w:rFonts w:ascii="Times New Roman" w:eastAsiaTheme="minorEastAsia" w:hAnsi="Times New Roman"/>
            <w:bCs w:val="0"/>
            <w:i w:val="0"/>
            <w:iCs w:val="0"/>
            <w:noProof/>
            <w:lang w:eastAsia="pt-BR"/>
          </w:rPr>
          <w:tab/>
        </w:r>
        <w:r w:rsidR="00C50BE0" w:rsidRPr="007E3047">
          <w:rPr>
            <w:rStyle w:val="Hyperlink"/>
            <w:rFonts w:ascii="Times New Roman" w:hAnsi="Times New Roman"/>
            <w:i w:val="0"/>
            <w:smallCaps/>
            <w:noProof/>
          </w:rPr>
          <w:t>DECLARAÇÃO DOS FATOS</w:t>
        </w:r>
        <w:r w:rsidR="00C50BE0" w:rsidRPr="007E3047">
          <w:rPr>
            <w:rFonts w:ascii="Times New Roman" w:hAnsi="Times New Roman"/>
            <w:i w:val="0"/>
            <w:noProof/>
            <w:webHidden/>
          </w:rPr>
          <w:tab/>
        </w:r>
        <w:r w:rsidR="00BB347E" w:rsidRPr="007E3047">
          <w:rPr>
            <w:rFonts w:ascii="Times New Roman" w:hAnsi="Times New Roman"/>
            <w:i w:val="0"/>
            <w:noProof/>
            <w:webHidden/>
          </w:rPr>
          <w:t>10</w:t>
        </w:r>
      </w:hyperlink>
    </w:p>
    <w:p w:rsidR="00C50BE0" w:rsidRPr="007E3047" w:rsidRDefault="00634A80" w:rsidP="007F68FD">
      <w:pPr>
        <w:pStyle w:val="TOC1"/>
        <w:tabs>
          <w:tab w:val="right" w:leader="underscore" w:pos="9060"/>
        </w:tabs>
        <w:spacing w:before="0" w:line="480" w:lineRule="auto"/>
        <w:rPr>
          <w:rStyle w:val="Hyperlink"/>
          <w:rFonts w:ascii="Times New Roman" w:hAnsi="Times New Roman"/>
          <w:i w:val="0"/>
          <w:noProof/>
        </w:rPr>
      </w:pPr>
      <w:hyperlink w:anchor="_Toc414915818" w:history="1">
        <w:r w:rsidR="00C50BE0" w:rsidRPr="007E3047">
          <w:rPr>
            <w:rStyle w:val="Hyperlink"/>
            <w:rFonts w:ascii="Times New Roman" w:hAnsi="Times New Roman"/>
            <w:i w:val="0"/>
            <w:caps/>
            <w:noProof/>
          </w:rPr>
          <w:t>4.  Da Admissibilidade</w:t>
        </w:r>
        <w:r w:rsidR="00C50BE0" w:rsidRPr="007E3047">
          <w:rPr>
            <w:rFonts w:ascii="Times New Roman" w:hAnsi="Times New Roman"/>
            <w:i w:val="0"/>
            <w:noProof/>
            <w:webHidden/>
          </w:rPr>
          <w:tab/>
        </w:r>
        <w:r w:rsidR="00BB347E" w:rsidRPr="007E3047">
          <w:rPr>
            <w:rFonts w:ascii="Times New Roman" w:hAnsi="Times New Roman"/>
            <w:i w:val="0"/>
            <w:noProof/>
            <w:webHidden/>
          </w:rPr>
          <w:t>13</w:t>
        </w:r>
      </w:hyperlink>
    </w:p>
    <w:p w:rsidR="008F19AF" w:rsidRPr="007E3047" w:rsidRDefault="008F19AF" w:rsidP="00BB347E">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4.1 Da Competência da Corte</w:t>
      </w:r>
      <w:r w:rsidR="00BB347E" w:rsidRPr="007E3047">
        <w:rPr>
          <w:rFonts w:ascii="Times New Roman" w:hAnsi="Times New Roman"/>
          <w:b/>
          <w:sz w:val="24"/>
          <w:szCs w:val="24"/>
        </w:rPr>
        <w:t xml:space="preserve"> _______________________________________________ 13</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4.2 Da Legitimidade Ativa</w:t>
      </w:r>
      <w:r w:rsidR="00BB347E" w:rsidRPr="007E3047">
        <w:rPr>
          <w:rFonts w:ascii="Times New Roman" w:hAnsi="Times New Roman"/>
          <w:b/>
          <w:sz w:val="24"/>
          <w:szCs w:val="24"/>
        </w:rPr>
        <w:t xml:space="preserve"> __________________________________________________ 14</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 DAS EXCEÇÕES PRELIMINARES</w:t>
      </w:r>
      <w:r w:rsidR="00BB347E" w:rsidRPr="007E3047">
        <w:rPr>
          <w:rFonts w:ascii="Times New Roman" w:hAnsi="Times New Roman"/>
          <w:b/>
          <w:sz w:val="24"/>
          <w:szCs w:val="24"/>
        </w:rPr>
        <w:t xml:space="preserve"> _______________________________________ 15</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5.1 Do não esgotamento dos recursos internos</w:t>
      </w:r>
      <w:r w:rsidR="00BB347E" w:rsidRPr="007E3047">
        <w:rPr>
          <w:rFonts w:ascii="Times New Roman" w:hAnsi="Times New Roman"/>
          <w:b/>
          <w:sz w:val="24"/>
          <w:szCs w:val="24"/>
        </w:rPr>
        <w:t>__________________________________ 15</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5.2 Da eficácia dos recursos internos</w:t>
      </w:r>
      <w:r w:rsidR="00BB347E" w:rsidRPr="007E3047">
        <w:rPr>
          <w:rFonts w:ascii="Times New Roman" w:hAnsi="Times New Roman"/>
          <w:b/>
          <w:sz w:val="24"/>
          <w:szCs w:val="24"/>
        </w:rPr>
        <w:t>__________________________________________ 17</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5.3 A regra da quarta instância</w:t>
      </w:r>
      <w:r w:rsidR="00BB347E" w:rsidRPr="007E3047">
        <w:rPr>
          <w:rFonts w:ascii="Times New Roman" w:hAnsi="Times New Roman"/>
          <w:b/>
          <w:sz w:val="24"/>
          <w:szCs w:val="24"/>
        </w:rPr>
        <w:t>_______________</w:t>
      </w:r>
      <w:r w:rsidR="00212978" w:rsidRPr="007E3047">
        <w:rPr>
          <w:rFonts w:ascii="Times New Roman" w:hAnsi="Times New Roman"/>
          <w:b/>
          <w:sz w:val="24"/>
          <w:szCs w:val="24"/>
        </w:rPr>
        <w:t>_______________________________ 19</w:t>
      </w:r>
    </w:p>
    <w:p w:rsidR="00C50BE0" w:rsidRPr="007E3047" w:rsidRDefault="00634A80" w:rsidP="007F68FD">
      <w:pPr>
        <w:pStyle w:val="TOC1"/>
        <w:tabs>
          <w:tab w:val="right" w:leader="underscore" w:pos="9060"/>
        </w:tabs>
        <w:spacing w:before="0" w:line="480" w:lineRule="auto"/>
        <w:rPr>
          <w:rStyle w:val="Hyperlink"/>
          <w:rFonts w:ascii="Times New Roman" w:hAnsi="Times New Roman"/>
          <w:i w:val="0"/>
          <w:noProof/>
        </w:rPr>
      </w:pPr>
      <w:hyperlink w:anchor="_Toc414915819" w:history="1">
        <w:r w:rsidR="00C50BE0" w:rsidRPr="007E3047">
          <w:rPr>
            <w:rStyle w:val="Hyperlink"/>
            <w:rFonts w:ascii="Times New Roman" w:hAnsi="Times New Roman"/>
            <w:i w:val="0"/>
            <w:caps/>
            <w:noProof/>
          </w:rPr>
          <w:t>6. Do Mérito</w:t>
        </w:r>
        <w:r w:rsidR="00C50BE0" w:rsidRPr="007E3047">
          <w:rPr>
            <w:rFonts w:ascii="Times New Roman" w:hAnsi="Times New Roman"/>
            <w:i w:val="0"/>
            <w:noProof/>
            <w:webHidden/>
          </w:rPr>
          <w:tab/>
        </w:r>
        <w:r w:rsidR="00212978" w:rsidRPr="007E3047">
          <w:rPr>
            <w:rFonts w:ascii="Times New Roman" w:hAnsi="Times New Roman"/>
            <w:i w:val="0"/>
            <w:noProof/>
            <w:webHidden/>
          </w:rPr>
          <w:t>21</w:t>
        </w:r>
      </w:hyperlink>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6.1 Introdução</w:t>
      </w:r>
      <w:r w:rsidR="00212978" w:rsidRPr="007E3047">
        <w:rPr>
          <w:rFonts w:ascii="Times New Roman" w:hAnsi="Times New Roman"/>
          <w:b/>
          <w:sz w:val="24"/>
          <w:szCs w:val="24"/>
        </w:rPr>
        <w:t>____________________________________________________________ 21</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6.1.1 O cenário latino-americano</w:t>
      </w:r>
      <w:r w:rsidR="00212978" w:rsidRPr="007E3047">
        <w:rPr>
          <w:rFonts w:ascii="Times New Roman" w:hAnsi="Times New Roman"/>
          <w:b/>
          <w:sz w:val="24"/>
          <w:szCs w:val="24"/>
        </w:rPr>
        <w:t>_____________________________________________ 21</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lastRenderedPageBreak/>
        <w:t>6.1.2 Justiça de Transição</w:t>
      </w:r>
      <w:r w:rsidR="00212978" w:rsidRPr="007E3047">
        <w:rPr>
          <w:rFonts w:ascii="Times New Roman" w:hAnsi="Times New Roman"/>
          <w:b/>
          <w:sz w:val="24"/>
          <w:szCs w:val="24"/>
        </w:rPr>
        <w:t>___________________________________________________ 24</w:t>
      </w:r>
    </w:p>
    <w:p w:rsidR="008F19AF" w:rsidRPr="007E3047" w:rsidRDefault="007F68FD" w:rsidP="007F68FD">
      <w:pPr>
        <w:tabs>
          <w:tab w:val="right" w:leader="underscore" w:pos="9060"/>
        </w:tabs>
        <w:spacing w:after="0" w:line="480" w:lineRule="auto"/>
        <w:jc w:val="both"/>
        <w:rPr>
          <w:rFonts w:ascii="Times New Roman" w:hAnsi="Times New Roman"/>
          <w:b/>
          <w:color w:val="000000"/>
          <w:sz w:val="24"/>
          <w:szCs w:val="24"/>
        </w:rPr>
      </w:pPr>
      <w:r w:rsidRPr="007E3047">
        <w:rPr>
          <w:rFonts w:ascii="Times New Roman" w:hAnsi="Times New Roman"/>
          <w:b/>
          <w:sz w:val="24"/>
          <w:szCs w:val="24"/>
        </w:rPr>
        <w:t>6.2</w:t>
      </w:r>
      <w:r w:rsidR="008F19AF" w:rsidRPr="007E3047">
        <w:rPr>
          <w:rFonts w:ascii="Times New Roman" w:hAnsi="Times New Roman"/>
          <w:b/>
          <w:sz w:val="24"/>
          <w:szCs w:val="24"/>
        </w:rPr>
        <w:t xml:space="preserve"> Da não violação dos arts. 2 (dever de adotar disposições de direito interno), 8 (garantias judiciais) e 25 (proteção judicial) </w:t>
      </w:r>
      <w:r w:rsidR="008F19AF" w:rsidRPr="007E3047">
        <w:rPr>
          <w:rFonts w:ascii="Times New Roman" w:eastAsia="Arial" w:hAnsi="Times New Roman"/>
          <w:b/>
          <w:sz w:val="24"/>
          <w:szCs w:val="24"/>
        </w:rPr>
        <w:t xml:space="preserve">c/c 1.1 </w:t>
      </w:r>
      <w:r w:rsidR="008F19AF" w:rsidRPr="007E3047">
        <w:rPr>
          <w:rFonts w:ascii="Times New Roman" w:hAnsi="Times New Roman"/>
          <w:b/>
          <w:color w:val="000000"/>
          <w:sz w:val="24"/>
          <w:szCs w:val="24"/>
        </w:rPr>
        <w:t>(obrigação de respeitar os direitos)</w:t>
      </w:r>
      <w:r w:rsidR="00212978" w:rsidRPr="007E3047">
        <w:rPr>
          <w:rFonts w:ascii="Times New Roman" w:hAnsi="Times New Roman"/>
          <w:b/>
          <w:color w:val="000000"/>
          <w:sz w:val="24"/>
          <w:szCs w:val="24"/>
        </w:rPr>
        <w:t>_________________________________________________________________ 24</w:t>
      </w:r>
    </w:p>
    <w:p w:rsidR="008F19AF"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6.2</w:t>
      </w:r>
      <w:r w:rsidR="008F19AF" w:rsidRPr="007E3047">
        <w:rPr>
          <w:rFonts w:ascii="Times New Roman" w:hAnsi="Times New Roman"/>
          <w:b/>
          <w:color w:val="000000"/>
          <w:sz w:val="24"/>
          <w:szCs w:val="24"/>
        </w:rPr>
        <w:t xml:space="preserve">.1 Da não violação do art. 2 (dever de adotar disposições de direito interno) </w:t>
      </w:r>
      <w:r w:rsidR="008F19AF" w:rsidRPr="007E3047">
        <w:rPr>
          <w:rFonts w:ascii="Times New Roman" w:eastAsia="Arial" w:hAnsi="Times New Roman"/>
          <w:b/>
          <w:sz w:val="24"/>
          <w:szCs w:val="24"/>
        </w:rPr>
        <w:t xml:space="preserve">c/c 1.1 </w:t>
      </w:r>
      <w:r w:rsidR="008F19AF" w:rsidRPr="007E3047">
        <w:rPr>
          <w:rFonts w:ascii="Times New Roman" w:hAnsi="Times New Roman"/>
          <w:b/>
          <w:color w:val="000000"/>
          <w:sz w:val="24"/>
          <w:szCs w:val="24"/>
        </w:rPr>
        <w:t>(dever de respeitar os direitos)</w:t>
      </w:r>
      <w:r w:rsidR="00212978" w:rsidRPr="007E3047">
        <w:rPr>
          <w:rFonts w:ascii="Times New Roman" w:hAnsi="Times New Roman"/>
          <w:b/>
          <w:color w:val="000000"/>
          <w:sz w:val="24"/>
          <w:szCs w:val="24"/>
        </w:rPr>
        <w:t>_______________________________________________24</w:t>
      </w:r>
    </w:p>
    <w:p w:rsidR="008F19AF"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6.2</w:t>
      </w:r>
      <w:r w:rsidR="008F19AF" w:rsidRPr="007E3047">
        <w:rPr>
          <w:rFonts w:ascii="Times New Roman" w:hAnsi="Times New Roman"/>
          <w:b/>
          <w:color w:val="000000"/>
          <w:sz w:val="24"/>
          <w:szCs w:val="24"/>
        </w:rPr>
        <w:t xml:space="preserve">.2 Da não violação dos arts. 8 (garantias judiciais) e 25 (proteção judicial) </w:t>
      </w:r>
      <w:r w:rsidR="008F19AF" w:rsidRPr="007E3047">
        <w:rPr>
          <w:rFonts w:ascii="Times New Roman" w:eastAsia="Arial" w:hAnsi="Times New Roman"/>
          <w:b/>
          <w:sz w:val="24"/>
          <w:szCs w:val="24"/>
        </w:rPr>
        <w:t xml:space="preserve">1.1 </w:t>
      </w:r>
      <w:r w:rsidR="008F19AF" w:rsidRPr="007E3047">
        <w:rPr>
          <w:rFonts w:ascii="Times New Roman" w:hAnsi="Times New Roman"/>
          <w:b/>
          <w:color w:val="000000"/>
          <w:sz w:val="24"/>
          <w:szCs w:val="24"/>
        </w:rPr>
        <w:t>(obrigação de respeitar os direitos)</w:t>
      </w:r>
      <w:r w:rsidR="00212978" w:rsidRPr="007E3047">
        <w:rPr>
          <w:rFonts w:ascii="Times New Roman" w:hAnsi="Times New Roman"/>
          <w:b/>
          <w:color w:val="000000"/>
          <w:sz w:val="24"/>
          <w:szCs w:val="24"/>
        </w:rPr>
        <w:t>____________</w:t>
      </w:r>
      <w:r w:rsidR="00BD4302" w:rsidRPr="007E3047">
        <w:rPr>
          <w:rFonts w:ascii="Times New Roman" w:hAnsi="Times New Roman"/>
          <w:b/>
          <w:color w:val="000000"/>
          <w:sz w:val="24"/>
          <w:szCs w:val="24"/>
        </w:rPr>
        <w:t>_______________________________28</w:t>
      </w:r>
    </w:p>
    <w:p w:rsidR="008F19AF"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 xml:space="preserve">6.3 Da não violação ao art. 3 (direito ao reconhecimento da personalidade jurídica) </w:t>
      </w:r>
      <w:r w:rsidRPr="007E3047">
        <w:rPr>
          <w:rFonts w:ascii="Times New Roman" w:eastAsia="Arial" w:hAnsi="Times New Roman"/>
          <w:b/>
          <w:sz w:val="24"/>
          <w:szCs w:val="24"/>
        </w:rPr>
        <w:t xml:space="preserve">1.1 </w:t>
      </w:r>
      <w:r w:rsidRPr="007E3047">
        <w:rPr>
          <w:rFonts w:ascii="Times New Roman" w:hAnsi="Times New Roman"/>
          <w:b/>
          <w:color w:val="000000"/>
          <w:sz w:val="24"/>
          <w:szCs w:val="24"/>
        </w:rPr>
        <w:t>(obrigação de respeitar os direitos)</w:t>
      </w:r>
      <w:r w:rsidR="00BD4302" w:rsidRPr="007E3047">
        <w:rPr>
          <w:rFonts w:ascii="Times New Roman" w:hAnsi="Times New Roman"/>
          <w:b/>
          <w:color w:val="000000"/>
          <w:sz w:val="24"/>
          <w:szCs w:val="24"/>
        </w:rPr>
        <w:t>___________________________________________31</w:t>
      </w:r>
    </w:p>
    <w:p w:rsidR="007F68FD"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 xml:space="preserve">6.4 Da não violação aos arts. 4 (direito à vida), 5 (direito à integridade pessoal) e 7 (direito à liberdade pessoal) </w:t>
      </w:r>
      <w:r w:rsidRPr="007E3047">
        <w:rPr>
          <w:rFonts w:ascii="Times New Roman" w:eastAsia="Arial" w:hAnsi="Times New Roman"/>
          <w:b/>
          <w:sz w:val="24"/>
          <w:szCs w:val="24"/>
        </w:rPr>
        <w:t xml:space="preserve">1.1 </w:t>
      </w:r>
      <w:r w:rsidRPr="007E3047">
        <w:rPr>
          <w:rFonts w:ascii="Times New Roman" w:hAnsi="Times New Roman"/>
          <w:b/>
          <w:color w:val="000000"/>
          <w:sz w:val="24"/>
          <w:szCs w:val="24"/>
        </w:rPr>
        <w:t>(obrigação de respeitar os direitos)</w:t>
      </w:r>
      <w:r w:rsidR="00BD4302" w:rsidRPr="007E3047">
        <w:rPr>
          <w:rFonts w:ascii="Times New Roman" w:hAnsi="Times New Roman"/>
          <w:b/>
          <w:color w:val="000000"/>
          <w:sz w:val="24"/>
          <w:szCs w:val="24"/>
        </w:rPr>
        <w:t>________________32</w:t>
      </w:r>
    </w:p>
    <w:p w:rsidR="007F68FD"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 xml:space="preserve">6.5 Da não violação ao art. 24 (igualdade perante à lei) </w:t>
      </w:r>
      <w:r w:rsidRPr="007E3047">
        <w:rPr>
          <w:rFonts w:ascii="Times New Roman" w:eastAsia="Arial" w:hAnsi="Times New Roman"/>
          <w:b/>
          <w:sz w:val="24"/>
          <w:szCs w:val="24"/>
        </w:rPr>
        <w:t xml:space="preserve">1.1 </w:t>
      </w:r>
      <w:r w:rsidRPr="007E3047">
        <w:rPr>
          <w:rFonts w:ascii="Times New Roman" w:hAnsi="Times New Roman"/>
          <w:b/>
          <w:color w:val="000000"/>
          <w:sz w:val="24"/>
          <w:szCs w:val="24"/>
        </w:rPr>
        <w:t>(obrigação de respeitar os direitos)</w:t>
      </w:r>
      <w:r w:rsidR="00BD4302" w:rsidRPr="007E3047">
        <w:rPr>
          <w:rFonts w:ascii="Times New Roman" w:hAnsi="Times New Roman"/>
          <w:b/>
          <w:color w:val="000000"/>
          <w:sz w:val="24"/>
          <w:szCs w:val="24"/>
        </w:rPr>
        <w:t>__________________________________________________________________34</w:t>
      </w:r>
    </w:p>
    <w:p w:rsidR="007F68FD" w:rsidRPr="007E3047" w:rsidRDefault="007F68FD" w:rsidP="007F68FD">
      <w:pPr>
        <w:spacing w:after="0" w:line="480" w:lineRule="auto"/>
        <w:jc w:val="both"/>
        <w:rPr>
          <w:rFonts w:ascii="Times New Roman" w:eastAsia="Arial" w:hAnsi="Times New Roman"/>
          <w:b/>
          <w:sz w:val="24"/>
          <w:szCs w:val="24"/>
        </w:rPr>
      </w:pPr>
      <w:r w:rsidRPr="007E3047">
        <w:rPr>
          <w:rFonts w:ascii="Times New Roman" w:hAnsi="Times New Roman"/>
          <w:b/>
          <w:color w:val="000000"/>
          <w:sz w:val="24"/>
          <w:szCs w:val="24"/>
        </w:rPr>
        <w:t>7. SOLICITAÇÃO DE ASSISTÊNCIA</w:t>
      </w:r>
      <w:r w:rsidR="00BD4302" w:rsidRPr="007E3047">
        <w:rPr>
          <w:rFonts w:ascii="Times New Roman" w:hAnsi="Times New Roman"/>
          <w:b/>
          <w:color w:val="000000"/>
          <w:sz w:val="24"/>
          <w:szCs w:val="24"/>
        </w:rPr>
        <w:t>_______________________________________36</w:t>
      </w:r>
    </w:p>
    <w:p w:rsidR="008F19AF" w:rsidRPr="007E3047" w:rsidRDefault="008F19AF" w:rsidP="007F68FD">
      <w:pPr>
        <w:tabs>
          <w:tab w:val="right" w:leader="underscore" w:pos="9060"/>
        </w:tabs>
        <w:spacing w:after="0" w:line="480" w:lineRule="auto"/>
        <w:jc w:val="both"/>
        <w:rPr>
          <w:rFonts w:ascii="Times New Roman" w:eastAsia="Arial" w:hAnsi="Times New Roman"/>
          <w:b/>
          <w:sz w:val="24"/>
          <w:szCs w:val="24"/>
        </w:rPr>
      </w:pPr>
    </w:p>
    <w:p w:rsidR="005750A8" w:rsidRPr="007E3047" w:rsidRDefault="00C50BE0" w:rsidP="007F68FD">
      <w:pPr>
        <w:spacing w:after="0" w:line="480" w:lineRule="auto"/>
        <w:rPr>
          <w:rFonts w:ascii="Times New Roman" w:hAnsi="Times New Roman"/>
          <w:b/>
          <w:sz w:val="24"/>
          <w:szCs w:val="24"/>
        </w:rPr>
      </w:pPr>
      <w:r w:rsidRPr="007E3047">
        <w:rPr>
          <w:rFonts w:ascii="Times New Roman" w:hAnsi="Times New Roman"/>
          <w:sz w:val="24"/>
          <w:szCs w:val="24"/>
        </w:rPr>
        <w:fldChar w:fldCharType="end"/>
      </w:r>
      <w:bookmarkStart w:id="4" w:name="_Toc289097813"/>
      <w:bookmarkStart w:id="5" w:name="_Toc289097969"/>
      <w:bookmarkStart w:id="6" w:name="_Toc289098266"/>
      <w:bookmarkStart w:id="7" w:name="_Toc414915684"/>
      <w:bookmarkStart w:id="8" w:name="_Toc414915805"/>
      <w:bookmarkStart w:id="9" w:name="_Toc288772492"/>
      <w:r w:rsidR="005750A8" w:rsidRPr="007E3047">
        <w:rPr>
          <w:rFonts w:ascii="Times New Roman" w:hAnsi="Times New Roman"/>
          <w:b/>
          <w:sz w:val="24"/>
          <w:szCs w:val="24"/>
        </w:rPr>
        <w:t>1. LISTA DE ABREVIATURAS</w:t>
      </w:r>
      <w:bookmarkEnd w:id="4"/>
      <w:bookmarkEnd w:id="5"/>
      <w:bookmarkEnd w:id="6"/>
      <w:bookmarkEnd w:id="7"/>
      <w:bookmarkEnd w:id="8"/>
    </w:p>
    <w:bookmarkEnd w:id="9"/>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 xml:space="preserve">Art.Arts.   </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Artigo/Artigos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Cap.</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 xml:space="preserve">Capítulo </w:t>
      </w:r>
    </w:p>
    <w:p w:rsidR="005750A8" w:rsidRPr="007E3047" w:rsidRDefault="001D7395" w:rsidP="005750A8">
      <w:pPr>
        <w:spacing w:after="0" w:line="480" w:lineRule="auto"/>
        <w:jc w:val="both"/>
        <w:rPr>
          <w:rFonts w:ascii="Times New Roman" w:hAnsi="Times New Roman"/>
          <w:sz w:val="24"/>
          <w:szCs w:val="24"/>
        </w:rPr>
      </w:pPr>
      <w:r w:rsidRPr="007E3047">
        <w:rPr>
          <w:rFonts w:ascii="Times New Roman" w:hAnsi="Times New Roman"/>
          <w:sz w:val="24"/>
          <w:szCs w:val="24"/>
        </w:rPr>
        <w:t>CIDH</w:t>
      </w:r>
      <w:r w:rsidR="004B37A0" w:rsidRPr="007E3047">
        <w:rPr>
          <w:rFonts w:ascii="Times New Roman" w:hAnsi="Times New Roman"/>
          <w:sz w:val="24"/>
          <w:szCs w:val="24"/>
        </w:rPr>
        <w:tab/>
      </w:r>
      <w:r w:rsidR="004B37A0" w:rsidRPr="007E3047">
        <w:rPr>
          <w:rFonts w:ascii="Times New Roman" w:hAnsi="Times New Roman"/>
          <w:sz w:val="24"/>
          <w:szCs w:val="24"/>
        </w:rPr>
        <w:tab/>
      </w:r>
      <w:r w:rsidR="004B37A0" w:rsidRPr="007E3047">
        <w:rPr>
          <w:rFonts w:ascii="Times New Roman" w:hAnsi="Times New Roman"/>
          <w:sz w:val="24"/>
          <w:szCs w:val="24"/>
        </w:rPr>
        <w:tab/>
      </w:r>
      <w:r w:rsidR="004B37A0" w:rsidRPr="007E3047">
        <w:rPr>
          <w:rFonts w:ascii="Times New Roman" w:hAnsi="Times New Roman"/>
          <w:sz w:val="24"/>
          <w:szCs w:val="24"/>
        </w:rPr>
        <w:tab/>
      </w:r>
      <w:r w:rsidR="00721671" w:rsidRPr="007E3047">
        <w:rPr>
          <w:rFonts w:ascii="Times New Roman" w:hAnsi="Times New Roman"/>
          <w:sz w:val="24"/>
          <w:szCs w:val="24"/>
        </w:rPr>
        <w:tab/>
      </w:r>
      <w:r w:rsidR="00721671" w:rsidRPr="007E3047">
        <w:rPr>
          <w:rFonts w:ascii="Times New Roman" w:hAnsi="Times New Roman"/>
          <w:sz w:val="24"/>
          <w:szCs w:val="24"/>
        </w:rPr>
        <w:tab/>
      </w:r>
      <w:r w:rsidR="005750A8" w:rsidRPr="007E3047">
        <w:rPr>
          <w:rFonts w:ascii="Times New Roman" w:hAnsi="Times New Roman"/>
          <w:sz w:val="24"/>
          <w:szCs w:val="24"/>
        </w:rPr>
        <w:t>Comissão Interamericana de Direitos Humanos</w:t>
      </w:r>
    </w:p>
    <w:p w:rsidR="005750A8" w:rsidRPr="007E3047" w:rsidRDefault="005750A8" w:rsidP="000C6BC6">
      <w:pPr>
        <w:spacing w:after="0" w:line="480" w:lineRule="auto"/>
        <w:jc w:val="both"/>
        <w:rPr>
          <w:rFonts w:ascii="Times New Roman" w:hAnsi="Times New Roman"/>
          <w:sz w:val="24"/>
          <w:szCs w:val="24"/>
        </w:rPr>
      </w:pPr>
      <w:r w:rsidRPr="007E3047">
        <w:rPr>
          <w:rFonts w:ascii="Times New Roman" w:hAnsi="Times New Roman"/>
          <w:sz w:val="24"/>
          <w:szCs w:val="24"/>
        </w:rPr>
        <w:t>CADH</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Convenção Americana de Direitos Humanos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Corte IDH</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Corte Interamericana de Direitos Humanos</w:t>
      </w:r>
    </w:p>
    <w:p w:rsidR="008E0C1D" w:rsidRPr="007E3047" w:rsidRDefault="008E0C1D" w:rsidP="005750A8">
      <w:pPr>
        <w:spacing w:after="0" w:line="480" w:lineRule="auto"/>
        <w:jc w:val="both"/>
        <w:rPr>
          <w:rFonts w:ascii="Times New Roman" w:hAnsi="Times New Roman"/>
          <w:sz w:val="24"/>
          <w:szCs w:val="24"/>
        </w:rPr>
      </w:pPr>
      <w:r w:rsidRPr="007E3047">
        <w:rPr>
          <w:rFonts w:ascii="Times New Roman" w:hAnsi="Times New Roman"/>
          <w:sz w:val="24"/>
          <w:szCs w:val="24"/>
        </w:rPr>
        <w:t>DUDH</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Declaração Universal dos Direitos Humanos</w:t>
      </w:r>
    </w:p>
    <w:p w:rsidR="000C6BC6" w:rsidRPr="007E3047" w:rsidRDefault="000C6BC6" w:rsidP="005750A8">
      <w:pPr>
        <w:spacing w:after="0" w:line="480" w:lineRule="auto"/>
        <w:jc w:val="both"/>
        <w:rPr>
          <w:rFonts w:ascii="Times New Roman" w:hAnsi="Times New Roman"/>
          <w:sz w:val="24"/>
          <w:szCs w:val="24"/>
        </w:rPr>
      </w:pPr>
      <w:r w:rsidRPr="007E3047">
        <w:rPr>
          <w:rFonts w:ascii="Times New Roman" w:hAnsi="Times New Roman"/>
          <w:sz w:val="24"/>
          <w:szCs w:val="24"/>
        </w:rPr>
        <w:lastRenderedPageBreak/>
        <w:t>TPI</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Tribunal Penal Internacional</w:t>
      </w:r>
    </w:p>
    <w:p w:rsidR="003B048E" w:rsidRPr="007E3047" w:rsidRDefault="003B048E" w:rsidP="005750A8">
      <w:pPr>
        <w:spacing w:after="0" w:line="480" w:lineRule="auto"/>
        <w:jc w:val="both"/>
        <w:rPr>
          <w:rFonts w:ascii="Times New Roman" w:hAnsi="Times New Roman"/>
          <w:sz w:val="24"/>
          <w:szCs w:val="24"/>
        </w:rPr>
      </w:pPr>
      <w:r w:rsidRPr="007E3047">
        <w:rPr>
          <w:rFonts w:ascii="Times New Roman" w:hAnsi="Times New Roman"/>
          <w:sz w:val="24"/>
          <w:szCs w:val="24"/>
        </w:rPr>
        <w:t>CIJ</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Corte Internacional de Justiça</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Ed.</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Edição</w:t>
      </w:r>
    </w:p>
    <w:p w:rsidR="005750A8" w:rsidRPr="007E3047" w:rsidRDefault="00B079B0" w:rsidP="005750A8">
      <w:pPr>
        <w:spacing w:after="0" w:line="480" w:lineRule="auto"/>
        <w:jc w:val="both"/>
        <w:rPr>
          <w:rFonts w:ascii="Times New Roman" w:hAnsi="Times New Roman"/>
          <w:sz w:val="24"/>
          <w:szCs w:val="24"/>
        </w:rPr>
      </w:pPr>
      <w:r w:rsidRPr="007E3047">
        <w:rPr>
          <w:rFonts w:ascii="Times New Roman" w:hAnsi="Times New Roman"/>
          <w:sz w:val="24"/>
          <w:szCs w:val="24"/>
        </w:rPr>
        <w:t>Estado/Cardenal/País</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República Cardenal</w:t>
      </w:r>
    </w:p>
    <w:p w:rsidR="00AC65B7" w:rsidRPr="007E3047" w:rsidRDefault="00AC65B7" w:rsidP="005750A8">
      <w:pPr>
        <w:spacing w:after="0" w:line="480" w:lineRule="auto"/>
        <w:jc w:val="both"/>
        <w:rPr>
          <w:rFonts w:ascii="Times New Roman" w:hAnsi="Times New Roman"/>
          <w:sz w:val="24"/>
          <w:szCs w:val="24"/>
        </w:rPr>
      </w:pPr>
      <w:r w:rsidRPr="007E3047">
        <w:rPr>
          <w:rFonts w:ascii="Times New Roman" w:hAnsi="Times New Roman"/>
          <w:sz w:val="24"/>
          <w:szCs w:val="24"/>
        </w:rPr>
        <w:t>MRLB</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Movimento Revolucionário Liberdade Boneca</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Nº</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Número</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OC</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Opinião Consultiva</w:t>
      </w:r>
    </w:p>
    <w:p w:rsidR="00EF6C70" w:rsidRPr="007E3047" w:rsidRDefault="00EF6C70" w:rsidP="005750A8">
      <w:pPr>
        <w:spacing w:after="0" w:line="480" w:lineRule="auto"/>
        <w:jc w:val="both"/>
        <w:rPr>
          <w:rFonts w:ascii="Times New Roman" w:hAnsi="Times New Roman"/>
          <w:sz w:val="24"/>
          <w:szCs w:val="24"/>
        </w:rPr>
      </w:pPr>
      <w:r w:rsidRPr="007E3047">
        <w:rPr>
          <w:rFonts w:ascii="Times New Roman" w:hAnsi="Times New Roman"/>
          <w:sz w:val="24"/>
          <w:szCs w:val="24"/>
        </w:rPr>
        <w:t>OIT</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Organização Internacional do Trabalho</w:t>
      </w:r>
    </w:p>
    <w:p w:rsidR="00EF6C70"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ONU/UN</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Organização das Nações Unidas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p.</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Página/Páginas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 xml:space="preserve">Par./ Pars.  </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 xml:space="preserve">Parágrafo/Parágrafos </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Vol.</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Volume</w:t>
      </w:r>
    </w:p>
    <w:p w:rsidR="005750A8" w:rsidRPr="007E3047" w:rsidRDefault="005750A8" w:rsidP="005750A8">
      <w:pPr>
        <w:spacing w:after="0" w:line="480" w:lineRule="auto"/>
        <w:jc w:val="both"/>
        <w:rPr>
          <w:rFonts w:ascii="Times New Roman" w:hAnsi="Times New Roman"/>
          <w:i/>
          <w:sz w:val="24"/>
          <w:szCs w:val="24"/>
        </w:rPr>
      </w:pPr>
      <w:r w:rsidRPr="007E3047">
        <w:rPr>
          <w:rFonts w:ascii="Times New Roman" w:hAnsi="Times New Roman"/>
          <w:sz w:val="24"/>
          <w:szCs w:val="24"/>
        </w:rPr>
        <w:t>Vs</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i/>
          <w:sz w:val="24"/>
          <w:szCs w:val="24"/>
        </w:rPr>
        <w:t>Versus</w:t>
      </w:r>
    </w:p>
    <w:p w:rsidR="005750A8" w:rsidRPr="007E3047" w:rsidRDefault="005750A8" w:rsidP="005750A8">
      <w:pPr>
        <w:spacing w:after="0" w:line="480" w:lineRule="auto"/>
        <w:jc w:val="both"/>
        <w:rPr>
          <w:rFonts w:ascii="Times New Roman" w:hAnsi="Times New Roman"/>
          <w:b/>
          <w:caps/>
          <w:sz w:val="24"/>
          <w:szCs w:val="24"/>
        </w:rPr>
      </w:pPr>
    </w:p>
    <w:p w:rsidR="005750A8" w:rsidRPr="007E3047" w:rsidRDefault="005750A8" w:rsidP="006C7419">
      <w:pPr>
        <w:pStyle w:val="Heading1"/>
        <w:spacing w:before="0" w:line="480" w:lineRule="auto"/>
        <w:jc w:val="both"/>
        <w:rPr>
          <w:rFonts w:ascii="Times New Roman" w:hAnsi="Times New Roman"/>
          <w:caps/>
          <w:color w:val="auto"/>
          <w:sz w:val="24"/>
          <w:szCs w:val="24"/>
        </w:rPr>
      </w:pPr>
      <w:bookmarkStart w:id="10" w:name="_Toc288772493"/>
      <w:bookmarkStart w:id="11" w:name="_Toc289097814"/>
      <w:bookmarkStart w:id="12" w:name="_Toc289097970"/>
      <w:bookmarkStart w:id="13" w:name="_Toc289098267"/>
      <w:bookmarkStart w:id="14" w:name="_Toc414915685"/>
      <w:bookmarkStart w:id="15" w:name="_Toc414915806"/>
      <w:r w:rsidRPr="007E3047">
        <w:rPr>
          <w:rFonts w:ascii="Times New Roman" w:hAnsi="Times New Roman"/>
          <w:caps/>
          <w:color w:val="auto"/>
          <w:sz w:val="24"/>
          <w:szCs w:val="24"/>
        </w:rPr>
        <w:t>2.  Índice de justificativas</w:t>
      </w:r>
      <w:bookmarkEnd w:id="10"/>
      <w:bookmarkEnd w:id="11"/>
      <w:bookmarkEnd w:id="12"/>
      <w:bookmarkEnd w:id="13"/>
      <w:bookmarkEnd w:id="14"/>
      <w:bookmarkEnd w:id="15"/>
    </w:p>
    <w:p w:rsidR="00551E07" w:rsidRPr="007E3047" w:rsidRDefault="00551E07" w:rsidP="006C7419">
      <w:pPr>
        <w:spacing w:after="0" w:line="480" w:lineRule="auto"/>
        <w:jc w:val="both"/>
        <w:rPr>
          <w:rFonts w:ascii="Times New Roman" w:hAnsi="Times New Roman"/>
          <w:b/>
          <w:sz w:val="24"/>
          <w:szCs w:val="24"/>
        </w:rPr>
      </w:pPr>
      <w:r w:rsidRPr="007E3047">
        <w:rPr>
          <w:rFonts w:ascii="Times New Roman" w:hAnsi="Times New Roman"/>
          <w:b/>
          <w:sz w:val="24"/>
          <w:szCs w:val="24"/>
        </w:rPr>
        <w:t>2.1 Tratados Internacionais</w:t>
      </w:r>
    </w:p>
    <w:p w:rsidR="00195F2C" w:rsidRPr="007E3047" w:rsidRDefault="00195F2C" w:rsidP="006C7419">
      <w:pPr>
        <w:spacing w:after="0" w:line="480" w:lineRule="auto"/>
        <w:jc w:val="both"/>
        <w:rPr>
          <w:rFonts w:ascii="Times New Roman" w:hAnsi="Times New Roman"/>
          <w:sz w:val="24"/>
          <w:szCs w:val="24"/>
        </w:rPr>
      </w:pPr>
      <w:r w:rsidRPr="007E3047">
        <w:rPr>
          <w:rFonts w:ascii="Times New Roman" w:hAnsi="Times New Roman"/>
          <w:sz w:val="24"/>
          <w:szCs w:val="24"/>
        </w:rPr>
        <w:t>Conve</w:t>
      </w:r>
      <w:r w:rsidR="007A6620" w:rsidRPr="007E3047">
        <w:rPr>
          <w:rFonts w:ascii="Times New Roman" w:hAnsi="Times New Roman"/>
          <w:sz w:val="24"/>
          <w:szCs w:val="24"/>
        </w:rPr>
        <w:t>n</w:t>
      </w:r>
      <w:r w:rsidRPr="007E3047">
        <w:rPr>
          <w:rFonts w:ascii="Times New Roman" w:hAnsi="Times New Roman"/>
          <w:sz w:val="24"/>
          <w:szCs w:val="24"/>
        </w:rPr>
        <w:t>ção Americana sobre Direitos Humanos</w:t>
      </w:r>
      <w:r w:rsidR="007A6620" w:rsidRPr="007E3047">
        <w:rPr>
          <w:rFonts w:ascii="Times New Roman" w:hAnsi="Times New Roman"/>
          <w:sz w:val="24"/>
          <w:szCs w:val="24"/>
        </w:rPr>
        <w:t xml:space="preserve"> (p. </w:t>
      </w:r>
      <w:r w:rsidR="008D5CD4" w:rsidRPr="007E3047">
        <w:rPr>
          <w:rFonts w:ascii="Times New Roman" w:hAnsi="Times New Roman"/>
          <w:sz w:val="24"/>
          <w:szCs w:val="24"/>
        </w:rPr>
        <w:t>9, 13, 14, 15, 16, 17, 19, 20, 21, 24, 28, 29, 31, 32, 33, 34, 35, 37)</w:t>
      </w:r>
    </w:p>
    <w:p w:rsidR="00195F2C" w:rsidRPr="007E3047" w:rsidRDefault="00195F2C" w:rsidP="006C7419">
      <w:pPr>
        <w:spacing w:after="0" w:line="480" w:lineRule="auto"/>
        <w:jc w:val="both"/>
        <w:rPr>
          <w:rFonts w:ascii="Times New Roman" w:hAnsi="Times New Roman"/>
          <w:sz w:val="24"/>
          <w:szCs w:val="24"/>
        </w:rPr>
      </w:pPr>
      <w:r w:rsidRPr="007E3047">
        <w:rPr>
          <w:rFonts w:ascii="Times New Roman" w:hAnsi="Times New Roman"/>
          <w:sz w:val="24"/>
          <w:szCs w:val="24"/>
        </w:rPr>
        <w:t>Convenção 169 da OIT</w:t>
      </w:r>
      <w:r w:rsidR="006C7419" w:rsidRPr="007E3047">
        <w:rPr>
          <w:rFonts w:ascii="Times New Roman" w:hAnsi="Times New Roman"/>
          <w:sz w:val="24"/>
          <w:szCs w:val="24"/>
        </w:rPr>
        <w:t xml:space="preserve"> (p. 10, 35)</w:t>
      </w:r>
    </w:p>
    <w:p w:rsidR="001E56A6" w:rsidRPr="007E3047" w:rsidRDefault="001E56A6" w:rsidP="006C7419">
      <w:pPr>
        <w:spacing w:after="0" w:line="480" w:lineRule="auto"/>
        <w:jc w:val="both"/>
        <w:rPr>
          <w:rFonts w:ascii="Times New Roman" w:hAnsi="Times New Roman"/>
          <w:sz w:val="24"/>
          <w:szCs w:val="24"/>
        </w:rPr>
      </w:pPr>
      <w:r w:rsidRPr="007E3047">
        <w:rPr>
          <w:rFonts w:ascii="Times New Roman" w:hAnsi="Times New Roman"/>
        </w:rPr>
        <w:t>Convenção de Viena dos Direitos dos Tratados</w:t>
      </w:r>
      <w:r w:rsidR="006C7419" w:rsidRPr="007E3047">
        <w:rPr>
          <w:rFonts w:ascii="Times New Roman" w:hAnsi="Times New Roman"/>
        </w:rPr>
        <w:t xml:space="preserve"> (p. 18)</w:t>
      </w:r>
    </w:p>
    <w:p w:rsidR="00195F2C" w:rsidRPr="007E3047" w:rsidRDefault="00195F2C" w:rsidP="006C7419">
      <w:pPr>
        <w:spacing w:after="0" w:line="480" w:lineRule="auto"/>
        <w:jc w:val="both"/>
        <w:rPr>
          <w:rFonts w:ascii="Times New Roman" w:hAnsi="Times New Roman"/>
          <w:sz w:val="24"/>
          <w:szCs w:val="24"/>
        </w:rPr>
      </w:pPr>
      <w:r w:rsidRPr="007E3047">
        <w:rPr>
          <w:rFonts w:ascii="Times New Roman" w:hAnsi="Times New Roman"/>
          <w:sz w:val="24"/>
          <w:szCs w:val="24"/>
        </w:rPr>
        <w:t>Estatuto de Roma</w:t>
      </w:r>
      <w:r w:rsidR="006C7419" w:rsidRPr="007E3047">
        <w:rPr>
          <w:rFonts w:ascii="Times New Roman" w:hAnsi="Times New Roman"/>
          <w:sz w:val="24"/>
          <w:szCs w:val="24"/>
        </w:rPr>
        <w:t xml:space="preserve"> (p. 17, 18, 28)</w:t>
      </w:r>
    </w:p>
    <w:p w:rsidR="005750A8" w:rsidRPr="007E3047" w:rsidRDefault="004459BC" w:rsidP="006C7419">
      <w:pPr>
        <w:pStyle w:val="Heading2"/>
        <w:spacing w:before="0" w:line="480" w:lineRule="auto"/>
        <w:jc w:val="both"/>
        <w:rPr>
          <w:rFonts w:ascii="Times New Roman" w:hAnsi="Times New Roman"/>
          <w:color w:val="auto"/>
          <w:sz w:val="24"/>
          <w:szCs w:val="24"/>
        </w:rPr>
      </w:pPr>
      <w:bookmarkStart w:id="16" w:name="_Toc288772496"/>
      <w:bookmarkStart w:id="17" w:name="_Toc289097817"/>
      <w:bookmarkStart w:id="18" w:name="_Toc289097973"/>
      <w:bookmarkStart w:id="19" w:name="_Toc289098270"/>
      <w:bookmarkStart w:id="20" w:name="_Toc414915686"/>
      <w:bookmarkStart w:id="21" w:name="_Toc414915807"/>
      <w:r w:rsidRPr="007E3047">
        <w:rPr>
          <w:rFonts w:ascii="Times New Roman" w:hAnsi="Times New Roman"/>
          <w:color w:val="auto"/>
          <w:sz w:val="24"/>
          <w:szCs w:val="24"/>
        </w:rPr>
        <w:lastRenderedPageBreak/>
        <w:t>2.2</w:t>
      </w:r>
      <w:r w:rsidR="005750A8" w:rsidRPr="007E3047">
        <w:rPr>
          <w:rFonts w:ascii="Times New Roman" w:hAnsi="Times New Roman"/>
          <w:color w:val="auto"/>
          <w:sz w:val="24"/>
          <w:szCs w:val="24"/>
        </w:rPr>
        <w:t xml:space="preserve"> Casos Legais</w:t>
      </w:r>
      <w:bookmarkStart w:id="22" w:name="_Toc288772497"/>
      <w:bookmarkEnd w:id="16"/>
      <w:bookmarkEnd w:id="17"/>
      <w:bookmarkEnd w:id="18"/>
      <w:bookmarkEnd w:id="19"/>
      <w:bookmarkEnd w:id="20"/>
      <w:bookmarkEnd w:id="21"/>
    </w:p>
    <w:p w:rsidR="005750A8" w:rsidRPr="007E3047" w:rsidRDefault="004459BC" w:rsidP="006C7419">
      <w:pPr>
        <w:pStyle w:val="Heading3"/>
        <w:spacing w:before="0" w:line="480" w:lineRule="auto"/>
        <w:jc w:val="both"/>
        <w:rPr>
          <w:rFonts w:ascii="Times New Roman" w:hAnsi="Times New Roman"/>
          <w:color w:val="auto"/>
          <w:sz w:val="24"/>
          <w:szCs w:val="24"/>
        </w:rPr>
      </w:pPr>
      <w:bookmarkStart w:id="23" w:name="_Toc289097818"/>
      <w:bookmarkStart w:id="24" w:name="_Toc289097974"/>
      <w:bookmarkStart w:id="25" w:name="_Toc289098271"/>
      <w:bookmarkStart w:id="26" w:name="_Toc414915687"/>
      <w:bookmarkStart w:id="27" w:name="_Toc414915808"/>
      <w:r w:rsidRPr="007E3047">
        <w:rPr>
          <w:rFonts w:ascii="Times New Roman" w:hAnsi="Times New Roman"/>
          <w:color w:val="auto"/>
          <w:sz w:val="24"/>
          <w:szCs w:val="24"/>
        </w:rPr>
        <w:t>2.2.1</w:t>
      </w:r>
      <w:r w:rsidR="005750A8" w:rsidRPr="007E3047">
        <w:rPr>
          <w:rFonts w:ascii="Times New Roman" w:hAnsi="Times New Roman"/>
          <w:color w:val="auto"/>
          <w:sz w:val="24"/>
          <w:szCs w:val="24"/>
        </w:rPr>
        <w:t xml:space="preserve"> Comissão Interamericana de Direitos Humanos</w:t>
      </w:r>
      <w:bookmarkEnd w:id="22"/>
      <w:bookmarkEnd w:id="23"/>
      <w:bookmarkEnd w:id="24"/>
      <w:bookmarkEnd w:id="25"/>
      <w:bookmarkEnd w:id="26"/>
      <w:bookmarkEnd w:id="27"/>
    </w:p>
    <w:p w:rsidR="00B418A4" w:rsidRPr="007E3047" w:rsidRDefault="00B418A4" w:rsidP="00CA66DD">
      <w:pPr>
        <w:spacing w:after="0" w:line="480" w:lineRule="auto"/>
        <w:rPr>
          <w:rFonts w:ascii="Times New Roman" w:hAnsi="Times New Roman"/>
          <w:sz w:val="24"/>
          <w:szCs w:val="24"/>
        </w:rPr>
      </w:pPr>
      <w:bookmarkStart w:id="28" w:name="_Toc288772498"/>
      <w:r w:rsidRPr="007E3047">
        <w:rPr>
          <w:rFonts w:ascii="Times New Roman" w:hAnsi="Times New Roman"/>
          <w:sz w:val="24"/>
          <w:szCs w:val="24"/>
        </w:rPr>
        <w:t>CIDH, Resolução 2005/81, 61º período de sessões, U. N. Documento E/CN. 4/RES/2005/81 de abril de 2005.</w:t>
      </w:r>
      <w:r w:rsidR="006C7419" w:rsidRPr="007E3047">
        <w:rPr>
          <w:rFonts w:ascii="Times New Roman" w:hAnsi="Times New Roman"/>
          <w:sz w:val="24"/>
          <w:szCs w:val="24"/>
        </w:rPr>
        <w:t xml:space="preserve"> (p. </w:t>
      </w:r>
      <w:r w:rsidR="004077AD" w:rsidRPr="007E3047">
        <w:rPr>
          <w:rFonts w:ascii="Times New Roman" w:hAnsi="Times New Roman"/>
          <w:sz w:val="24"/>
          <w:szCs w:val="24"/>
        </w:rPr>
        <w:t>29)</w:t>
      </w:r>
    </w:p>
    <w:p w:rsidR="00B418A4" w:rsidRPr="007E3047" w:rsidRDefault="00B418A4" w:rsidP="00CA66DD">
      <w:pPr>
        <w:spacing w:after="0" w:line="480" w:lineRule="auto"/>
        <w:rPr>
          <w:rFonts w:ascii="Times New Roman" w:hAnsi="Times New Roman"/>
          <w:sz w:val="24"/>
          <w:szCs w:val="24"/>
        </w:rPr>
      </w:pPr>
      <w:r w:rsidRPr="007E3047">
        <w:rPr>
          <w:rFonts w:ascii="Times New Roman" w:hAnsi="Times New Roman"/>
          <w:sz w:val="24"/>
          <w:szCs w:val="24"/>
        </w:rPr>
        <w:t xml:space="preserve">CIDH. </w:t>
      </w:r>
      <w:r w:rsidRPr="007E3047">
        <w:rPr>
          <w:rFonts w:ascii="Times New Roman" w:hAnsi="Times New Roman"/>
          <w:i/>
          <w:sz w:val="24"/>
          <w:szCs w:val="24"/>
        </w:rPr>
        <w:t>Marzioni vs. Argentina</w:t>
      </w:r>
      <w:r w:rsidRPr="007E3047">
        <w:rPr>
          <w:rFonts w:ascii="Times New Roman" w:hAnsi="Times New Roman"/>
          <w:sz w:val="24"/>
          <w:szCs w:val="24"/>
        </w:rPr>
        <w:t>. Caso 11.673, Informe no 39/96, Ed. 7.</w:t>
      </w:r>
      <w:r w:rsidR="004077AD" w:rsidRPr="007E3047">
        <w:rPr>
          <w:rFonts w:ascii="Times New Roman" w:hAnsi="Times New Roman"/>
          <w:sz w:val="24"/>
          <w:szCs w:val="24"/>
        </w:rPr>
        <w:t xml:space="preserve"> (p. 20)</w:t>
      </w:r>
    </w:p>
    <w:p w:rsidR="00B418A4" w:rsidRPr="007E3047" w:rsidRDefault="00B418A4" w:rsidP="00CA66DD">
      <w:pPr>
        <w:pStyle w:val="Heading3"/>
        <w:spacing w:before="0" w:line="480" w:lineRule="auto"/>
        <w:rPr>
          <w:rFonts w:ascii="Times New Roman" w:hAnsi="Times New Roman"/>
          <w:b w:val="0"/>
          <w:color w:val="auto"/>
          <w:sz w:val="24"/>
          <w:szCs w:val="24"/>
        </w:rPr>
      </w:pPr>
      <w:bookmarkStart w:id="29" w:name="_Toc414915688"/>
      <w:bookmarkStart w:id="30" w:name="_Toc414915809"/>
      <w:r w:rsidRPr="007E3047">
        <w:rPr>
          <w:rFonts w:ascii="Times New Roman" w:hAnsi="Times New Roman"/>
          <w:b w:val="0"/>
          <w:color w:val="auto"/>
          <w:sz w:val="24"/>
          <w:szCs w:val="24"/>
        </w:rPr>
        <w:t xml:space="preserve">CIDH. Relatório 86/03. </w:t>
      </w:r>
      <w:r w:rsidRPr="007E3047">
        <w:rPr>
          <w:rFonts w:ascii="Times New Roman" w:hAnsi="Times New Roman"/>
          <w:b w:val="0"/>
          <w:color w:val="auto"/>
          <w:sz w:val="24"/>
          <w:szCs w:val="24"/>
          <w:lang w:val="es-CO"/>
        </w:rPr>
        <w:t xml:space="preserve">Caso </w:t>
      </w:r>
      <w:r w:rsidRPr="007E3047">
        <w:rPr>
          <w:rFonts w:ascii="Times New Roman" w:hAnsi="Times New Roman"/>
          <w:b w:val="0"/>
          <w:i/>
          <w:color w:val="auto"/>
          <w:sz w:val="24"/>
          <w:szCs w:val="24"/>
          <w:lang w:val="es-CO"/>
        </w:rPr>
        <w:t>Oscar Cedeño González vs. Costa Rica</w:t>
      </w:r>
      <w:r w:rsidRPr="007E3047">
        <w:rPr>
          <w:rFonts w:ascii="Times New Roman" w:hAnsi="Times New Roman"/>
          <w:b w:val="0"/>
          <w:color w:val="auto"/>
          <w:sz w:val="24"/>
          <w:szCs w:val="24"/>
          <w:lang w:val="es-CO"/>
        </w:rPr>
        <w:t xml:space="preserve">. </w:t>
      </w:r>
      <w:r w:rsidRPr="007E3047">
        <w:rPr>
          <w:rFonts w:ascii="Times New Roman" w:hAnsi="Times New Roman"/>
          <w:b w:val="0"/>
          <w:color w:val="auto"/>
          <w:sz w:val="24"/>
          <w:szCs w:val="24"/>
        </w:rPr>
        <w:t>Petição 116/01.</w:t>
      </w:r>
      <w:bookmarkEnd w:id="29"/>
      <w:bookmarkEnd w:id="30"/>
      <w:r w:rsidRPr="007E3047">
        <w:rPr>
          <w:rFonts w:ascii="Times New Roman" w:hAnsi="Times New Roman"/>
          <w:b w:val="0"/>
          <w:color w:val="auto"/>
          <w:sz w:val="24"/>
          <w:szCs w:val="24"/>
        </w:rPr>
        <w:t xml:space="preserve"> </w:t>
      </w:r>
      <w:r w:rsidR="004077AD" w:rsidRPr="007E3047">
        <w:rPr>
          <w:rFonts w:ascii="Times New Roman" w:hAnsi="Times New Roman"/>
          <w:b w:val="0"/>
          <w:color w:val="auto"/>
          <w:sz w:val="24"/>
          <w:szCs w:val="24"/>
        </w:rPr>
        <w:t>(p. 20)</w:t>
      </w:r>
    </w:p>
    <w:p w:rsidR="00B418A4" w:rsidRPr="007E3047" w:rsidRDefault="00B418A4" w:rsidP="00CA66DD">
      <w:pPr>
        <w:pStyle w:val="Heading3"/>
        <w:spacing w:before="0" w:line="480" w:lineRule="auto"/>
        <w:rPr>
          <w:rFonts w:ascii="Times New Roman" w:hAnsi="Times New Roman"/>
          <w:b w:val="0"/>
          <w:color w:val="auto"/>
          <w:sz w:val="24"/>
          <w:szCs w:val="24"/>
        </w:rPr>
      </w:pPr>
      <w:bookmarkStart w:id="31" w:name="_Toc414915689"/>
      <w:bookmarkStart w:id="32" w:name="_Toc414915810"/>
      <w:r w:rsidRPr="007E3047">
        <w:rPr>
          <w:rFonts w:ascii="Times New Roman" w:hAnsi="Times New Roman"/>
          <w:b w:val="0"/>
          <w:color w:val="auto"/>
          <w:sz w:val="24"/>
          <w:szCs w:val="24"/>
        </w:rPr>
        <w:t>CIDH. Resolução 29/88, Caso nº 9260, Relatório Anual da CIDH 1987-1988.</w:t>
      </w:r>
      <w:bookmarkEnd w:id="31"/>
      <w:bookmarkEnd w:id="32"/>
      <w:r w:rsidR="004077AD" w:rsidRPr="007E3047">
        <w:rPr>
          <w:rFonts w:ascii="Times New Roman" w:hAnsi="Times New Roman"/>
          <w:b w:val="0"/>
          <w:color w:val="auto"/>
          <w:sz w:val="24"/>
          <w:szCs w:val="24"/>
        </w:rPr>
        <w:t xml:space="preserve"> (p. </w:t>
      </w:r>
      <w:r w:rsidR="009277E2" w:rsidRPr="007E3047">
        <w:rPr>
          <w:rFonts w:ascii="Times New Roman" w:hAnsi="Times New Roman"/>
          <w:b w:val="0"/>
          <w:color w:val="auto"/>
          <w:sz w:val="24"/>
          <w:szCs w:val="24"/>
        </w:rPr>
        <w:t>20)</w:t>
      </w:r>
    </w:p>
    <w:p w:rsidR="005750A8" w:rsidRPr="007E3047" w:rsidRDefault="004459BC" w:rsidP="00CA66DD">
      <w:pPr>
        <w:pStyle w:val="Heading3"/>
        <w:spacing w:before="0" w:line="480" w:lineRule="auto"/>
        <w:rPr>
          <w:rFonts w:ascii="Times New Roman" w:hAnsi="Times New Roman"/>
          <w:color w:val="auto"/>
          <w:sz w:val="24"/>
          <w:szCs w:val="24"/>
        </w:rPr>
      </w:pPr>
      <w:bookmarkStart w:id="33" w:name="_Toc289097819"/>
      <w:bookmarkStart w:id="34" w:name="_Toc289097975"/>
      <w:bookmarkStart w:id="35" w:name="_Toc289098272"/>
      <w:bookmarkStart w:id="36" w:name="_Toc414915690"/>
      <w:bookmarkStart w:id="37" w:name="_Toc414915811"/>
      <w:r w:rsidRPr="007E3047">
        <w:rPr>
          <w:rFonts w:ascii="Times New Roman" w:hAnsi="Times New Roman"/>
          <w:color w:val="auto"/>
          <w:sz w:val="24"/>
          <w:szCs w:val="24"/>
        </w:rPr>
        <w:t>2.2</w:t>
      </w:r>
      <w:r w:rsidR="005750A8" w:rsidRPr="007E3047">
        <w:rPr>
          <w:rFonts w:ascii="Times New Roman" w:hAnsi="Times New Roman"/>
          <w:color w:val="auto"/>
          <w:sz w:val="24"/>
          <w:szCs w:val="24"/>
        </w:rPr>
        <w:t>.2 Corte Interamericana de Direitos Humanos</w:t>
      </w:r>
      <w:bookmarkEnd w:id="28"/>
      <w:bookmarkEnd w:id="33"/>
      <w:bookmarkEnd w:id="34"/>
      <w:bookmarkEnd w:id="35"/>
      <w:bookmarkEnd w:id="36"/>
      <w:bookmarkEnd w:id="37"/>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Albán Cornejo e outros vs. Equador</w:t>
      </w:r>
      <w:r w:rsidRPr="007E3047">
        <w:rPr>
          <w:rFonts w:ascii="Times New Roman" w:hAnsi="Times New Roman"/>
          <w:sz w:val="24"/>
          <w:szCs w:val="24"/>
        </w:rPr>
        <w:t>. Sentença de Mérito, Reparações e Custas, 2007, Série C, nº 171.</w:t>
      </w:r>
      <w:r w:rsidR="009277E2" w:rsidRPr="007E3047">
        <w:rPr>
          <w:rFonts w:ascii="Times New Roman" w:hAnsi="Times New Roman"/>
          <w:sz w:val="24"/>
          <w:szCs w:val="24"/>
        </w:rPr>
        <w:t xml:space="preserve"> (p. 29)</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Acevedo Jaramillo e outros vs. Peru</w:t>
      </w:r>
      <w:r w:rsidRPr="007E3047">
        <w:rPr>
          <w:rFonts w:ascii="Times New Roman" w:hAnsi="Times New Roman"/>
          <w:sz w:val="24"/>
          <w:szCs w:val="24"/>
        </w:rPr>
        <w:t>. Interpretação da Sentença de Exceções Preliminares, Mérito, Reparações e Custas, 2006,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157.</w:t>
      </w:r>
      <w:r w:rsidR="009277E2" w:rsidRPr="007E3047">
        <w:rPr>
          <w:rFonts w:ascii="Times New Roman" w:hAnsi="Times New Roman"/>
          <w:sz w:val="24"/>
          <w:szCs w:val="24"/>
        </w:rPr>
        <w:t xml:space="preserve"> (p. </w:t>
      </w:r>
      <w:r w:rsidR="00374E88" w:rsidRPr="007E3047">
        <w:rPr>
          <w:rFonts w:ascii="Times New Roman" w:hAnsi="Times New Roman"/>
          <w:sz w:val="24"/>
          <w:szCs w:val="24"/>
        </w:rPr>
        <w:t>16, 31)</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Artavia Murillo e outros vs. Costa Rica</w:t>
      </w:r>
      <w:r w:rsidRPr="007E3047">
        <w:rPr>
          <w:rFonts w:ascii="Times New Roman" w:hAnsi="Times New Roman"/>
          <w:sz w:val="24"/>
          <w:szCs w:val="24"/>
        </w:rPr>
        <w:t>. Sentença de Exceções Preliminares, Mérito, Reparação e Custas, 2012,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257.</w:t>
      </w:r>
      <w:r w:rsidR="00374E88" w:rsidRPr="007E3047">
        <w:rPr>
          <w:rFonts w:ascii="Times New Roman" w:hAnsi="Times New Roman"/>
          <w:sz w:val="24"/>
          <w:szCs w:val="24"/>
        </w:rPr>
        <w:t xml:space="preserve"> (p. 35)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Baena Ricardo e outros vs. Panamá</w:t>
      </w:r>
      <w:r w:rsidRPr="007E3047">
        <w:rPr>
          <w:rFonts w:ascii="Times New Roman" w:hAnsi="Times New Roman"/>
          <w:sz w:val="24"/>
          <w:szCs w:val="24"/>
        </w:rPr>
        <w:t>. Sentença de Mérito, Reparações e Custas,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172.</w:t>
      </w:r>
      <w:r w:rsidR="00374E88" w:rsidRPr="007E3047">
        <w:rPr>
          <w:rFonts w:ascii="Times New Roman" w:hAnsi="Times New Roman"/>
          <w:sz w:val="24"/>
          <w:szCs w:val="24"/>
        </w:rPr>
        <w:t xml:space="preserve"> (p. 25)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Bámaca Velásquez vs. Guatemala</w:t>
      </w:r>
      <w:r w:rsidRPr="007E3047">
        <w:rPr>
          <w:rFonts w:ascii="Times New Roman" w:hAnsi="Times New Roman"/>
          <w:sz w:val="24"/>
          <w:szCs w:val="24"/>
        </w:rPr>
        <w:t xml:space="preserve">. Sentença de Reparações e Custas, 2002, Serie C, nº 91. </w:t>
      </w:r>
      <w:r w:rsidR="00374E88" w:rsidRPr="007E3047">
        <w:rPr>
          <w:rFonts w:ascii="Times New Roman" w:hAnsi="Times New Roman"/>
          <w:sz w:val="24"/>
          <w:szCs w:val="24"/>
        </w:rPr>
        <w:t>(p. 26, 31)</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iCs/>
          <w:sz w:val="24"/>
          <w:szCs w:val="24"/>
        </w:rPr>
        <w:t>Caso</w:t>
      </w:r>
      <w:r w:rsidRPr="007E3047">
        <w:rPr>
          <w:rFonts w:ascii="Times New Roman" w:hAnsi="Times New Roman"/>
          <w:i/>
          <w:iCs/>
          <w:sz w:val="24"/>
          <w:szCs w:val="24"/>
        </w:rPr>
        <w:t xml:space="preserve"> Barrios Altos vs. Peru</w:t>
      </w:r>
      <w:r w:rsidRPr="007E3047">
        <w:rPr>
          <w:rFonts w:ascii="Times New Roman" w:hAnsi="Times New Roman"/>
          <w:sz w:val="24"/>
          <w:szCs w:val="24"/>
        </w:rPr>
        <w:t xml:space="preserve">. Sentença de </w:t>
      </w:r>
      <w:r w:rsidRPr="007E3047">
        <w:rPr>
          <w:rFonts w:ascii="Times New Roman" w:hAnsi="Times New Roman"/>
          <w:iCs/>
          <w:sz w:val="24"/>
          <w:szCs w:val="24"/>
        </w:rPr>
        <w:t>Reparações e Custas</w:t>
      </w:r>
      <w:r w:rsidRPr="007E3047">
        <w:rPr>
          <w:rFonts w:ascii="Times New Roman" w:hAnsi="Times New Roman"/>
          <w:sz w:val="24"/>
          <w:szCs w:val="24"/>
        </w:rPr>
        <w:t xml:space="preserve">, 2001, Serie C, nº 109. </w:t>
      </w:r>
      <w:r w:rsidR="00374E88" w:rsidRPr="007E3047">
        <w:rPr>
          <w:rFonts w:ascii="Times New Roman" w:hAnsi="Times New Roman"/>
          <w:sz w:val="24"/>
          <w:szCs w:val="24"/>
        </w:rPr>
        <w:t>(p.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Bulacio vs. Argentina</w:t>
      </w:r>
      <w:r w:rsidRPr="007E3047">
        <w:rPr>
          <w:rFonts w:ascii="Times New Roman" w:hAnsi="Times New Roman"/>
          <w:sz w:val="24"/>
          <w:szCs w:val="24"/>
        </w:rPr>
        <w:t>. Sentença de Mérito, Reparações e Custas, 2003,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100.</w:t>
      </w:r>
      <w:r w:rsidR="00374E88" w:rsidRPr="007E3047">
        <w:rPr>
          <w:rFonts w:ascii="Times New Roman" w:hAnsi="Times New Roman"/>
          <w:sz w:val="24"/>
          <w:szCs w:val="24"/>
        </w:rPr>
        <w:t xml:space="preserve"> (p. 15)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Caballero Delgado e Santana</w:t>
      </w:r>
      <w:r w:rsidRPr="007E3047">
        <w:rPr>
          <w:rFonts w:ascii="Times New Roman" w:hAnsi="Times New Roman"/>
          <w:sz w:val="24"/>
          <w:szCs w:val="24"/>
        </w:rPr>
        <w:t xml:space="preserve"> </w:t>
      </w:r>
      <w:r w:rsidRPr="007E3047">
        <w:rPr>
          <w:rFonts w:ascii="Times New Roman" w:hAnsi="Times New Roman"/>
          <w:i/>
          <w:sz w:val="24"/>
          <w:szCs w:val="24"/>
        </w:rPr>
        <w:t>vs. Colômbia</w:t>
      </w:r>
      <w:r w:rsidRPr="007E3047">
        <w:rPr>
          <w:rFonts w:ascii="Times New Roman" w:hAnsi="Times New Roman"/>
          <w:sz w:val="24"/>
          <w:szCs w:val="24"/>
        </w:rPr>
        <w:t>. Sentença de Mérito, 1995, Serie C, nº. 22.</w:t>
      </w:r>
      <w:r w:rsidR="00374E88" w:rsidRPr="007E3047">
        <w:rPr>
          <w:rFonts w:ascii="Times New Roman" w:hAnsi="Times New Roman"/>
          <w:sz w:val="24"/>
          <w:szCs w:val="24"/>
        </w:rPr>
        <w:t xml:space="preserve"> (p.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lastRenderedPageBreak/>
        <w:t xml:space="preserve">Caso </w:t>
      </w:r>
      <w:r w:rsidRPr="007E3047">
        <w:rPr>
          <w:rFonts w:ascii="Times New Roman" w:hAnsi="Times New Roman"/>
          <w:i/>
          <w:sz w:val="24"/>
          <w:szCs w:val="24"/>
        </w:rPr>
        <w:t>Castillo Petruzzi e outros vs. Peru</w:t>
      </w:r>
      <w:r w:rsidRPr="007E3047">
        <w:rPr>
          <w:rFonts w:ascii="Times New Roman" w:hAnsi="Times New Roman"/>
          <w:sz w:val="24"/>
          <w:szCs w:val="24"/>
        </w:rPr>
        <w:t xml:space="preserve">. Sentença de Mérito, Reparações e Custas, 1999, Serie C, nº 52. </w:t>
      </w:r>
      <w:r w:rsidR="00374E88" w:rsidRPr="007E3047">
        <w:rPr>
          <w:rFonts w:ascii="Times New Roman" w:hAnsi="Times New Roman"/>
          <w:sz w:val="24"/>
          <w:szCs w:val="24"/>
        </w:rPr>
        <w:t xml:space="preserve"> (p. 25)</w:t>
      </w:r>
    </w:p>
    <w:p w:rsidR="004C1B14" w:rsidRPr="007E3047" w:rsidRDefault="004C1B14" w:rsidP="004C1B14">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“Cinco Pensionistas” vs. Peru</w:t>
      </w:r>
      <w:r w:rsidRPr="007E3047">
        <w:rPr>
          <w:rFonts w:ascii="Times New Roman" w:hAnsi="Times New Roman"/>
          <w:sz w:val="24"/>
          <w:szCs w:val="24"/>
        </w:rPr>
        <w:t xml:space="preserve">. Sentença de Mérito, Reparações e Custas, 2003, Serie C, nº 98. </w:t>
      </w:r>
      <w:r w:rsidR="00374E88" w:rsidRPr="007E3047">
        <w:rPr>
          <w:rFonts w:ascii="Times New Roman" w:hAnsi="Times New Roman"/>
          <w:sz w:val="24"/>
          <w:szCs w:val="24"/>
        </w:rPr>
        <w:t>(p. 25)</w:t>
      </w:r>
    </w:p>
    <w:p w:rsidR="004C1B14" w:rsidRPr="007E3047" w:rsidRDefault="00B418A4" w:rsidP="00CA66DD">
      <w:pPr>
        <w:pStyle w:val="FootnoteText"/>
        <w:spacing w:line="480" w:lineRule="auto"/>
        <w:jc w:val="both"/>
        <w:rPr>
          <w:rFonts w:ascii="Times New Roman" w:hAnsi="Times New Roman"/>
          <w:sz w:val="24"/>
          <w:szCs w:val="24"/>
          <w:shd w:val="clear" w:color="auto" w:fill="FFFFFF"/>
        </w:rPr>
      </w:pPr>
      <w:r w:rsidRPr="007E3047">
        <w:rPr>
          <w:rFonts w:ascii="Times New Roman" w:hAnsi="Times New Roman"/>
          <w:sz w:val="24"/>
          <w:szCs w:val="24"/>
        </w:rPr>
        <w:t xml:space="preserve">Caso </w:t>
      </w:r>
      <w:r w:rsidRPr="007E3047">
        <w:rPr>
          <w:rFonts w:ascii="Times New Roman" w:hAnsi="Times New Roman"/>
          <w:i/>
          <w:sz w:val="24"/>
          <w:szCs w:val="24"/>
        </w:rPr>
        <w:t>Comerciantes vs. Colombia.</w:t>
      </w:r>
      <w:r w:rsidRPr="007E3047">
        <w:rPr>
          <w:rFonts w:ascii="Times New Roman" w:hAnsi="Times New Roman"/>
          <w:sz w:val="24"/>
          <w:szCs w:val="24"/>
        </w:rPr>
        <w:t xml:space="preserve"> Sentença de Mérito, Reparações e Custas, 2004,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109.</w:t>
      </w:r>
      <w:r w:rsidR="004C1B14" w:rsidRPr="007E3047">
        <w:rPr>
          <w:rFonts w:ascii="Times New Roman" w:hAnsi="Times New Roman"/>
          <w:sz w:val="24"/>
          <w:szCs w:val="24"/>
          <w:shd w:val="clear" w:color="auto" w:fill="FFFFFF"/>
        </w:rPr>
        <w:t>Corte IDH.</w:t>
      </w:r>
      <w:r w:rsidR="00374E88" w:rsidRPr="007E3047">
        <w:rPr>
          <w:rFonts w:ascii="Times New Roman" w:hAnsi="Times New Roman"/>
          <w:sz w:val="24"/>
          <w:szCs w:val="24"/>
          <w:shd w:val="clear" w:color="auto" w:fill="FFFFFF"/>
        </w:rPr>
        <w:t xml:space="preserve"> (p. 30)</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da </w:t>
      </w:r>
      <w:r w:rsidRPr="007E3047">
        <w:rPr>
          <w:rFonts w:ascii="Times New Roman" w:hAnsi="Times New Roman"/>
          <w:i/>
          <w:sz w:val="24"/>
          <w:szCs w:val="24"/>
        </w:rPr>
        <w:t>Comunidade Mayagna (Sumo) Awas Tingni vs. Nicarágua</w:t>
      </w:r>
      <w:r w:rsidRPr="007E3047">
        <w:rPr>
          <w:rFonts w:ascii="Times New Roman" w:hAnsi="Times New Roman"/>
          <w:sz w:val="24"/>
          <w:szCs w:val="24"/>
        </w:rPr>
        <w:t>. Sentença de Mérito, Reparações e Custas,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79.</w:t>
      </w:r>
      <w:r w:rsidR="00374E88" w:rsidRPr="007E3047">
        <w:rPr>
          <w:rFonts w:ascii="Times New Roman" w:hAnsi="Times New Roman"/>
          <w:sz w:val="24"/>
          <w:szCs w:val="24"/>
        </w:rPr>
        <w:t xml:space="preserve"> (p. 28)</w:t>
      </w:r>
    </w:p>
    <w:p w:rsidR="004C1B14" w:rsidRPr="007E3047" w:rsidRDefault="004C1B14" w:rsidP="004C1B14">
      <w:pPr>
        <w:pStyle w:val="Heading3"/>
        <w:spacing w:before="0" w:line="480" w:lineRule="auto"/>
        <w:jc w:val="both"/>
        <w:rPr>
          <w:rFonts w:ascii="Times New Roman" w:hAnsi="Times New Roman"/>
          <w:b w:val="0"/>
          <w:color w:val="auto"/>
          <w:sz w:val="24"/>
          <w:szCs w:val="24"/>
          <w:lang w:val="es-CO"/>
        </w:rPr>
      </w:pPr>
      <w:bookmarkStart w:id="38" w:name="_Toc414915691"/>
      <w:bookmarkStart w:id="39" w:name="_Toc414915812"/>
      <w:r w:rsidRPr="007E3047">
        <w:rPr>
          <w:rFonts w:ascii="Times New Roman" w:hAnsi="Times New Roman"/>
          <w:b w:val="0"/>
          <w:color w:val="auto"/>
          <w:sz w:val="24"/>
          <w:szCs w:val="24"/>
        </w:rPr>
        <w:t xml:space="preserve">Caso </w:t>
      </w:r>
      <w:r w:rsidRPr="007E3047">
        <w:rPr>
          <w:rFonts w:ascii="Times New Roman" w:hAnsi="Times New Roman"/>
          <w:b w:val="0"/>
          <w:i/>
          <w:color w:val="auto"/>
          <w:sz w:val="24"/>
          <w:szCs w:val="24"/>
        </w:rPr>
        <w:t>Durand Ugarte vs. Peru</w:t>
      </w:r>
      <w:r w:rsidRPr="007E3047">
        <w:rPr>
          <w:rFonts w:ascii="Times New Roman" w:hAnsi="Times New Roman"/>
          <w:b w:val="0"/>
          <w:color w:val="auto"/>
          <w:sz w:val="24"/>
          <w:szCs w:val="24"/>
        </w:rPr>
        <w:t>, Sentença de Mérito, 2000, Série C, nº 89.</w:t>
      </w:r>
      <w:bookmarkEnd w:id="38"/>
      <w:bookmarkEnd w:id="39"/>
      <w:r w:rsidRPr="007E3047">
        <w:rPr>
          <w:rFonts w:ascii="Times New Roman" w:hAnsi="Times New Roman"/>
          <w:b w:val="0"/>
          <w:color w:val="auto"/>
          <w:sz w:val="24"/>
          <w:szCs w:val="24"/>
        </w:rPr>
        <w:t xml:space="preserve"> </w:t>
      </w:r>
      <w:r w:rsidR="00374E88" w:rsidRPr="007E3047">
        <w:rPr>
          <w:rFonts w:ascii="Times New Roman" w:hAnsi="Times New Roman"/>
          <w:b w:val="0"/>
          <w:color w:val="auto"/>
          <w:sz w:val="24"/>
          <w:szCs w:val="24"/>
          <w:lang w:val="es-CO"/>
        </w:rPr>
        <w:t>(p. 15, 25)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Caso de </w:t>
      </w:r>
      <w:r w:rsidRPr="007E3047">
        <w:rPr>
          <w:rFonts w:ascii="Times New Roman" w:hAnsi="Times New Roman"/>
          <w:i/>
          <w:sz w:val="24"/>
          <w:szCs w:val="24"/>
          <w:lang w:val="es-ES"/>
        </w:rPr>
        <w:t>la Masacre de las Dos Erres vs. Guatemala</w:t>
      </w:r>
      <w:r w:rsidRPr="007E3047">
        <w:rPr>
          <w:rFonts w:ascii="Times New Roman" w:hAnsi="Times New Roman"/>
          <w:sz w:val="24"/>
          <w:szCs w:val="24"/>
          <w:lang w:val="es-ES"/>
        </w:rPr>
        <w:t xml:space="preserve">. </w:t>
      </w:r>
      <w:r w:rsidRPr="007E3047">
        <w:rPr>
          <w:rFonts w:ascii="Times New Roman" w:hAnsi="Times New Roman"/>
          <w:sz w:val="24"/>
          <w:szCs w:val="24"/>
        </w:rPr>
        <w:t>Sentença de Exceções Preliminares, Mérito, Reparações e Custas, 2009,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211. </w:t>
      </w:r>
      <w:r w:rsidR="00374E88" w:rsidRPr="007E3047">
        <w:rPr>
          <w:rFonts w:ascii="Times New Roman" w:hAnsi="Times New Roman"/>
          <w:sz w:val="24"/>
          <w:szCs w:val="24"/>
        </w:rPr>
        <w:t xml:space="preserve">(p. </w:t>
      </w:r>
      <w:r w:rsidR="002C44D5" w:rsidRPr="007E3047">
        <w:rPr>
          <w:rFonts w:ascii="Times New Roman" w:hAnsi="Times New Roman"/>
          <w:sz w:val="24"/>
          <w:szCs w:val="24"/>
        </w:rPr>
        <w:t>19)</w:t>
      </w:r>
    </w:p>
    <w:p w:rsidR="007F68FD" w:rsidRPr="007E3047" w:rsidRDefault="00B418A4" w:rsidP="00CA66DD">
      <w:pPr>
        <w:pStyle w:val="FootnoteText"/>
        <w:spacing w:line="480" w:lineRule="auto"/>
        <w:jc w:val="both"/>
        <w:rPr>
          <w:rFonts w:ascii="Times New Roman" w:hAnsi="Times New Roman"/>
          <w:sz w:val="24"/>
          <w:szCs w:val="24"/>
        </w:rPr>
      </w:pPr>
      <w:r w:rsidRPr="00634A80">
        <w:rPr>
          <w:rFonts w:ascii="Times New Roman" w:hAnsi="Times New Roman"/>
          <w:sz w:val="24"/>
          <w:szCs w:val="24"/>
          <w:lang w:val="es-ES"/>
        </w:rPr>
        <w:t xml:space="preserve">Caso de </w:t>
      </w:r>
      <w:r w:rsidRPr="00634A80">
        <w:rPr>
          <w:rFonts w:ascii="Times New Roman" w:hAnsi="Times New Roman"/>
          <w:i/>
          <w:sz w:val="24"/>
          <w:szCs w:val="24"/>
          <w:lang w:val="es-ES"/>
        </w:rPr>
        <w:t>la Masacre de Mapiripán vs. Colombia</w:t>
      </w:r>
      <w:r w:rsidRPr="00634A80">
        <w:rPr>
          <w:rFonts w:ascii="Times New Roman" w:hAnsi="Times New Roman"/>
          <w:sz w:val="24"/>
          <w:szCs w:val="24"/>
          <w:lang w:val="es-ES"/>
        </w:rPr>
        <w:t xml:space="preserve">. </w:t>
      </w:r>
      <w:r w:rsidRPr="007E3047">
        <w:rPr>
          <w:rFonts w:ascii="Times New Roman" w:hAnsi="Times New Roman"/>
          <w:sz w:val="24"/>
          <w:szCs w:val="24"/>
        </w:rPr>
        <w:t>Sentença de Mérito, Reparações e Custas, 2005,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134. </w:t>
      </w:r>
      <w:r w:rsidR="002C44D5" w:rsidRPr="007E3047">
        <w:rPr>
          <w:rFonts w:ascii="Times New Roman" w:hAnsi="Times New Roman"/>
          <w:sz w:val="24"/>
          <w:szCs w:val="24"/>
        </w:rPr>
        <w:t>(p. 18)</w:t>
      </w:r>
    </w:p>
    <w:p w:rsidR="00B418A4" w:rsidRPr="007E3047" w:rsidRDefault="00B418A4" w:rsidP="00CA66DD">
      <w:pPr>
        <w:pStyle w:val="FootnoteText"/>
        <w:spacing w:line="480" w:lineRule="auto"/>
        <w:jc w:val="both"/>
        <w:rPr>
          <w:rFonts w:ascii="Times New Roman" w:hAnsi="Times New Roman"/>
          <w:sz w:val="24"/>
          <w:szCs w:val="24"/>
        </w:rPr>
      </w:pPr>
      <w:r w:rsidRPr="00634A80">
        <w:rPr>
          <w:rFonts w:ascii="Times New Roman" w:hAnsi="Times New Roman"/>
          <w:sz w:val="24"/>
          <w:szCs w:val="24"/>
          <w:lang w:val="es-ES"/>
        </w:rPr>
        <w:t xml:space="preserve">Caso de </w:t>
      </w:r>
      <w:r w:rsidRPr="00634A80">
        <w:rPr>
          <w:rFonts w:ascii="Times New Roman" w:hAnsi="Times New Roman"/>
          <w:i/>
          <w:sz w:val="24"/>
          <w:szCs w:val="24"/>
          <w:lang w:val="es-ES"/>
        </w:rPr>
        <w:t>las Masacres de Ituango vs. Colombia</w:t>
      </w:r>
      <w:r w:rsidRPr="00634A80">
        <w:rPr>
          <w:rFonts w:ascii="Times New Roman" w:hAnsi="Times New Roman"/>
          <w:sz w:val="24"/>
          <w:szCs w:val="24"/>
          <w:lang w:val="es-ES"/>
        </w:rPr>
        <w:t xml:space="preserve">. </w:t>
      </w:r>
      <w:r w:rsidRPr="007E3047">
        <w:rPr>
          <w:rFonts w:ascii="Times New Roman" w:hAnsi="Times New Roman"/>
          <w:sz w:val="24"/>
          <w:szCs w:val="24"/>
        </w:rPr>
        <w:t>Sentença de Exceções Preliminares, Mérito, Reparações e Custas, 2006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148. </w:t>
      </w:r>
      <w:r w:rsidR="002C44D5" w:rsidRPr="007E3047">
        <w:rPr>
          <w:rFonts w:ascii="Times New Roman" w:hAnsi="Times New Roman"/>
          <w:sz w:val="24"/>
          <w:szCs w:val="24"/>
        </w:rPr>
        <w:t>(p. 18, 29)</w:t>
      </w:r>
    </w:p>
    <w:p w:rsidR="00B418A4" w:rsidRPr="007E3047" w:rsidRDefault="00B418A4" w:rsidP="00CA66DD">
      <w:pPr>
        <w:pStyle w:val="FootnoteText"/>
        <w:spacing w:line="480" w:lineRule="auto"/>
        <w:jc w:val="both"/>
        <w:rPr>
          <w:rFonts w:ascii="Times New Roman" w:hAnsi="Times New Roman"/>
          <w:i/>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Goiburú e outros vs. Paraguai.</w:t>
      </w:r>
      <w:r w:rsidRPr="007E3047">
        <w:rPr>
          <w:rFonts w:ascii="Times New Roman" w:hAnsi="Times New Roman"/>
          <w:sz w:val="24"/>
          <w:szCs w:val="24"/>
        </w:rPr>
        <w:t xml:space="preserve"> Sentença de Mérito, Reparações e Custas, 2006, Serie C, n</w:t>
      </w:r>
      <w:r w:rsidRPr="007E3047">
        <w:rPr>
          <w:rFonts w:ascii="Times New Roman" w:hAnsi="Times New Roman"/>
          <w:sz w:val="24"/>
          <w:szCs w:val="24"/>
          <w:vertAlign w:val="superscript"/>
        </w:rPr>
        <w:t xml:space="preserve">o </w:t>
      </w:r>
      <w:r w:rsidRPr="007E3047">
        <w:rPr>
          <w:rFonts w:ascii="Times New Roman" w:hAnsi="Times New Roman"/>
          <w:sz w:val="24"/>
          <w:szCs w:val="24"/>
        </w:rPr>
        <w:t>53.</w:t>
      </w:r>
      <w:r w:rsidR="002C44D5" w:rsidRPr="007E3047">
        <w:rPr>
          <w:rFonts w:ascii="Times New Roman" w:hAnsi="Times New Roman"/>
          <w:sz w:val="24"/>
          <w:szCs w:val="24"/>
        </w:rPr>
        <w:t xml:space="preserve"> (p. 32)</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Gomes Lund e outros vs. Brasil</w:t>
      </w:r>
      <w:r w:rsidRPr="007E3047">
        <w:rPr>
          <w:rFonts w:ascii="Times New Roman" w:hAnsi="Times New Roman"/>
          <w:sz w:val="24"/>
          <w:szCs w:val="24"/>
        </w:rPr>
        <w:t xml:space="preserve"> (“Guerrilha do Araguaia”). Sentença de Exceções Preliminares, Mérito, Reparações e Custas, 2010,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219.</w:t>
      </w:r>
      <w:r w:rsidR="00A8484B" w:rsidRPr="007E3047">
        <w:rPr>
          <w:rFonts w:ascii="Times New Roman" w:hAnsi="Times New Roman"/>
          <w:sz w:val="24"/>
          <w:szCs w:val="24"/>
        </w:rPr>
        <w:t xml:space="preserve"> (p. 18, 19, 23, 27, 28, 32) </w:t>
      </w:r>
    </w:p>
    <w:p w:rsidR="00B418A4" w:rsidRPr="007E3047" w:rsidRDefault="00B418A4" w:rsidP="00CA66DD">
      <w:pPr>
        <w:pStyle w:val="FootnoteText"/>
        <w:spacing w:line="480" w:lineRule="auto"/>
        <w:jc w:val="both"/>
        <w:rPr>
          <w:rFonts w:ascii="Times New Roman" w:hAnsi="Times New Roman"/>
          <w:sz w:val="24"/>
          <w:szCs w:val="24"/>
        </w:rPr>
      </w:pPr>
      <w:r w:rsidRPr="00634A80">
        <w:rPr>
          <w:rFonts w:ascii="Times New Roman" w:hAnsi="Times New Roman"/>
          <w:iCs/>
          <w:sz w:val="24"/>
          <w:szCs w:val="24"/>
          <w:lang w:val="es-ES"/>
        </w:rPr>
        <w:t>Caso</w:t>
      </w:r>
      <w:r w:rsidRPr="00634A80">
        <w:rPr>
          <w:rFonts w:ascii="Times New Roman" w:hAnsi="Times New Roman"/>
          <w:i/>
          <w:iCs/>
          <w:sz w:val="24"/>
          <w:szCs w:val="24"/>
          <w:lang w:val="es-ES"/>
        </w:rPr>
        <w:t xml:space="preserve"> Ibsen Cárdenas e Ibsen Peña vs. Bolívia</w:t>
      </w:r>
      <w:r w:rsidRPr="00634A80">
        <w:rPr>
          <w:rFonts w:ascii="Times New Roman" w:hAnsi="Times New Roman"/>
          <w:iCs/>
          <w:sz w:val="24"/>
          <w:szCs w:val="24"/>
          <w:lang w:val="es-ES"/>
        </w:rPr>
        <w:t xml:space="preserve">. </w:t>
      </w:r>
      <w:r w:rsidRPr="007E3047">
        <w:rPr>
          <w:rFonts w:ascii="Times New Roman" w:hAnsi="Times New Roman"/>
          <w:iCs/>
          <w:sz w:val="24"/>
          <w:szCs w:val="24"/>
        </w:rPr>
        <w:t>Sentença de Mérito, Reparações e Custas, 2010</w:t>
      </w:r>
      <w:r w:rsidRPr="007E3047">
        <w:rPr>
          <w:rFonts w:ascii="Times New Roman" w:hAnsi="Times New Roman"/>
          <w:sz w:val="24"/>
          <w:szCs w:val="24"/>
        </w:rPr>
        <w:t>,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217.</w:t>
      </w:r>
      <w:r w:rsidR="00A8484B" w:rsidRPr="007E3047">
        <w:rPr>
          <w:rFonts w:ascii="Times New Roman" w:hAnsi="Times New Roman"/>
          <w:sz w:val="24"/>
          <w:szCs w:val="24"/>
        </w:rPr>
        <w:t xml:space="preserve"> (p.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Ivecher Bronstei vs. Peru</w:t>
      </w:r>
      <w:r w:rsidRPr="007E3047">
        <w:rPr>
          <w:rFonts w:ascii="Times New Roman" w:hAnsi="Times New Roman"/>
          <w:sz w:val="24"/>
          <w:szCs w:val="24"/>
        </w:rPr>
        <w:t>. Sentença de Mérito, Reparações e Custas, 2001,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74.</w:t>
      </w:r>
      <w:r w:rsidR="00A8484B" w:rsidRPr="007E3047">
        <w:rPr>
          <w:rFonts w:ascii="Times New Roman" w:hAnsi="Times New Roman"/>
          <w:sz w:val="24"/>
          <w:szCs w:val="24"/>
        </w:rPr>
        <w:t xml:space="preserve"> (p. 27)</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bCs/>
          <w:sz w:val="24"/>
          <w:szCs w:val="24"/>
        </w:rPr>
        <w:lastRenderedPageBreak/>
        <w:t xml:space="preserve">Caso </w:t>
      </w:r>
      <w:r w:rsidRPr="007E3047">
        <w:rPr>
          <w:rFonts w:ascii="Times New Roman" w:hAnsi="Times New Roman"/>
          <w:bCs/>
          <w:i/>
          <w:sz w:val="24"/>
          <w:szCs w:val="24"/>
        </w:rPr>
        <w:t>Juan Humberto Sánchez vs. Honduras</w:t>
      </w:r>
      <w:r w:rsidRPr="007E3047">
        <w:rPr>
          <w:rFonts w:ascii="Times New Roman" w:hAnsi="Times New Roman"/>
          <w:bCs/>
          <w:sz w:val="24"/>
          <w:szCs w:val="24"/>
        </w:rPr>
        <w:t>. Sentença de Exceções Preliminares, Mérito, Reparações e Custas,</w:t>
      </w:r>
      <w:r w:rsidRPr="007E3047">
        <w:rPr>
          <w:rFonts w:ascii="Times New Roman" w:hAnsi="Times New Roman"/>
          <w:sz w:val="24"/>
          <w:szCs w:val="24"/>
        </w:rPr>
        <w:t xml:space="preserve"> 2003, Serie C, nº 99.</w:t>
      </w:r>
      <w:r w:rsidR="00A8484B" w:rsidRPr="007E3047">
        <w:rPr>
          <w:rFonts w:ascii="Times New Roman" w:hAnsi="Times New Roman"/>
          <w:sz w:val="24"/>
          <w:szCs w:val="24"/>
        </w:rPr>
        <w:t xml:space="preserve"> (p. 15)</w:t>
      </w:r>
    </w:p>
    <w:p w:rsidR="00B54460" w:rsidRPr="007E3047" w:rsidRDefault="00B54460" w:rsidP="00B54460">
      <w:pPr>
        <w:pStyle w:val="FootnoteText"/>
        <w:spacing w:line="480" w:lineRule="auto"/>
        <w:jc w:val="both"/>
        <w:rPr>
          <w:rFonts w:ascii="Times New Roman" w:hAnsi="Times New Roman"/>
          <w:sz w:val="24"/>
          <w:szCs w:val="24"/>
        </w:rPr>
      </w:pPr>
      <w:r w:rsidRPr="00634A80">
        <w:rPr>
          <w:rFonts w:ascii="Times New Roman" w:hAnsi="Times New Roman"/>
          <w:sz w:val="24"/>
          <w:szCs w:val="24"/>
          <w:lang w:val="es-ES"/>
        </w:rPr>
        <w:t xml:space="preserve">Caso </w:t>
      </w:r>
      <w:r w:rsidRPr="00634A80">
        <w:rPr>
          <w:rFonts w:ascii="Times New Roman" w:hAnsi="Times New Roman"/>
          <w:i/>
          <w:sz w:val="24"/>
          <w:szCs w:val="24"/>
          <w:lang w:val="es-ES"/>
        </w:rPr>
        <w:t>La Cantuta vs. Peru</w:t>
      </w:r>
      <w:r w:rsidRPr="00634A80">
        <w:rPr>
          <w:rFonts w:ascii="Times New Roman" w:hAnsi="Times New Roman"/>
          <w:sz w:val="24"/>
          <w:szCs w:val="24"/>
          <w:lang w:val="es-ES"/>
        </w:rPr>
        <w:t xml:space="preserve">. </w:t>
      </w:r>
      <w:r w:rsidRPr="007E3047">
        <w:rPr>
          <w:rFonts w:ascii="Times New Roman" w:hAnsi="Times New Roman"/>
          <w:sz w:val="24"/>
          <w:szCs w:val="24"/>
        </w:rPr>
        <w:t>Sentença de Mérito, Reparações e Custas, 2006, Série C, n</w:t>
      </w:r>
      <w:r w:rsidRPr="007E3047">
        <w:rPr>
          <w:rFonts w:ascii="Times New Roman" w:hAnsi="Times New Roman"/>
          <w:sz w:val="24"/>
          <w:szCs w:val="24"/>
          <w:vertAlign w:val="superscript"/>
        </w:rPr>
        <w:t xml:space="preserve">o </w:t>
      </w:r>
      <w:r w:rsidRPr="007E3047">
        <w:rPr>
          <w:rFonts w:ascii="Times New Roman" w:hAnsi="Times New Roman"/>
          <w:sz w:val="24"/>
          <w:szCs w:val="24"/>
        </w:rPr>
        <w:t>162.</w:t>
      </w:r>
      <w:r w:rsidR="00A8484B" w:rsidRPr="007E3047">
        <w:rPr>
          <w:rFonts w:ascii="Times New Roman" w:hAnsi="Times New Roman"/>
          <w:sz w:val="24"/>
          <w:szCs w:val="24"/>
        </w:rPr>
        <w:t xml:space="preserve"> (p. 23, 26)</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“La Última Tentación de Cristo” (Olmedo Bustos e outros) vs. Chile</w:t>
      </w:r>
      <w:r w:rsidRPr="007E3047">
        <w:rPr>
          <w:rFonts w:ascii="Times New Roman" w:hAnsi="Times New Roman"/>
          <w:sz w:val="24"/>
          <w:szCs w:val="24"/>
        </w:rPr>
        <w:t>. Sentença de Exceções Preliminares, Mérito, Reparações e Custas,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73.</w:t>
      </w:r>
      <w:r w:rsidR="00A8484B" w:rsidRPr="007E3047">
        <w:rPr>
          <w:rFonts w:ascii="Times New Roman" w:hAnsi="Times New Roman"/>
          <w:sz w:val="24"/>
          <w:szCs w:val="24"/>
        </w:rPr>
        <w:t xml:space="preserve"> (p. </w:t>
      </w:r>
      <w:r w:rsidR="00714B4D" w:rsidRPr="007E3047">
        <w:rPr>
          <w:rFonts w:ascii="Times New Roman" w:hAnsi="Times New Roman"/>
          <w:sz w:val="24"/>
          <w:szCs w:val="24"/>
        </w:rPr>
        <w:t>25)</w:t>
      </w:r>
    </w:p>
    <w:p w:rsidR="00B418A4" w:rsidRPr="007E3047" w:rsidRDefault="00B418A4" w:rsidP="00CA66DD">
      <w:pPr>
        <w:pStyle w:val="FootnoteText"/>
        <w:spacing w:line="480" w:lineRule="auto"/>
        <w:jc w:val="both"/>
        <w:rPr>
          <w:rFonts w:ascii="Times New Roman" w:hAnsi="Times New Roman"/>
          <w:sz w:val="24"/>
          <w:szCs w:val="24"/>
        </w:rPr>
      </w:pPr>
      <w:r w:rsidRPr="00634A80">
        <w:rPr>
          <w:rFonts w:ascii="Times New Roman" w:hAnsi="Times New Roman"/>
          <w:sz w:val="24"/>
          <w:szCs w:val="24"/>
          <w:lang w:val="es-ES"/>
        </w:rPr>
        <w:t xml:space="preserve">Caso </w:t>
      </w:r>
      <w:r w:rsidRPr="00634A80">
        <w:rPr>
          <w:rFonts w:ascii="Times New Roman" w:hAnsi="Times New Roman"/>
          <w:i/>
          <w:sz w:val="24"/>
          <w:szCs w:val="24"/>
          <w:lang w:val="es-ES"/>
        </w:rPr>
        <w:t>Las Palmeras vs. Colombia</w:t>
      </w:r>
      <w:r w:rsidRPr="00634A80">
        <w:rPr>
          <w:rFonts w:ascii="Times New Roman" w:hAnsi="Times New Roman"/>
          <w:sz w:val="24"/>
          <w:szCs w:val="24"/>
          <w:lang w:val="es-ES"/>
        </w:rPr>
        <w:t xml:space="preserve">. </w:t>
      </w:r>
      <w:r w:rsidRPr="007E3047">
        <w:rPr>
          <w:rFonts w:ascii="Times New Roman" w:hAnsi="Times New Roman"/>
          <w:sz w:val="24"/>
          <w:szCs w:val="24"/>
        </w:rPr>
        <w:t>Sentença de Mérito,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67.</w:t>
      </w:r>
      <w:r w:rsidR="00714B4D" w:rsidRPr="007E3047">
        <w:rPr>
          <w:rFonts w:ascii="Times New Roman" w:hAnsi="Times New Roman"/>
          <w:sz w:val="24"/>
          <w:szCs w:val="24"/>
        </w:rPr>
        <w:t xml:space="preserve"> (p. </w:t>
      </w:r>
      <w:r w:rsidR="009E7D0E" w:rsidRPr="007E3047">
        <w:rPr>
          <w:rFonts w:ascii="Times New Roman" w:hAnsi="Times New Roman"/>
          <w:sz w:val="24"/>
          <w:szCs w:val="24"/>
        </w:rPr>
        <w:t>19, 34)</w:t>
      </w:r>
    </w:p>
    <w:p w:rsidR="004C1B1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Corte IDH. </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López Alvarez vs. Honduras</w:t>
      </w:r>
      <w:r w:rsidRPr="007E3047">
        <w:rPr>
          <w:rFonts w:ascii="Times New Roman" w:hAnsi="Times New Roman"/>
          <w:sz w:val="24"/>
          <w:szCs w:val="24"/>
        </w:rPr>
        <w:t>. Sentença de Mérito, Reparações e Custas, 2006, Série C, nº 141.</w:t>
      </w:r>
      <w:r w:rsidR="009E7D0E" w:rsidRPr="007E3047">
        <w:rPr>
          <w:rFonts w:ascii="Times New Roman" w:hAnsi="Times New Roman"/>
          <w:sz w:val="24"/>
          <w:szCs w:val="24"/>
        </w:rPr>
        <w:t xml:space="preserve"> (p. </w:t>
      </w:r>
      <w:r w:rsidR="00D95D31" w:rsidRPr="007E3047">
        <w:rPr>
          <w:rFonts w:ascii="Times New Roman" w:hAnsi="Times New Roman"/>
          <w:sz w:val="24"/>
          <w:szCs w:val="24"/>
        </w:rPr>
        <w:t>29)</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dos </w:t>
      </w:r>
      <w:r w:rsidR="00D95D31" w:rsidRPr="007E3047">
        <w:rPr>
          <w:rFonts w:ascii="Times New Roman" w:hAnsi="Times New Roman"/>
          <w:i/>
          <w:sz w:val="24"/>
          <w:szCs w:val="24"/>
        </w:rPr>
        <w:t>Ma</w:t>
      </w:r>
      <w:r w:rsidRPr="007E3047">
        <w:rPr>
          <w:rFonts w:ascii="Times New Roman" w:hAnsi="Times New Roman"/>
          <w:i/>
          <w:sz w:val="24"/>
          <w:szCs w:val="24"/>
        </w:rPr>
        <w:t>sacres de el Mozote e Lugares Vizinhos vs El Salvador</w:t>
      </w:r>
      <w:r w:rsidRPr="007E3047">
        <w:rPr>
          <w:rFonts w:ascii="Times New Roman" w:hAnsi="Times New Roman"/>
          <w:bCs/>
          <w:sz w:val="24"/>
          <w:szCs w:val="24"/>
        </w:rPr>
        <w:t>. Sentença de Mérito, Reparações e Custas, 2012, Serie C, n</w:t>
      </w:r>
      <w:r w:rsidRPr="007E3047">
        <w:rPr>
          <w:rFonts w:ascii="Times New Roman" w:hAnsi="Times New Roman"/>
          <w:bCs/>
          <w:sz w:val="24"/>
          <w:szCs w:val="24"/>
          <w:vertAlign w:val="superscript"/>
        </w:rPr>
        <w:t>o</w:t>
      </w:r>
      <w:r w:rsidRPr="007E3047">
        <w:rPr>
          <w:rFonts w:ascii="Times New Roman" w:hAnsi="Times New Roman"/>
          <w:bCs/>
          <w:sz w:val="24"/>
          <w:szCs w:val="24"/>
        </w:rPr>
        <w:t xml:space="preserve"> 252</w:t>
      </w:r>
      <w:r w:rsidRPr="007E3047">
        <w:rPr>
          <w:rFonts w:ascii="Times New Roman" w:hAnsi="Times New Roman"/>
          <w:sz w:val="24"/>
          <w:szCs w:val="24"/>
        </w:rPr>
        <w:t xml:space="preserve">. </w:t>
      </w:r>
      <w:r w:rsidR="00D95D31" w:rsidRPr="007E3047">
        <w:rPr>
          <w:rFonts w:ascii="Times New Roman" w:hAnsi="Times New Roman"/>
          <w:sz w:val="24"/>
          <w:szCs w:val="24"/>
        </w:rPr>
        <w:t>(p. 18)</w:t>
      </w:r>
    </w:p>
    <w:p w:rsidR="00D126AC" w:rsidRPr="007E3047" w:rsidRDefault="00B418A4" w:rsidP="00B54460">
      <w:pPr>
        <w:pStyle w:val="FootnoteText"/>
        <w:spacing w:line="480" w:lineRule="auto"/>
        <w:jc w:val="both"/>
        <w:rPr>
          <w:rFonts w:ascii="Times New Roman" w:hAnsi="Times New Roman"/>
          <w:sz w:val="24"/>
          <w:szCs w:val="24"/>
          <w:lang w:val="es-ES"/>
        </w:rPr>
      </w:pPr>
      <w:r w:rsidRPr="007E3047">
        <w:rPr>
          <w:rFonts w:ascii="Times New Roman" w:hAnsi="Times New Roman"/>
          <w:sz w:val="24"/>
          <w:szCs w:val="24"/>
        </w:rPr>
        <w:t xml:space="preserve">Caso </w:t>
      </w:r>
      <w:r w:rsidRPr="007E3047">
        <w:rPr>
          <w:rFonts w:ascii="Times New Roman" w:hAnsi="Times New Roman"/>
          <w:i/>
          <w:sz w:val="24"/>
          <w:szCs w:val="24"/>
        </w:rPr>
        <w:t>Masacre de Santo Domingo</w:t>
      </w:r>
      <w:r w:rsidRPr="007E3047">
        <w:rPr>
          <w:rFonts w:ascii="Times New Roman" w:hAnsi="Times New Roman"/>
          <w:sz w:val="24"/>
          <w:szCs w:val="24"/>
        </w:rPr>
        <w:t xml:space="preserve"> vs. Colombia. Sentença de Exceções Preliminares, Mérito e Reparações, 2012,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259.</w:t>
      </w:r>
      <w:r w:rsidR="00D95D31" w:rsidRPr="007E3047">
        <w:rPr>
          <w:rFonts w:ascii="Times New Roman" w:hAnsi="Times New Roman"/>
          <w:sz w:val="24"/>
          <w:szCs w:val="24"/>
        </w:rPr>
        <w:t xml:space="preserve"> </w:t>
      </w:r>
      <w:r w:rsidR="00D95D31" w:rsidRPr="007E3047">
        <w:rPr>
          <w:rFonts w:ascii="Times New Roman" w:hAnsi="Times New Roman"/>
          <w:sz w:val="24"/>
          <w:szCs w:val="24"/>
          <w:lang w:val="es-ES"/>
        </w:rPr>
        <w:t>(p. 20)</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shd w:val="clear" w:color="auto" w:fill="FFFFFF"/>
        </w:rPr>
        <w:t>Caso</w:t>
      </w:r>
      <w:r w:rsidRPr="007E3047">
        <w:rPr>
          <w:rStyle w:val="apple-converted-space"/>
          <w:rFonts w:ascii="Times New Roman" w:hAnsi="Times New Roman"/>
          <w:sz w:val="24"/>
          <w:szCs w:val="24"/>
          <w:shd w:val="clear" w:color="auto" w:fill="FFFFFF"/>
        </w:rPr>
        <w:t> </w:t>
      </w:r>
      <w:r w:rsidRPr="007E3047">
        <w:rPr>
          <w:rFonts w:ascii="Times New Roman" w:hAnsi="Times New Roman"/>
          <w:i/>
          <w:iCs/>
          <w:sz w:val="24"/>
          <w:szCs w:val="24"/>
          <w:shd w:val="clear" w:color="auto" w:fill="FFFFFF"/>
        </w:rPr>
        <w:t>Mejía Idrovo vs. Equador.</w:t>
      </w:r>
      <w:r w:rsidRPr="007E3047">
        <w:rPr>
          <w:rStyle w:val="apple-converted-space"/>
          <w:rFonts w:ascii="Times New Roman" w:hAnsi="Times New Roman"/>
          <w:i/>
          <w:iCs/>
          <w:sz w:val="24"/>
          <w:szCs w:val="24"/>
          <w:shd w:val="clear" w:color="auto" w:fill="FFFFFF"/>
        </w:rPr>
        <w:t> </w:t>
      </w:r>
      <w:r w:rsidRPr="007E3047">
        <w:rPr>
          <w:rFonts w:ascii="Times New Roman" w:hAnsi="Times New Roman"/>
          <w:sz w:val="24"/>
          <w:szCs w:val="24"/>
          <w:shd w:val="clear" w:color="auto" w:fill="FFFFFF"/>
        </w:rPr>
        <w:t>Sentença de Exceções Preliminares, Mérito, Reparações e Custas, 2011, Série C, nº 228.</w:t>
      </w:r>
      <w:r w:rsidR="00D95D31" w:rsidRPr="007E3047">
        <w:rPr>
          <w:rFonts w:ascii="Times New Roman" w:hAnsi="Times New Roman"/>
          <w:sz w:val="24"/>
          <w:szCs w:val="24"/>
          <w:shd w:val="clear" w:color="auto" w:fill="FFFFFF"/>
        </w:rPr>
        <w:t xml:space="preserve"> (p. </w:t>
      </w:r>
      <w:r w:rsidR="00F31B87" w:rsidRPr="007E3047">
        <w:rPr>
          <w:rFonts w:ascii="Times New Roman" w:hAnsi="Times New Roman"/>
          <w:sz w:val="24"/>
          <w:szCs w:val="24"/>
          <w:shd w:val="clear" w:color="auto" w:fill="FFFFFF"/>
        </w:rPr>
        <w:t>30)</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Meninas Yean e Bosico vs. República Dominicana</w:t>
      </w:r>
      <w:r w:rsidRPr="007E3047">
        <w:rPr>
          <w:rFonts w:ascii="Times New Roman" w:hAnsi="Times New Roman"/>
          <w:sz w:val="24"/>
          <w:szCs w:val="24"/>
        </w:rPr>
        <w:t>. Interpretação da Sentença de Exceções Preliminares, Mérito, Reparações e Custas, 2006, Série C, nº 156.</w:t>
      </w:r>
      <w:r w:rsidR="00F31B87" w:rsidRPr="007E3047">
        <w:rPr>
          <w:rFonts w:ascii="Times New Roman" w:hAnsi="Times New Roman"/>
          <w:sz w:val="24"/>
          <w:szCs w:val="24"/>
        </w:rPr>
        <w:t xml:space="preserve"> (p. 31, 36)</w:t>
      </w:r>
    </w:p>
    <w:p w:rsidR="00B418A4" w:rsidRPr="007E3047" w:rsidRDefault="00B418A4" w:rsidP="00CA66DD">
      <w:pPr>
        <w:spacing w:after="0" w:line="480" w:lineRule="auto"/>
        <w:jc w:val="both"/>
        <w:rPr>
          <w:rFonts w:ascii="Times New Roman" w:eastAsia="Times New Roman" w:hAnsi="Times New Roman"/>
          <w:sz w:val="24"/>
          <w:szCs w:val="24"/>
          <w:lang w:eastAsia="pt-BR"/>
        </w:rPr>
      </w:pPr>
      <w:r w:rsidRPr="007E3047">
        <w:rPr>
          <w:rFonts w:ascii="Times New Roman" w:eastAsia="Times New Roman" w:hAnsi="Times New Roman"/>
          <w:sz w:val="24"/>
          <w:szCs w:val="24"/>
          <w:lang w:eastAsia="pt-BR"/>
        </w:rPr>
        <w:t xml:space="preserve">Caso </w:t>
      </w:r>
      <w:r w:rsidRPr="007E3047">
        <w:rPr>
          <w:rFonts w:ascii="Times New Roman" w:eastAsia="Times New Roman" w:hAnsi="Times New Roman"/>
          <w:i/>
          <w:sz w:val="24"/>
          <w:szCs w:val="24"/>
          <w:lang w:eastAsia="pt-BR"/>
        </w:rPr>
        <w:t>Povo Indígena Kichwa de Sarayaku vs. Equador</w:t>
      </w:r>
      <w:r w:rsidRPr="007E3047">
        <w:rPr>
          <w:rFonts w:ascii="Times New Roman" w:eastAsia="Times New Roman" w:hAnsi="Times New Roman"/>
          <w:sz w:val="24"/>
          <w:szCs w:val="24"/>
          <w:lang w:eastAsia="pt-BR"/>
        </w:rPr>
        <w:t>. Sentença de Mérito e Reparações, 2012, Série C, nº 245, fls. 107.</w:t>
      </w:r>
      <w:r w:rsidR="00F31B87" w:rsidRPr="007E3047">
        <w:rPr>
          <w:rFonts w:ascii="Times New Roman" w:eastAsia="Times New Roman" w:hAnsi="Times New Roman"/>
          <w:sz w:val="24"/>
          <w:szCs w:val="24"/>
          <w:lang w:eastAsia="pt-BR"/>
        </w:rPr>
        <w:t xml:space="preserve"> (p. 35, 36)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iCs/>
          <w:sz w:val="24"/>
          <w:szCs w:val="24"/>
        </w:rPr>
        <w:t>Caso</w:t>
      </w:r>
      <w:r w:rsidRPr="007E3047">
        <w:rPr>
          <w:rFonts w:ascii="Times New Roman" w:hAnsi="Times New Roman"/>
          <w:i/>
          <w:iCs/>
          <w:sz w:val="24"/>
          <w:szCs w:val="24"/>
        </w:rPr>
        <w:t xml:space="preserve"> Rosendo Cantú e outra vs. México</w:t>
      </w:r>
      <w:r w:rsidRPr="007E3047">
        <w:rPr>
          <w:rFonts w:ascii="Times New Roman" w:hAnsi="Times New Roman"/>
          <w:iCs/>
          <w:sz w:val="24"/>
          <w:szCs w:val="24"/>
        </w:rPr>
        <w:t>. Sentença de Exceção Preliminar, Mérito, Reparações e Custa, 2010, Serie C, n</w:t>
      </w:r>
      <w:r w:rsidRPr="007E3047">
        <w:rPr>
          <w:rFonts w:ascii="Times New Roman" w:hAnsi="Times New Roman"/>
          <w:iCs/>
          <w:sz w:val="24"/>
          <w:szCs w:val="24"/>
          <w:vertAlign w:val="superscript"/>
        </w:rPr>
        <w:t>o</w:t>
      </w:r>
      <w:r w:rsidRPr="007E3047">
        <w:rPr>
          <w:rFonts w:ascii="Times New Roman" w:hAnsi="Times New Roman"/>
          <w:iCs/>
          <w:sz w:val="24"/>
          <w:szCs w:val="24"/>
        </w:rPr>
        <w:t xml:space="preserve"> 216</w:t>
      </w:r>
      <w:r w:rsidRPr="007E3047">
        <w:rPr>
          <w:rFonts w:ascii="Times New Roman" w:hAnsi="Times New Roman"/>
          <w:sz w:val="24"/>
          <w:szCs w:val="24"/>
        </w:rPr>
        <w:t xml:space="preserve">. </w:t>
      </w:r>
      <w:r w:rsidR="00F31B87" w:rsidRPr="007E3047">
        <w:rPr>
          <w:rFonts w:ascii="Times New Roman" w:hAnsi="Times New Roman"/>
          <w:sz w:val="24"/>
          <w:szCs w:val="24"/>
        </w:rPr>
        <w:t>(p.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lastRenderedPageBreak/>
        <w:t xml:space="preserve">Caso </w:t>
      </w:r>
      <w:r w:rsidRPr="007E3047">
        <w:rPr>
          <w:rFonts w:ascii="Times New Roman" w:hAnsi="Times New Roman"/>
          <w:i/>
          <w:sz w:val="24"/>
          <w:szCs w:val="24"/>
        </w:rPr>
        <w:t>Sawhoyamaxa vs. Paraguai</w:t>
      </w:r>
      <w:r w:rsidRPr="007E3047">
        <w:rPr>
          <w:rFonts w:ascii="Times New Roman" w:hAnsi="Times New Roman"/>
          <w:sz w:val="24"/>
          <w:szCs w:val="24"/>
        </w:rPr>
        <w:t>. Sentença de Mérito, Reparações e Custas, 2006, Série C, nº 146.</w:t>
      </w:r>
      <w:r w:rsidR="00F31B87" w:rsidRPr="007E3047">
        <w:rPr>
          <w:rFonts w:ascii="Times New Roman" w:hAnsi="Times New Roman"/>
          <w:sz w:val="24"/>
          <w:szCs w:val="24"/>
        </w:rPr>
        <w:t xml:space="preserve"> (35)</w:t>
      </w:r>
    </w:p>
    <w:p w:rsidR="00B418A4" w:rsidRPr="007E3047" w:rsidRDefault="00B418A4" w:rsidP="00CA66DD">
      <w:pPr>
        <w:pStyle w:val="FootnoteText"/>
        <w:spacing w:line="480" w:lineRule="auto"/>
        <w:jc w:val="both"/>
        <w:rPr>
          <w:rFonts w:ascii="Times New Roman" w:hAnsi="Times New Roman"/>
          <w:sz w:val="24"/>
          <w:szCs w:val="24"/>
          <w:lang w:val="es-CO"/>
        </w:rPr>
      </w:pPr>
      <w:r w:rsidRPr="007E3047">
        <w:rPr>
          <w:rFonts w:ascii="Times New Roman" w:hAnsi="Times New Roman"/>
          <w:sz w:val="24"/>
          <w:szCs w:val="24"/>
        </w:rPr>
        <w:t xml:space="preserve">Caso </w:t>
      </w:r>
      <w:r w:rsidRPr="007E3047">
        <w:rPr>
          <w:rFonts w:ascii="Times New Roman" w:hAnsi="Times New Roman"/>
          <w:i/>
          <w:sz w:val="24"/>
          <w:szCs w:val="24"/>
        </w:rPr>
        <w:t>Velásquez Rodrigues vs. Honduras</w:t>
      </w:r>
      <w:r w:rsidRPr="007E3047">
        <w:rPr>
          <w:rFonts w:ascii="Times New Roman" w:hAnsi="Times New Roman"/>
          <w:sz w:val="24"/>
          <w:szCs w:val="24"/>
        </w:rPr>
        <w:t>. Sentença de Mérito, Reparações e Custas, 1989,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w:t>
      </w:r>
      <w:r w:rsidR="00F31B87" w:rsidRPr="007E3047">
        <w:rPr>
          <w:rFonts w:ascii="Times New Roman" w:hAnsi="Times New Roman"/>
          <w:sz w:val="24"/>
          <w:szCs w:val="24"/>
        </w:rPr>
        <w:t xml:space="preserve"> </w:t>
      </w:r>
      <w:r w:rsidR="00F31B87" w:rsidRPr="007E3047">
        <w:rPr>
          <w:rFonts w:ascii="Times New Roman" w:hAnsi="Times New Roman"/>
          <w:sz w:val="24"/>
          <w:szCs w:val="24"/>
          <w:lang w:val="es-CO"/>
        </w:rPr>
        <w:t>(p. 30)</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Caso </w:t>
      </w:r>
      <w:r w:rsidRPr="007E3047">
        <w:rPr>
          <w:rFonts w:ascii="Times New Roman" w:hAnsi="Times New Roman"/>
          <w:i/>
          <w:sz w:val="24"/>
          <w:szCs w:val="24"/>
          <w:lang w:val="es-ES"/>
        </w:rPr>
        <w:t xml:space="preserve">Villagrán Morales y outros vs. Guatemala </w:t>
      </w:r>
      <w:r w:rsidRPr="007E3047">
        <w:rPr>
          <w:rFonts w:ascii="Times New Roman" w:hAnsi="Times New Roman"/>
          <w:sz w:val="24"/>
          <w:szCs w:val="24"/>
          <w:lang w:val="es-ES"/>
        </w:rPr>
        <w:t xml:space="preserve">(“Niños de la Calle”). </w:t>
      </w:r>
      <w:r w:rsidRPr="007E3047">
        <w:rPr>
          <w:rFonts w:ascii="Times New Roman" w:hAnsi="Times New Roman"/>
          <w:sz w:val="24"/>
          <w:szCs w:val="24"/>
        </w:rPr>
        <w:t>Sentença de Mérito, 1999,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65.</w:t>
      </w:r>
      <w:r w:rsidR="00F31B87" w:rsidRPr="007E3047">
        <w:rPr>
          <w:rFonts w:ascii="Times New Roman" w:hAnsi="Times New Roman"/>
          <w:sz w:val="24"/>
          <w:szCs w:val="24"/>
        </w:rPr>
        <w:t xml:space="preserve"> (p. 32)</w:t>
      </w:r>
    </w:p>
    <w:p w:rsidR="004459BC" w:rsidRPr="007E3047" w:rsidRDefault="00B418A4" w:rsidP="004459BC">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Corte IDH. Opinião Consultiva nº 9. </w:t>
      </w:r>
      <w:r w:rsidRPr="007E3047">
        <w:rPr>
          <w:rFonts w:ascii="Times New Roman" w:hAnsi="Times New Roman"/>
          <w:i/>
          <w:sz w:val="24"/>
          <w:szCs w:val="24"/>
        </w:rPr>
        <w:t>Garantias Judiciais em Estados de Emergência</w:t>
      </w:r>
      <w:r w:rsidRPr="007E3047">
        <w:rPr>
          <w:rFonts w:ascii="Times New Roman" w:hAnsi="Times New Roman"/>
          <w:sz w:val="24"/>
          <w:szCs w:val="24"/>
        </w:rPr>
        <w:t>, 1987, Serie A, n</w:t>
      </w:r>
      <w:r w:rsidRPr="007E3047">
        <w:rPr>
          <w:rFonts w:ascii="Times New Roman" w:hAnsi="Times New Roman"/>
          <w:sz w:val="24"/>
          <w:szCs w:val="24"/>
          <w:vertAlign w:val="superscript"/>
        </w:rPr>
        <w:t>o</w:t>
      </w:r>
      <w:r w:rsidRPr="007E3047">
        <w:rPr>
          <w:rFonts w:ascii="Times New Roman" w:hAnsi="Times New Roman"/>
          <w:sz w:val="24"/>
          <w:szCs w:val="24"/>
        </w:rPr>
        <w:t xml:space="preserve"> 9.</w:t>
      </w:r>
      <w:r w:rsidR="00F31B87" w:rsidRPr="007E3047">
        <w:rPr>
          <w:rFonts w:ascii="Times New Roman" w:hAnsi="Times New Roman"/>
          <w:sz w:val="24"/>
          <w:szCs w:val="24"/>
        </w:rPr>
        <w:t xml:space="preserve"> (p. 30)</w:t>
      </w:r>
    </w:p>
    <w:p w:rsidR="004459BC" w:rsidRPr="007E3047" w:rsidRDefault="004459BC" w:rsidP="00A269EA">
      <w:pPr>
        <w:pStyle w:val="Heading3"/>
        <w:spacing w:before="0" w:line="480" w:lineRule="auto"/>
        <w:rPr>
          <w:rFonts w:ascii="Times New Roman" w:hAnsi="Times New Roman"/>
          <w:color w:val="auto"/>
          <w:sz w:val="24"/>
          <w:szCs w:val="24"/>
        </w:rPr>
      </w:pPr>
      <w:bookmarkStart w:id="40" w:name="_Toc288772499"/>
      <w:bookmarkStart w:id="41" w:name="_Toc289097820"/>
      <w:bookmarkStart w:id="42" w:name="_Toc289097976"/>
      <w:bookmarkStart w:id="43" w:name="_Toc289098273"/>
      <w:bookmarkStart w:id="44" w:name="_Toc414915692"/>
      <w:bookmarkStart w:id="45" w:name="_Toc414915813"/>
      <w:r w:rsidRPr="007E3047">
        <w:rPr>
          <w:rFonts w:ascii="Times New Roman" w:hAnsi="Times New Roman"/>
          <w:color w:val="auto"/>
          <w:sz w:val="24"/>
          <w:szCs w:val="24"/>
        </w:rPr>
        <w:t xml:space="preserve">2.2.3 </w:t>
      </w:r>
      <w:bookmarkEnd w:id="40"/>
      <w:bookmarkEnd w:id="41"/>
      <w:bookmarkEnd w:id="42"/>
      <w:bookmarkEnd w:id="43"/>
      <w:r w:rsidRPr="007E3047">
        <w:rPr>
          <w:rFonts w:ascii="Times New Roman" w:hAnsi="Times New Roman"/>
          <w:color w:val="auto"/>
          <w:sz w:val="24"/>
          <w:szCs w:val="24"/>
        </w:rPr>
        <w:t>Tribunal Penal Internacional</w:t>
      </w:r>
      <w:bookmarkEnd w:id="44"/>
      <w:bookmarkEnd w:id="45"/>
    </w:p>
    <w:p w:rsidR="004459BC" w:rsidRPr="007E3047" w:rsidRDefault="004459BC" w:rsidP="00A269EA">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TPI. Caso </w:t>
      </w:r>
      <w:r w:rsidRPr="007E3047">
        <w:rPr>
          <w:rFonts w:ascii="Times New Roman" w:hAnsi="Times New Roman"/>
          <w:i/>
          <w:sz w:val="24"/>
          <w:szCs w:val="24"/>
        </w:rPr>
        <w:t>Germain Katanga e Mathieu Ngudjolo Chui</w:t>
      </w:r>
      <w:r w:rsidRPr="007E3047">
        <w:rPr>
          <w:rFonts w:ascii="Times New Roman" w:hAnsi="Times New Roman"/>
          <w:sz w:val="24"/>
          <w:szCs w:val="24"/>
        </w:rPr>
        <w:t xml:space="preserve"> </w:t>
      </w:r>
      <w:r w:rsidRPr="007E3047">
        <w:rPr>
          <w:rFonts w:ascii="Times New Roman" w:hAnsi="Times New Roman"/>
          <w:i/>
          <w:sz w:val="24"/>
          <w:szCs w:val="24"/>
        </w:rPr>
        <w:t>(República Democrática do Congo) vs Procurador</w:t>
      </w:r>
      <w:r w:rsidRPr="007E3047">
        <w:rPr>
          <w:rFonts w:ascii="Times New Roman" w:hAnsi="Times New Roman"/>
          <w:sz w:val="24"/>
          <w:szCs w:val="24"/>
        </w:rPr>
        <w:t>. Sentença nº. ICC-01/04-01/07.</w:t>
      </w:r>
      <w:r w:rsidR="00F31B87" w:rsidRPr="007E3047">
        <w:rPr>
          <w:rFonts w:ascii="Times New Roman" w:hAnsi="Times New Roman"/>
          <w:sz w:val="24"/>
          <w:szCs w:val="24"/>
        </w:rPr>
        <w:t xml:space="preserve"> (p. 18)</w:t>
      </w:r>
    </w:p>
    <w:p w:rsidR="001A700A" w:rsidRPr="007E3047" w:rsidRDefault="001A700A" w:rsidP="00A269EA">
      <w:pPr>
        <w:pStyle w:val="Heading2"/>
        <w:spacing w:before="0" w:line="480" w:lineRule="auto"/>
        <w:rPr>
          <w:rFonts w:ascii="Times New Roman" w:hAnsi="Times New Roman"/>
          <w:color w:val="auto"/>
          <w:sz w:val="24"/>
          <w:szCs w:val="24"/>
        </w:rPr>
      </w:pPr>
      <w:bookmarkStart w:id="46" w:name="_Toc288772494"/>
      <w:bookmarkStart w:id="47" w:name="_Toc289097815"/>
      <w:bookmarkStart w:id="48" w:name="_Toc289097971"/>
      <w:bookmarkStart w:id="49" w:name="_Toc289098268"/>
      <w:bookmarkStart w:id="50" w:name="_Toc414915693"/>
      <w:bookmarkStart w:id="51" w:name="_Toc414915814"/>
      <w:r w:rsidRPr="007E3047">
        <w:rPr>
          <w:rFonts w:ascii="Times New Roman" w:hAnsi="Times New Roman"/>
          <w:color w:val="auto"/>
          <w:sz w:val="24"/>
          <w:szCs w:val="24"/>
        </w:rPr>
        <w:t>2.</w:t>
      </w:r>
      <w:r w:rsidR="00846B28" w:rsidRPr="007E3047">
        <w:rPr>
          <w:rFonts w:ascii="Times New Roman" w:hAnsi="Times New Roman"/>
          <w:color w:val="auto"/>
          <w:sz w:val="24"/>
          <w:szCs w:val="24"/>
        </w:rPr>
        <w:t>3</w:t>
      </w:r>
      <w:r w:rsidRPr="007E3047">
        <w:rPr>
          <w:rFonts w:ascii="Times New Roman" w:hAnsi="Times New Roman"/>
          <w:color w:val="auto"/>
          <w:sz w:val="24"/>
          <w:szCs w:val="24"/>
        </w:rPr>
        <w:t xml:space="preserve"> Documentos legais</w:t>
      </w:r>
      <w:bookmarkEnd w:id="46"/>
      <w:bookmarkEnd w:id="47"/>
      <w:bookmarkEnd w:id="48"/>
      <w:bookmarkEnd w:id="49"/>
      <w:bookmarkEnd w:id="50"/>
      <w:bookmarkEnd w:id="51"/>
    </w:p>
    <w:p w:rsidR="00B54460" w:rsidRPr="007E3047" w:rsidRDefault="001A700A" w:rsidP="00D126AC">
      <w:pPr>
        <w:spacing w:after="0" w:line="480" w:lineRule="auto"/>
        <w:jc w:val="both"/>
        <w:rPr>
          <w:rFonts w:ascii="Times New Roman" w:hAnsi="Times New Roman"/>
          <w:sz w:val="24"/>
          <w:szCs w:val="24"/>
        </w:rPr>
      </w:pPr>
      <w:r w:rsidRPr="007E3047">
        <w:rPr>
          <w:rFonts w:ascii="Times New Roman" w:hAnsi="Times New Roman"/>
          <w:sz w:val="24"/>
          <w:szCs w:val="24"/>
        </w:rPr>
        <w:t>ONU. Comitê de Direitos Humanos, Observação Geral 18, Não discriminação, 10/11/89,</w:t>
      </w:r>
      <w:r w:rsidR="00D126AC" w:rsidRPr="007E3047">
        <w:rPr>
          <w:rFonts w:ascii="Times New Roman" w:hAnsi="Times New Roman"/>
          <w:sz w:val="24"/>
          <w:szCs w:val="24"/>
        </w:rPr>
        <w:t xml:space="preserve"> </w:t>
      </w:r>
      <w:r w:rsidRPr="007E3047">
        <w:rPr>
          <w:rFonts w:ascii="Times New Roman" w:hAnsi="Times New Roman"/>
          <w:sz w:val="24"/>
          <w:szCs w:val="24"/>
        </w:rPr>
        <w:t xml:space="preserve">CCPR/C/37, par. 7, e Condição Jurídica e Direitos dos Migrantes Indocumentados. </w:t>
      </w:r>
      <w:r w:rsidR="008169E9" w:rsidRPr="007E3047">
        <w:rPr>
          <w:rFonts w:ascii="Times New Roman" w:hAnsi="Times New Roman"/>
          <w:sz w:val="24"/>
          <w:szCs w:val="24"/>
        </w:rPr>
        <w:t xml:space="preserve">(p. </w:t>
      </w:r>
      <w:r w:rsidR="00C8104B" w:rsidRPr="007E3047">
        <w:rPr>
          <w:rFonts w:ascii="Times New Roman" w:hAnsi="Times New Roman"/>
          <w:sz w:val="24"/>
          <w:szCs w:val="24"/>
        </w:rPr>
        <w:t>36)</w:t>
      </w:r>
    </w:p>
    <w:p w:rsidR="001A700A" w:rsidRPr="007E3047" w:rsidRDefault="00B54460" w:rsidP="00D126AC">
      <w:pPr>
        <w:spacing w:after="0" w:line="480" w:lineRule="auto"/>
        <w:jc w:val="both"/>
        <w:rPr>
          <w:rFonts w:ascii="Times New Roman" w:hAnsi="Times New Roman"/>
          <w:sz w:val="24"/>
          <w:szCs w:val="24"/>
        </w:rPr>
      </w:pPr>
      <w:r w:rsidRPr="007E3047">
        <w:rPr>
          <w:rFonts w:ascii="Times New Roman" w:hAnsi="Times New Roman"/>
          <w:sz w:val="24"/>
          <w:szCs w:val="24"/>
        </w:rPr>
        <w:t>Opinião</w:t>
      </w:r>
      <w:r w:rsidR="001A700A" w:rsidRPr="007E3047">
        <w:rPr>
          <w:rFonts w:ascii="Times New Roman" w:hAnsi="Times New Roman"/>
          <w:sz w:val="24"/>
          <w:szCs w:val="24"/>
        </w:rPr>
        <w:t xml:space="preserve"> Consultiva OC-18/03 de 17 de setembro de 2003. Serie A, n</w:t>
      </w:r>
      <w:r w:rsidR="001A700A" w:rsidRPr="007E3047">
        <w:rPr>
          <w:rFonts w:ascii="Times New Roman" w:hAnsi="Times New Roman"/>
          <w:sz w:val="24"/>
          <w:szCs w:val="24"/>
          <w:vertAlign w:val="superscript"/>
        </w:rPr>
        <w:t>o</w:t>
      </w:r>
      <w:r w:rsidR="001A700A" w:rsidRPr="007E3047">
        <w:rPr>
          <w:rFonts w:ascii="Times New Roman" w:hAnsi="Times New Roman"/>
          <w:sz w:val="24"/>
          <w:szCs w:val="24"/>
        </w:rPr>
        <w:t xml:space="preserve"> 18.</w:t>
      </w:r>
      <w:r w:rsidR="00F31B87" w:rsidRPr="007E3047">
        <w:rPr>
          <w:rFonts w:ascii="Times New Roman" w:hAnsi="Times New Roman"/>
          <w:sz w:val="24"/>
          <w:szCs w:val="24"/>
        </w:rPr>
        <w:t xml:space="preserve"> (p. </w:t>
      </w:r>
      <w:r w:rsidR="008169E9" w:rsidRPr="007E3047">
        <w:rPr>
          <w:rFonts w:ascii="Times New Roman" w:hAnsi="Times New Roman"/>
          <w:sz w:val="24"/>
          <w:szCs w:val="24"/>
        </w:rPr>
        <w:t>36)</w:t>
      </w:r>
    </w:p>
    <w:p w:rsidR="00B54460" w:rsidRPr="007E3047" w:rsidRDefault="007A7473" w:rsidP="00D126AC">
      <w:pPr>
        <w:spacing w:after="0" w:line="480" w:lineRule="auto"/>
        <w:rPr>
          <w:rFonts w:ascii="Times New Roman" w:hAnsi="Times New Roman"/>
          <w:sz w:val="24"/>
          <w:szCs w:val="24"/>
          <w:lang w:val="en-US"/>
        </w:rPr>
      </w:pPr>
      <w:r w:rsidRPr="007E3047">
        <w:rPr>
          <w:rFonts w:ascii="Times New Roman" w:hAnsi="Times New Roman"/>
          <w:sz w:val="24"/>
        </w:rPr>
        <w:t>Resolução Internacional n</w:t>
      </w:r>
      <w:r w:rsidRPr="007E3047">
        <w:rPr>
          <w:rFonts w:ascii="Times New Roman" w:hAnsi="Times New Roman"/>
          <w:sz w:val="24"/>
          <w:vertAlign w:val="superscript"/>
        </w:rPr>
        <w:t>o</w:t>
      </w:r>
      <w:r w:rsidRPr="007E3047">
        <w:rPr>
          <w:rFonts w:ascii="Times New Roman" w:hAnsi="Times New Roman"/>
          <w:sz w:val="24"/>
        </w:rPr>
        <w:t xml:space="preserve"> 67/147 da Organização das Nações Unidas de 2005.</w:t>
      </w:r>
      <w:bookmarkStart w:id="52" w:name="_Toc288772495"/>
      <w:bookmarkStart w:id="53" w:name="_Toc289097816"/>
      <w:bookmarkStart w:id="54" w:name="_Toc289097972"/>
      <w:bookmarkStart w:id="55" w:name="_Toc289098269"/>
      <w:r w:rsidR="00C8104B" w:rsidRPr="007E3047">
        <w:rPr>
          <w:rFonts w:ascii="Times New Roman" w:hAnsi="Times New Roman"/>
          <w:sz w:val="24"/>
        </w:rPr>
        <w:t xml:space="preserve"> </w:t>
      </w:r>
      <w:r w:rsidR="00C8104B" w:rsidRPr="007E3047">
        <w:rPr>
          <w:rFonts w:ascii="Times New Roman" w:hAnsi="Times New Roman"/>
          <w:sz w:val="24"/>
          <w:lang w:val="en-US"/>
        </w:rPr>
        <w:t>(p. 26)</w:t>
      </w:r>
    </w:p>
    <w:p w:rsidR="001A700A" w:rsidRPr="007E3047" w:rsidRDefault="00846B28" w:rsidP="00A269EA">
      <w:pPr>
        <w:pStyle w:val="Heading2"/>
        <w:spacing w:before="0" w:line="480" w:lineRule="auto"/>
        <w:rPr>
          <w:rFonts w:ascii="Times New Roman" w:hAnsi="Times New Roman"/>
          <w:color w:val="auto"/>
          <w:sz w:val="24"/>
          <w:szCs w:val="24"/>
          <w:lang w:val="en-US"/>
        </w:rPr>
      </w:pPr>
      <w:bookmarkStart w:id="56" w:name="_Toc414915694"/>
      <w:bookmarkStart w:id="57" w:name="_Toc414915815"/>
      <w:r w:rsidRPr="007E3047">
        <w:rPr>
          <w:rFonts w:ascii="Times New Roman" w:hAnsi="Times New Roman"/>
          <w:color w:val="auto"/>
          <w:sz w:val="24"/>
          <w:szCs w:val="24"/>
          <w:lang w:val="en-US"/>
        </w:rPr>
        <w:t>2.4</w:t>
      </w:r>
      <w:r w:rsidR="001A700A" w:rsidRPr="007E3047">
        <w:rPr>
          <w:rFonts w:ascii="Times New Roman" w:hAnsi="Times New Roman"/>
          <w:color w:val="auto"/>
          <w:sz w:val="24"/>
          <w:szCs w:val="24"/>
          <w:lang w:val="en-US"/>
        </w:rPr>
        <w:t xml:space="preserve"> </w:t>
      </w:r>
      <w:bookmarkEnd w:id="52"/>
      <w:r w:rsidR="001A700A" w:rsidRPr="007E3047">
        <w:rPr>
          <w:rFonts w:ascii="Times New Roman" w:hAnsi="Times New Roman"/>
          <w:color w:val="auto"/>
          <w:sz w:val="24"/>
          <w:szCs w:val="24"/>
          <w:lang w:val="en-US"/>
        </w:rPr>
        <w:t>Doutrinas</w:t>
      </w:r>
      <w:bookmarkEnd w:id="53"/>
      <w:bookmarkEnd w:id="54"/>
      <w:bookmarkEnd w:id="55"/>
      <w:bookmarkEnd w:id="56"/>
      <w:bookmarkEnd w:id="57"/>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lang w:val="en-US"/>
        </w:rPr>
        <w:t xml:space="preserve">BICKFORD, Louis. Transitional Justice. In: The Encyclopedia of Genocide and Crimes against Humanity (Macmillan Reference USA, 2004), vol. 3.. </w:t>
      </w:r>
      <w:r w:rsidRPr="007E3047">
        <w:rPr>
          <w:rFonts w:ascii="Times New Roman" w:hAnsi="Times New Roman"/>
          <w:sz w:val="24"/>
          <w:szCs w:val="24"/>
        </w:rPr>
        <w:t>Disponível em: &lt;</w:t>
      </w:r>
      <w:hyperlink r:id="rId8" w:history="1">
        <w:r w:rsidRPr="007E3047">
          <w:rPr>
            <w:rStyle w:val="Hyperlink"/>
            <w:rFonts w:ascii="Times New Roman" w:hAnsi="Times New Roman"/>
            <w:color w:val="auto"/>
            <w:sz w:val="24"/>
            <w:szCs w:val="24"/>
          </w:rPr>
          <w:t>www.ictj.org</w:t>
        </w:r>
      </w:hyperlink>
      <w:r w:rsidRPr="007E3047">
        <w:rPr>
          <w:rFonts w:ascii="Times New Roman" w:hAnsi="Times New Roman"/>
          <w:sz w:val="24"/>
          <w:szCs w:val="24"/>
        </w:rPr>
        <w:t>&gt;. Acesso em: 10 fev. 2015.</w:t>
      </w:r>
      <w:r w:rsidR="00C8104B" w:rsidRPr="007E3047">
        <w:rPr>
          <w:rFonts w:ascii="Times New Roman" w:hAnsi="Times New Roman"/>
          <w:sz w:val="24"/>
          <w:szCs w:val="24"/>
        </w:rPr>
        <w:t xml:space="preserve"> (p. 25)</w:t>
      </w:r>
    </w:p>
    <w:p w:rsidR="002E6D76" w:rsidRPr="007E3047" w:rsidRDefault="002E6D76" w:rsidP="00B535DE">
      <w:pPr>
        <w:spacing w:after="0" w:line="480" w:lineRule="auto"/>
        <w:jc w:val="both"/>
        <w:rPr>
          <w:rFonts w:ascii="Times New Roman" w:hAnsi="Times New Roman"/>
          <w:sz w:val="24"/>
          <w:szCs w:val="24"/>
        </w:rPr>
      </w:pPr>
      <w:r w:rsidRPr="007E3047">
        <w:rPr>
          <w:rFonts w:ascii="Times New Roman" w:hAnsi="Times New Roman"/>
          <w:sz w:val="24"/>
          <w:szCs w:val="24"/>
        </w:rPr>
        <w:t xml:space="preserve">CAPPELLETTI, Mauro; GARTH, Bryant. </w:t>
      </w:r>
      <w:r w:rsidRPr="007E3047">
        <w:rPr>
          <w:rFonts w:ascii="Times New Roman" w:hAnsi="Times New Roman"/>
          <w:i/>
          <w:sz w:val="24"/>
          <w:szCs w:val="24"/>
        </w:rPr>
        <w:t>Acesso à justiça</w:t>
      </w:r>
      <w:r w:rsidRPr="007E3047">
        <w:rPr>
          <w:rFonts w:ascii="Times New Roman" w:hAnsi="Times New Roman"/>
          <w:sz w:val="24"/>
          <w:szCs w:val="24"/>
        </w:rPr>
        <w:t xml:space="preserve">. </w:t>
      </w:r>
      <w:r w:rsidRPr="007E3047">
        <w:rPr>
          <w:rFonts w:ascii="Times New Roman" w:hAnsi="Times New Roman"/>
          <w:bCs/>
          <w:sz w:val="24"/>
          <w:szCs w:val="24"/>
        </w:rPr>
        <w:t>Porto Alegre: Sergio Antonio Fabris Editor, 2002.</w:t>
      </w:r>
      <w:r w:rsidR="00C8104B" w:rsidRPr="007E3047">
        <w:rPr>
          <w:rFonts w:ascii="Times New Roman" w:hAnsi="Times New Roman"/>
          <w:bCs/>
          <w:sz w:val="24"/>
          <w:szCs w:val="24"/>
        </w:rPr>
        <w:t xml:space="preserve"> (p. 30)</w:t>
      </w:r>
    </w:p>
    <w:p w:rsidR="002E6D76" w:rsidRPr="007E3047" w:rsidRDefault="002E6D76" w:rsidP="00B535DE">
      <w:pPr>
        <w:spacing w:after="0" w:line="480" w:lineRule="auto"/>
        <w:rPr>
          <w:rFonts w:ascii="Times New Roman" w:hAnsi="Times New Roman"/>
          <w:sz w:val="24"/>
          <w:szCs w:val="24"/>
        </w:rPr>
      </w:pPr>
      <w:r w:rsidRPr="007E3047">
        <w:rPr>
          <w:rFonts w:ascii="Times New Roman" w:hAnsi="Times New Roman"/>
          <w:sz w:val="24"/>
          <w:szCs w:val="24"/>
        </w:rPr>
        <w:lastRenderedPageBreak/>
        <w:t xml:space="preserve">COGGIOLA, Osvaldo. </w:t>
      </w:r>
      <w:r w:rsidRPr="007E3047">
        <w:rPr>
          <w:rFonts w:ascii="Times New Roman" w:hAnsi="Times New Roman"/>
          <w:i/>
          <w:sz w:val="24"/>
          <w:szCs w:val="24"/>
        </w:rPr>
        <w:t>Governos militares na América Latina</w:t>
      </w:r>
      <w:r w:rsidRPr="007E3047">
        <w:rPr>
          <w:rFonts w:ascii="Times New Roman" w:hAnsi="Times New Roman"/>
          <w:sz w:val="24"/>
          <w:szCs w:val="24"/>
        </w:rPr>
        <w:t>. Contexto: São Paulo, 2001.</w:t>
      </w:r>
      <w:r w:rsidR="00C8104B" w:rsidRPr="007E3047">
        <w:rPr>
          <w:rFonts w:ascii="Times New Roman" w:hAnsi="Times New Roman"/>
          <w:sz w:val="24"/>
          <w:szCs w:val="24"/>
        </w:rPr>
        <w:t xml:space="preserve"> (p. 22, 23)</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FRANCA, Ludmila. </w:t>
      </w:r>
      <w:r w:rsidRPr="007E3047">
        <w:rPr>
          <w:rFonts w:ascii="Times New Roman" w:hAnsi="Times New Roman"/>
          <w:i/>
          <w:sz w:val="24"/>
          <w:szCs w:val="24"/>
        </w:rPr>
        <w:t>América Latina e as ditaduras militares: fatores históricos</w:t>
      </w:r>
      <w:r w:rsidRPr="007E3047">
        <w:rPr>
          <w:rFonts w:ascii="Times New Roman" w:hAnsi="Times New Roman"/>
          <w:sz w:val="24"/>
          <w:szCs w:val="24"/>
        </w:rPr>
        <w:t xml:space="preserve">. Disponível em: </w:t>
      </w:r>
      <w:hyperlink r:id="rId9" w:tgtFrame="_blank" w:history="1">
        <w:r w:rsidRPr="007E3047">
          <w:rPr>
            <w:rStyle w:val="Hyperlink"/>
            <w:rFonts w:ascii="Times New Roman" w:hAnsi="Times New Roman"/>
            <w:color w:val="auto"/>
            <w:sz w:val="24"/>
            <w:szCs w:val="24"/>
            <w:shd w:val="clear" w:color="auto" w:fill="FFFFFF"/>
          </w:rPr>
          <w:t>https://norbertobobbio.wordpress.com/2011/06/27/america-latina-e-as-ditaduras-militares-fatores-historicos/</w:t>
        </w:r>
      </w:hyperlink>
      <w:r w:rsidRPr="007E3047">
        <w:rPr>
          <w:rFonts w:ascii="Times New Roman" w:hAnsi="Times New Roman"/>
          <w:sz w:val="24"/>
          <w:szCs w:val="24"/>
        </w:rPr>
        <w:t>. Accesso em: 20 de março de 2015.</w:t>
      </w:r>
      <w:r w:rsidR="00C8104B" w:rsidRPr="007E3047">
        <w:rPr>
          <w:rFonts w:ascii="Times New Roman" w:hAnsi="Times New Roman"/>
          <w:sz w:val="24"/>
          <w:szCs w:val="24"/>
        </w:rPr>
        <w:t xml:space="preserve"> (p. </w:t>
      </w:r>
      <w:r w:rsidR="00AB5D1D" w:rsidRPr="007E3047">
        <w:rPr>
          <w:rFonts w:ascii="Times New Roman" w:hAnsi="Times New Roman"/>
          <w:sz w:val="24"/>
          <w:szCs w:val="24"/>
        </w:rPr>
        <w:t>22)</w:t>
      </w:r>
    </w:p>
    <w:p w:rsidR="002E6D76" w:rsidRPr="007E3047" w:rsidRDefault="002E6D76" w:rsidP="00B535DE">
      <w:pPr>
        <w:pStyle w:val="FootnoteText"/>
        <w:spacing w:line="480" w:lineRule="auto"/>
        <w:jc w:val="both"/>
        <w:rPr>
          <w:rFonts w:ascii="Times New Roman" w:hAnsi="Times New Roman"/>
          <w:sz w:val="24"/>
          <w:szCs w:val="24"/>
          <w:lang w:val="es-CO"/>
        </w:rPr>
      </w:pPr>
      <w:r w:rsidRPr="007E3047">
        <w:rPr>
          <w:rFonts w:ascii="Times New Roman" w:hAnsi="Times New Roman"/>
          <w:sz w:val="24"/>
          <w:szCs w:val="24"/>
        </w:rPr>
        <w:t xml:space="preserve">GALEANO, Eduardo. </w:t>
      </w:r>
      <w:r w:rsidRPr="007E3047">
        <w:rPr>
          <w:rFonts w:ascii="Times New Roman" w:hAnsi="Times New Roman"/>
          <w:i/>
          <w:sz w:val="24"/>
          <w:szCs w:val="24"/>
        </w:rPr>
        <w:t>As veias abertas da América Latina</w:t>
      </w:r>
      <w:r w:rsidRPr="007E3047">
        <w:rPr>
          <w:rFonts w:ascii="Times New Roman" w:hAnsi="Times New Roman"/>
          <w:sz w:val="24"/>
          <w:szCs w:val="24"/>
        </w:rPr>
        <w:t>. Paz</w:t>
      </w:r>
      <w:r w:rsidR="00AB5D1D" w:rsidRPr="007E3047">
        <w:rPr>
          <w:rFonts w:ascii="Times New Roman" w:hAnsi="Times New Roman"/>
          <w:sz w:val="24"/>
          <w:szCs w:val="24"/>
        </w:rPr>
        <w:t xml:space="preserve"> e Terra: Rio de Janeiro, 1978. </w:t>
      </w:r>
      <w:r w:rsidR="00AB5D1D" w:rsidRPr="007E3047">
        <w:rPr>
          <w:rFonts w:ascii="Times New Roman" w:hAnsi="Times New Roman"/>
          <w:sz w:val="24"/>
          <w:szCs w:val="24"/>
          <w:lang w:val="es-CO"/>
        </w:rPr>
        <w:t>(p. 22)</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GUEVARA B., José A.; MARTIN Claudia; RODRÍGUEZ-PINZÓN, Diego. </w:t>
      </w:r>
      <w:r w:rsidRPr="007E3047">
        <w:rPr>
          <w:rFonts w:ascii="Times New Roman" w:hAnsi="Times New Roman"/>
          <w:i/>
          <w:sz w:val="24"/>
          <w:szCs w:val="24"/>
          <w:lang w:val="es-ES"/>
        </w:rPr>
        <w:t xml:space="preserve">Derecho Internacional de los Derechos Humanos. </w:t>
      </w:r>
      <w:r w:rsidRPr="007E3047">
        <w:rPr>
          <w:rFonts w:ascii="Times New Roman" w:hAnsi="Times New Roman"/>
          <w:sz w:val="24"/>
          <w:szCs w:val="24"/>
        </w:rPr>
        <w:t>Distribuiciones Fontamara: Mexico, 2004.</w:t>
      </w:r>
      <w:r w:rsidR="00AB5D1D" w:rsidRPr="007E3047">
        <w:rPr>
          <w:rFonts w:ascii="Times New Roman" w:hAnsi="Times New Roman"/>
          <w:sz w:val="24"/>
          <w:szCs w:val="24"/>
        </w:rPr>
        <w:t xml:space="preserve"> (p. 21)</w:t>
      </w:r>
    </w:p>
    <w:p w:rsidR="002E6D76" w:rsidRPr="007E3047" w:rsidRDefault="002E6D76" w:rsidP="00B535DE">
      <w:pPr>
        <w:pStyle w:val="FootnoteText"/>
        <w:spacing w:line="480" w:lineRule="auto"/>
        <w:jc w:val="both"/>
        <w:rPr>
          <w:rFonts w:ascii="Times New Roman" w:hAnsi="Times New Roman"/>
          <w:sz w:val="24"/>
          <w:szCs w:val="24"/>
          <w:lang w:val="es-CO"/>
        </w:rPr>
      </w:pPr>
      <w:r w:rsidRPr="007E3047">
        <w:rPr>
          <w:rFonts w:ascii="Times New Roman" w:hAnsi="Times New Roman"/>
          <w:sz w:val="24"/>
          <w:szCs w:val="24"/>
          <w:shd w:val="clear" w:color="auto" w:fill="FFFFFF"/>
        </w:rPr>
        <w:t>KOSIK, Karel.</w:t>
      </w:r>
      <w:r w:rsidRPr="007E3047">
        <w:rPr>
          <w:rStyle w:val="apple-converted-space"/>
          <w:rFonts w:ascii="Times New Roman" w:hAnsi="Times New Roman"/>
          <w:sz w:val="24"/>
          <w:szCs w:val="24"/>
          <w:shd w:val="clear" w:color="auto" w:fill="FFFFFF"/>
        </w:rPr>
        <w:t> </w:t>
      </w:r>
      <w:r w:rsidRPr="007E3047">
        <w:rPr>
          <w:rFonts w:ascii="Times New Roman" w:hAnsi="Times New Roman"/>
          <w:bCs/>
          <w:i/>
          <w:sz w:val="24"/>
          <w:szCs w:val="24"/>
          <w:shd w:val="clear" w:color="auto" w:fill="FFFFFF"/>
        </w:rPr>
        <w:t>Dialética do concreto</w:t>
      </w:r>
      <w:r w:rsidRPr="007E3047">
        <w:rPr>
          <w:rFonts w:ascii="Times New Roman" w:hAnsi="Times New Roman"/>
          <w:sz w:val="24"/>
          <w:szCs w:val="24"/>
          <w:shd w:val="clear" w:color="auto" w:fill="FFFFFF"/>
        </w:rPr>
        <w:t>. 2. ed. Rio de Janeiro: Paz e Terra, 1976.</w:t>
      </w:r>
      <w:r w:rsidR="00AB5D1D" w:rsidRPr="007E3047">
        <w:rPr>
          <w:rFonts w:ascii="Times New Roman" w:hAnsi="Times New Roman"/>
          <w:sz w:val="24"/>
          <w:szCs w:val="24"/>
          <w:shd w:val="clear" w:color="auto" w:fill="FFFFFF"/>
        </w:rPr>
        <w:t xml:space="preserve"> </w:t>
      </w:r>
      <w:r w:rsidR="00AB5D1D" w:rsidRPr="007E3047">
        <w:rPr>
          <w:rFonts w:ascii="Times New Roman" w:hAnsi="Times New Roman"/>
          <w:sz w:val="24"/>
          <w:szCs w:val="24"/>
          <w:shd w:val="clear" w:color="auto" w:fill="FFFFFF"/>
          <w:lang w:val="es-CO"/>
        </w:rPr>
        <w:t>(p. 21)</w:t>
      </w:r>
    </w:p>
    <w:p w:rsidR="002E6D76" w:rsidRPr="007E3047" w:rsidRDefault="002E6D76" w:rsidP="00A269EA">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LEDESMA, Héctor Faúndez. </w:t>
      </w:r>
      <w:r w:rsidRPr="007E3047">
        <w:rPr>
          <w:rFonts w:ascii="Times New Roman" w:hAnsi="Times New Roman"/>
          <w:i/>
          <w:sz w:val="24"/>
          <w:szCs w:val="24"/>
          <w:lang w:val="es-ES"/>
        </w:rPr>
        <w:t>El Sistema Interamericano de Protección de los Derechos Humanos: aspectos institucionales e procesales</w:t>
      </w:r>
      <w:r w:rsidRPr="007E3047">
        <w:rPr>
          <w:rFonts w:ascii="Times New Roman" w:hAnsi="Times New Roman"/>
          <w:sz w:val="24"/>
          <w:szCs w:val="24"/>
          <w:lang w:val="es-ES"/>
        </w:rPr>
        <w:t xml:space="preserve">. </w:t>
      </w:r>
      <w:r w:rsidRPr="007E3047">
        <w:rPr>
          <w:rFonts w:ascii="Times New Roman" w:hAnsi="Times New Roman"/>
          <w:sz w:val="24"/>
          <w:szCs w:val="24"/>
        </w:rPr>
        <w:t>IIDH: São José, 1999.</w:t>
      </w:r>
      <w:r w:rsidR="00AB5D1D" w:rsidRPr="007E3047">
        <w:rPr>
          <w:rFonts w:ascii="Times New Roman" w:hAnsi="Times New Roman"/>
          <w:sz w:val="24"/>
          <w:szCs w:val="24"/>
        </w:rPr>
        <w:t xml:space="preserve"> (p. </w:t>
      </w:r>
      <w:r w:rsidR="006167AB" w:rsidRPr="007E3047">
        <w:rPr>
          <w:rFonts w:ascii="Times New Roman" w:hAnsi="Times New Roman"/>
          <w:sz w:val="24"/>
          <w:szCs w:val="24"/>
        </w:rPr>
        <w:t>16)</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MACHADO, Jónatas E. M. </w:t>
      </w:r>
      <w:r w:rsidRPr="007E3047">
        <w:rPr>
          <w:rFonts w:ascii="Times New Roman" w:hAnsi="Times New Roman"/>
          <w:i/>
          <w:sz w:val="24"/>
          <w:szCs w:val="24"/>
        </w:rPr>
        <w:t>Direito Internacional: do paradigma clássico ao pós-11 de setembro</w:t>
      </w:r>
      <w:r w:rsidRPr="007E3047">
        <w:rPr>
          <w:rFonts w:ascii="Times New Roman" w:hAnsi="Times New Roman"/>
          <w:sz w:val="24"/>
          <w:szCs w:val="24"/>
        </w:rPr>
        <w:t>. Universidade de Coimbra: Coimbra, 2006.</w:t>
      </w:r>
      <w:r w:rsidR="006167AB" w:rsidRPr="007E3047">
        <w:rPr>
          <w:rFonts w:ascii="Times New Roman" w:hAnsi="Times New Roman"/>
          <w:sz w:val="24"/>
          <w:szCs w:val="24"/>
        </w:rPr>
        <w:t xml:space="preserve"> (p. 25)</w:t>
      </w:r>
    </w:p>
    <w:p w:rsidR="002E6D76" w:rsidRPr="007E3047" w:rsidRDefault="002E6D76" w:rsidP="003450C5">
      <w:pPr>
        <w:pStyle w:val="FootnoteText"/>
        <w:spacing w:line="480" w:lineRule="auto"/>
        <w:jc w:val="both"/>
        <w:rPr>
          <w:rFonts w:ascii="Times New Roman" w:hAnsi="Times New Roman"/>
          <w:sz w:val="24"/>
          <w:szCs w:val="24"/>
        </w:rPr>
      </w:pPr>
      <w:r w:rsidRPr="007E3047">
        <w:rPr>
          <w:rFonts w:ascii="Times New Roman" w:hAnsi="Times New Roman"/>
          <w:caps/>
          <w:sz w:val="24"/>
          <w:szCs w:val="24"/>
        </w:rPr>
        <w:t>Santos</w:t>
      </w:r>
      <w:r w:rsidRPr="007E3047">
        <w:rPr>
          <w:rFonts w:ascii="Times New Roman" w:hAnsi="Times New Roman"/>
          <w:sz w:val="24"/>
          <w:szCs w:val="24"/>
        </w:rPr>
        <w:t xml:space="preserve">, Boaventura de Sousa. Por uma concepção multicultural dos direitos humanos. </w:t>
      </w:r>
      <w:r w:rsidRPr="007E3047">
        <w:rPr>
          <w:rFonts w:ascii="Times New Roman" w:hAnsi="Times New Roman"/>
          <w:i/>
          <w:sz w:val="24"/>
          <w:szCs w:val="24"/>
        </w:rPr>
        <w:t>Revista Crítica de Ciências Sociais</w:t>
      </w:r>
      <w:r w:rsidRPr="007E3047">
        <w:rPr>
          <w:rFonts w:ascii="Times New Roman" w:hAnsi="Times New Roman"/>
          <w:sz w:val="24"/>
          <w:szCs w:val="24"/>
        </w:rPr>
        <w:t xml:space="preserve">, nº 48, jun/ 1997. Disponível em: &lt; </w:t>
      </w:r>
      <w:r w:rsidRPr="007E3047">
        <w:rPr>
          <w:rFonts w:ascii="Times New Roman" w:hAnsi="Times New Roman"/>
          <w:sz w:val="24"/>
          <w:szCs w:val="24"/>
          <w:u w:val="single"/>
        </w:rPr>
        <w:t>http://www.boaventuradesousasantos.pt/media/pdfs/Concepcao_multicultural_direitos_humanos_RCCS48.PDF</w:t>
      </w:r>
      <w:r w:rsidRPr="007E3047">
        <w:rPr>
          <w:rFonts w:ascii="Times New Roman" w:hAnsi="Times New Roman"/>
          <w:sz w:val="24"/>
          <w:szCs w:val="24"/>
        </w:rPr>
        <w:t xml:space="preserve">&gt; </w:t>
      </w:r>
      <w:r w:rsidR="006167AB" w:rsidRPr="007E3047">
        <w:rPr>
          <w:rFonts w:ascii="Times New Roman" w:hAnsi="Times New Roman"/>
          <w:sz w:val="24"/>
          <w:szCs w:val="24"/>
        </w:rPr>
        <w:t xml:space="preserve"> (p. 36)</w:t>
      </w:r>
    </w:p>
    <w:p w:rsidR="002E6D76" w:rsidRPr="007E3047" w:rsidRDefault="002E6D76" w:rsidP="00A269EA">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TRINDADE, Antônio Augusto Cançado. A interação entre o direito internacional e o direito interno na proteção dos direitos humanos. </w:t>
      </w:r>
      <w:r w:rsidRPr="007E3047">
        <w:rPr>
          <w:rFonts w:ascii="Times New Roman" w:hAnsi="Times New Roman"/>
          <w:i/>
          <w:iCs/>
          <w:sz w:val="24"/>
          <w:szCs w:val="24"/>
        </w:rPr>
        <w:t>Arquivos do Ministério da Justiça</w:t>
      </w:r>
      <w:r w:rsidRPr="007E3047">
        <w:rPr>
          <w:rFonts w:ascii="Times New Roman" w:hAnsi="Times New Roman"/>
          <w:sz w:val="24"/>
          <w:szCs w:val="24"/>
        </w:rPr>
        <w:t>, Brasília, v. 46, n. 182, 1993.</w:t>
      </w:r>
      <w:r w:rsidR="006167AB" w:rsidRPr="007E3047">
        <w:rPr>
          <w:rFonts w:ascii="Times New Roman" w:hAnsi="Times New Roman"/>
          <w:sz w:val="24"/>
          <w:szCs w:val="24"/>
        </w:rPr>
        <w:t xml:space="preserve"> (p. </w:t>
      </w:r>
      <w:r w:rsidR="00880756" w:rsidRPr="007E3047">
        <w:rPr>
          <w:rFonts w:ascii="Times New Roman" w:hAnsi="Times New Roman"/>
          <w:sz w:val="24"/>
          <w:szCs w:val="24"/>
        </w:rPr>
        <w:t>20, 29)</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ZYL, Paul Van. </w:t>
      </w:r>
      <w:r w:rsidRPr="007E3047">
        <w:rPr>
          <w:rFonts w:ascii="Times New Roman" w:hAnsi="Times New Roman"/>
          <w:i/>
          <w:sz w:val="24"/>
          <w:szCs w:val="24"/>
        </w:rPr>
        <w:t>Promovendo a Justiça Transicional em sociedades pós-conflito</w:t>
      </w:r>
      <w:r w:rsidRPr="007E3047">
        <w:rPr>
          <w:rFonts w:ascii="Times New Roman" w:hAnsi="Times New Roman"/>
          <w:sz w:val="24"/>
          <w:szCs w:val="24"/>
        </w:rPr>
        <w:t>. Revista de Anisita política e Justiça de Transição, nº 01, Brasília, 2009.</w:t>
      </w:r>
      <w:r w:rsidR="00880756" w:rsidRPr="007E3047">
        <w:rPr>
          <w:rFonts w:ascii="Times New Roman" w:hAnsi="Times New Roman"/>
          <w:sz w:val="24"/>
          <w:szCs w:val="24"/>
        </w:rPr>
        <w:t xml:space="preserve"> (25)</w:t>
      </w:r>
    </w:p>
    <w:p w:rsidR="005750A8" w:rsidRPr="007E3047" w:rsidRDefault="005750A8" w:rsidP="003450C5">
      <w:pPr>
        <w:pStyle w:val="FootnoteText"/>
        <w:spacing w:line="480" w:lineRule="auto"/>
        <w:jc w:val="both"/>
        <w:outlineLvl w:val="1"/>
        <w:rPr>
          <w:rFonts w:ascii="Times New Roman" w:hAnsi="Times New Roman"/>
          <w:b/>
          <w:sz w:val="24"/>
          <w:szCs w:val="24"/>
        </w:rPr>
      </w:pPr>
      <w:bookmarkStart w:id="58" w:name="_Toc289097821"/>
      <w:bookmarkStart w:id="59" w:name="_Toc289097977"/>
      <w:bookmarkStart w:id="60" w:name="_Toc289098274"/>
      <w:bookmarkStart w:id="61" w:name="_Toc414915695"/>
      <w:bookmarkStart w:id="62" w:name="_Toc414915816"/>
      <w:r w:rsidRPr="007E3047">
        <w:rPr>
          <w:rFonts w:ascii="Times New Roman" w:hAnsi="Times New Roman"/>
          <w:b/>
          <w:sz w:val="24"/>
          <w:szCs w:val="24"/>
        </w:rPr>
        <w:lastRenderedPageBreak/>
        <w:t>2.4. Outros</w:t>
      </w:r>
      <w:bookmarkEnd w:id="58"/>
      <w:bookmarkEnd w:id="59"/>
      <w:bookmarkEnd w:id="60"/>
      <w:bookmarkEnd w:id="61"/>
      <w:bookmarkEnd w:id="62"/>
    </w:p>
    <w:p w:rsidR="000D5434" w:rsidRPr="007E3047" w:rsidRDefault="000D5434" w:rsidP="00A17BD4">
      <w:pPr>
        <w:pStyle w:val="FootnoteText"/>
        <w:spacing w:line="480" w:lineRule="auto"/>
        <w:jc w:val="both"/>
        <w:rPr>
          <w:rFonts w:ascii="Times New Roman" w:hAnsi="Times New Roman"/>
          <w:sz w:val="24"/>
          <w:szCs w:val="24"/>
          <w:shd w:val="clear" w:color="auto" w:fill="FFFFFF"/>
          <w:lang w:val="en-US"/>
        </w:rPr>
      </w:pPr>
      <w:r w:rsidRPr="007E3047">
        <w:rPr>
          <w:rFonts w:ascii="Times New Roman" w:hAnsi="Times New Roman"/>
          <w:sz w:val="24"/>
          <w:shd w:val="clear" w:color="auto" w:fill="FFFFFF"/>
        </w:rPr>
        <w:t xml:space="preserve">BAHIA. Superintendência de Estudos Econômicos e Sociais da Bahia (SEI). Estrutura do produto interno bruto da América Latina por países, 2012/2013. Disponível em: </w:t>
      </w:r>
      <w:r w:rsidRPr="007E3047">
        <w:rPr>
          <w:rFonts w:ascii="Times New Roman" w:hAnsi="Times New Roman"/>
          <w:sz w:val="24"/>
          <w:szCs w:val="24"/>
          <w:shd w:val="clear" w:color="auto" w:fill="FFFFFF"/>
        </w:rPr>
        <w:t>&lt;</w:t>
      </w:r>
      <w:hyperlink r:id="rId10" w:tgtFrame="_blank" w:history="1">
        <w:r w:rsidRPr="007E3047">
          <w:rPr>
            <w:rStyle w:val="Hyperlink"/>
            <w:rFonts w:ascii="Times New Roman" w:hAnsi="Times New Roman"/>
            <w:color w:val="auto"/>
            <w:sz w:val="24"/>
            <w:szCs w:val="24"/>
            <w:shd w:val="clear" w:color="auto" w:fill="FFFFFF"/>
          </w:rPr>
          <w:t>http://www.sei.ba.gov.br/index.php?option=com_content&amp;id=137&amp;Itemid=221</w:t>
        </w:r>
      </w:hyperlink>
      <w:r w:rsidRPr="007E3047">
        <w:rPr>
          <w:rFonts w:ascii="Times New Roman" w:hAnsi="Times New Roman"/>
          <w:sz w:val="24"/>
          <w:szCs w:val="24"/>
          <w:shd w:val="clear" w:color="auto" w:fill="FFFFFF"/>
        </w:rPr>
        <w:t>&gt;.</w:t>
      </w:r>
      <w:r w:rsidR="00880756" w:rsidRPr="007E3047">
        <w:rPr>
          <w:rFonts w:ascii="Times New Roman" w:hAnsi="Times New Roman"/>
          <w:sz w:val="24"/>
          <w:szCs w:val="24"/>
          <w:shd w:val="clear" w:color="auto" w:fill="FFFFFF"/>
        </w:rPr>
        <w:t xml:space="preserve"> </w:t>
      </w:r>
      <w:r w:rsidR="00880756" w:rsidRPr="007E3047">
        <w:rPr>
          <w:rFonts w:ascii="Times New Roman" w:hAnsi="Times New Roman"/>
          <w:sz w:val="24"/>
          <w:szCs w:val="24"/>
          <w:shd w:val="clear" w:color="auto" w:fill="FFFFFF"/>
          <w:lang w:val="en-US"/>
        </w:rPr>
        <w:t>(p. 23)</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lang w:val="en-GB"/>
        </w:rPr>
        <w:t xml:space="preserve">CIJ, </w:t>
      </w:r>
      <w:r w:rsidRPr="007E3047">
        <w:rPr>
          <w:rFonts w:ascii="Times New Roman" w:hAnsi="Times New Roman"/>
          <w:i/>
          <w:sz w:val="24"/>
          <w:lang w:val="en-GB"/>
        </w:rPr>
        <w:t>Legality of the threat or use of Nuclear Weapons</w:t>
      </w:r>
      <w:r w:rsidRPr="007E3047">
        <w:rPr>
          <w:rFonts w:ascii="Times New Roman" w:hAnsi="Times New Roman"/>
          <w:sz w:val="24"/>
          <w:lang w:val="en-GB"/>
        </w:rPr>
        <w:t xml:space="preserve">. </w:t>
      </w:r>
      <w:r w:rsidRPr="007E3047">
        <w:rPr>
          <w:rFonts w:ascii="Times New Roman" w:hAnsi="Times New Roman"/>
          <w:sz w:val="24"/>
        </w:rPr>
        <w:t>Advisory opinion. Reports 1996.</w:t>
      </w:r>
      <w:r w:rsidR="00880756" w:rsidRPr="007E3047">
        <w:rPr>
          <w:rFonts w:ascii="Times New Roman" w:hAnsi="Times New Roman"/>
          <w:sz w:val="24"/>
        </w:rPr>
        <w:t xml:space="preserve"> (p. 18)</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rPr>
        <w:t>Código Penal da Nação Argentina (Lei n</w:t>
      </w:r>
      <w:r w:rsidRPr="007E3047">
        <w:rPr>
          <w:rFonts w:ascii="Times New Roman" w:hAnsi="Times New Roman"/>
          <w:sz w:val="24"/>
          <w:vertAlign w:val="superscript"/>
        </w:rPr>
        <w:t>o</w:t>
      </w:r>
      <w:r w:rsidRPr="007E3047">
        <w:rPr>
          <w:rFonts w:ascii="Times New Roman" w:hAnsi="Times New Roman"/>
          <w:sz w:val="24"/>
        </w:rPr>
        <w:t xml:space="preserve"> 11.179)</w:t>
      </w:r>
      <w:r w:rsidR="00880756" w:rsidRPr="007E3047">
        <w:rPr>
          <w:rFonts w:ascii="Times New Roman" w:hAnsi="Times New Roman"/>
          <w:sz w:val="24"/>
        </w:rPr>
        <w:t xml:space="preserve"> (p. 20)</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rPr>
        <w:t>Código Penal do Brasil (Decreto-Lei n</w:t>
      </w:r>
      <w:r w:rsidRPr="007E3047">
        <w:rPr>
          <w:rFonts w:ascii="Times New Roman" w:hAnsi="Times New Roman"/>
          <w:sz w:val="24"/>
          <w:vertAlign w:val="superscript"/>
        </w:rPr>
        <w:t>o</w:t>
      </w:r>
      <w:r w:rsidRPr="007E3047">
        <w:rPr>
          <w:rFonts w:ascii="Times New Roman" w:hAnsi="Times New Roman"/>
          <w:sz w:val="24"/>
        </w:rPr>
        <w:t xml:space="preserve"> 2.848/1940)</w:t>
      </w:r>
      <w:r w:rsidR="00880756" w:rsidRPr="007E3047">
        <w:rPr>
          <w:rFonts w:ascii="Times New Roman" w:hAnsi="Times New Roman"/>
          <w:sz w:val="24"/>
        </w:rPr>
        <w:t xml:space="preserve"> (p. 20)</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rPr>
        <w:t>Código Penal do Estado do México (Decreto 165)</w:t>
      </w:r>
      <w:r w:rsidR="00880756" w:rsidRPr="007E3047">
        <w:rPr>
          <w:rFonts w:ascii="Times New Roman" w:hAnsi="Times New Roman"/>
          <w:sz w:val="24"/>
        </w:rPr>
        <w:t xml:space="preserve"> (p. 20)</w:t>
      </w:r>
    </w:p>
    <w:p w:rsidR="000D5434" w:rsidRPr="007E3047" w:rsidRDefault="00634A80" w:rsidP="003450C5">
      <w:pPr>
        <w:pStyle w:val="FootnoteText"/>
        <w:spacing w:line="480" w:lineRule="auto"/>
        <w:jc w:val="both"/>
        <w:rPr>
          <w:rStyle w:val="Hyperlink"/>
          <w:rFonts w:ascii="Times New Roman" w:hAnsi="Times New Roman"/>
          <w:color w:val="auto"/>
          <w:sz w:val="24"/>
        </w:rPr>
      </w:pPr>
      <w:hyperlink r:id="rId11" w:history="1">
        <w:r w:rsidR="000D5434" w:rsidRPr="007E3047">
          <w:rPr>
            <w:rStyle w:val="Hyperlink"/>
            <w:rFonts w:ascii="Times New Roman" w:hAnsi="Times New Roman"/>
            <w:color w:val="auto"/>
            <w:sz w:val="24"/>
          </w:rPr>
          <w:t>http://www.militarypower.com.br/mundo.htm</w:t>
        </w:r>
      </w:hyperlink>
      <w:r w:rsidR="00880756" w:rsidRPr="007E3047">
        <w:rPr>
          <w:rStyle w:val="Hyperlink"/>
          <w:rFonts w:ascii="Times New Roman" w:hAnsi="Times New Roman"/>
          <w:color w:val="auto"/>
          <w:sz w:val="24"/>
        </w:rPr>
        <w:t xml:space="preserve"> (p. 9)</w:t>
      </w:r>
    </w:p>
    <w:p w:rsidR="000D5434" w:rsidRPr="007E3047" w:rsidRDefault="000D5434" w:rsidP="00A17BD4">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SCHINCARIOL, Rafael. </w:t>
      </w:r>
      <w:r w:rsidRPr="007E3047">
        <w:rPr>
          <w:rFonts w:ascii="Times New Roman" w:hAnsi="Times New Roman"/>
          <w:i/>
          <w:sz w:val="24"/>
          <w:szCs w:val="24"/>
        </w:rPr>
        <w:t>Justiça de Transição e Reconhecimento: uma análise do caso brasileiro</w:t>
      </w:r>
      <w:r w:rsidRPr="007E3047">
        <w:rPr>
          <w:rFonts w:ascii="Times New Roman" w:hAnsi="Times New Roman"/>
          <w:sz w:val="24"/>
          <w:szCs w:val="24"/>
        </w:rPr>
        <w:t>. 2013.  Faculdade de Direito da Universidade de São Paulo, São Paulo. 2013.</w:t>
      </w:r>
      <w:r w:rsidR="00880756" w:rsidRPr="007E3047">
        <w:rPr>
          <w:rFonts w:ascii="Times New Roman" w:hAnsi="Times New Roman"/>
          <w:sz w:val="24"/>
          <w:szCs w:val="24"/>
        </w:rPr>
        <w:t xml:space="preserve"> (p. 24)</w:t>
      </w:r>
    </w:p>
    <w:p w:rsidR="00D126AC" w:rsidRPr="007E3047" w:rsidRDefault="00D126AC" w:rsidP="00B54E53">
      <w:pPr>
        <w:spacing w:after="0" w:line="480" w:lineRule="auto"/>
        <w:jc w:val="both"/>
        <w:rPr>
          <w:rFonts w:ascii="Times New Roman" w:hAnsi="Times New Roman"/>
          <w:b/>
          <w:sz w:val="24"/>
          <w:szCs w:val="24"/>
        </w:rPr>
      </w:pPr>
    </w:p>
    <w:p w:rsidR="00D126AC" w:rsidRPr="007E3047" w:rsidRDefault="00D126AC" w:rsidP="00B54E53">
      <w:pPr>
        <w:spacing w:after="0" w:line="480" w:lineRule="auto"/>
        <w:jc w:val="both"/>
        <w:rPr>
          <w:rFonts w:ascii="Times New Roman" w:hAnsi="Times New Roman"/>
          <w:b/>
          <w:sz w:val="24"/>
          <w:szCs w:val="24"/>
        </w:rPr>
      </w:pPr>
    </w:p>
    <w:p w:rsidR="005750A8" w:rsidRPr="007E3047" w:rsidRDefault="005750A8" w:rsidP="00B54E53">
      <w:pPr>
        <w:spacing w:after="0" w:line="480" w:lineRule="auto"/>
        <w:jc w:val="both"/>
        <w:rPr>
          <w:rFonts w:ascii="Times New Roman" w:hAnsi="Times New Roman"/>
          <w:b/>
          <w:sz w:val="24"/>
          <w:szCs w:val="24"/>
        </w:rPr>
      </w:pPr>
      <w:r w:rsidRPr="007E3047">
        <w:rPr>
          <w:rFonts w:ascii="Times New Roman" w:hAnsi="Times New Roman"/>
          <w:b/>
          <w:sz w:val="24"/>
          <w:szCs w:val="24"/>
        </w:rPr>
        <w:t xml:space="preserve">Senhor Presidente da Corte Interamericana de Direitos Humanos, </w:t>
      </w:r>
    </w:p>
    <w:p w:rsidR="00811836" w:rsidRPr="007E3047" w:rsidRDefault="00811836" w:rsidP="00C167E9">
      <w:pPr>
        <w:spacing w:after="0" w:line="480" w:lineRule="auto"/>
        <w:ind w:firstLine="360"/>
        <w:jc w:val="both"/>
        <w:rPr>
          <w:rFonts w:ascii="Times New Roman" w:eastAsia="Times New Roman" w:hAnsi="Times New Roman"/>
          <w:sz w:val="24"/>
          <w:szCs w:val="24"/>
        </w:rPr>
      </w:pPr>
      <w:bookmarkStart w:id="63" w:name="_Toc289097822"/>
      <w:bookmarkStart w:id="64" w:name="_Toc289097978"/>
      <w:bookmarkStart w:id="65" w:name="_Toc289098275"/>
      <w:r w:rsidRPr="007E3047">
        <w:rPr>
          <w:rFonts w:ascii="Times New Roman" w:eastAsia="Times New Roman" w:hAnsi="Times New Roman"/>
          <w:sz w:val="24"/>
          <w:szCs w:val="24"/>
        </w:rPr>
        <w:t xml:space="preserve">A República Cardenal vem, tempestivamente, perante a Corte Interamericana de Direitos Humanos, expor seus argumentos de fato e de direito sobre a admissibilidade da demanda e requerer a sua procedência, a fim de reconhecer a inexistência das violações dos direitos humanos contidos nos artigos 3 (direito ao reconhecimento da personalidade jurídica), 4 (direito à vida), 5 (direito à integridade pessoal), 7 (direito à liberdade pessoal), 8 (garantias judiciais), 24 (igualdade perante a lei) e 25 (proteção judicial) da Convenção Americana de Direitos Humanos, todos à luz das obrigações dispostas nos artigos 1.1 (obrigação de respeitar os direitos) e 2 (dever de adotar disposições de direito interno) do mesmo diploma, em relação à Ricardo Bolt, Aníbal </w:t>
      </w:r>
      <w:r w:rsidRPr="007E3047">
        <w:rPr>
          <w:rFonts w:ascii="Times New Roman" w:eastAsia="Times New Roman" w:hAnsi="Times New Roman"/>
          <w:sz w:val="24"/>
          <w:szCs w:val="24"/>
        </w:rPr>
        <w:lastRenderedPageBreak/>
        <w:t>López, Lupita López</w:t>
      </w:r>
      <w:r w:rsidR="00C548E5" w:rsidRPr="007E3047">
        <w:rPr>
          <w:rFonts w:ascii="Times New Roman" w:eastAsia="Times New Roman" w:hAnsi="Times New Roman"/>
          <w:sz w:val="24"/>
          <w:szCs w:val="24"/>
        </w:rPr>
        <w:t xml:space="preserve">, Emily Rossi </w:t>
      </w:r>
      <w:r w:rsidRPr="007E3047">
        <w:rPr>
          <w:rFonts w:ascii="Times New Roman" w:eastAsia="Times New Roman" w:hAnsi="Times New Roman"/>
          <w:sz w:val="24"/>
          <w:szCs w:val="24"/>
        </w:rPr>
        <w:t>e Maximiliano Rossi, alegadas pela Comissão Inte</w:t>
      </w:r>
      <w:r w:rsidR="00C548E5" w:rsidRPr="007E3047">
        <w:rPr>
          <w:rFonts w:ascii="Times New Roman" w:eastAsia="Times New Roman" w:hAnsi="Times New Roman"/>
          <w:sz w:val="24"/>
          <w:szCs w:val="24"/>
        </w:rPr>
        <w:t>ramericana de Direitos Humanos</w:t>
      </w:r>
      <w:r w:rsidRPr="007E3047">
        <w:rPr>
          <w:rFonts w:ascii="Times New Roman" w:eastAsia="Times New Roman" w:hAnsi="Times New Roman"/>
          <w:sz w:val="24"/>
          <w:szCs w:val="24"/>
        </w:rPr>
        <w:t>.</w:t>
      </w:r>
    </w:p>
    <w:p w:rsidR="00AB5701" w:rsidRPr="007E3047" w:rsidRDefault="00AB5701" w:rsidP="00C167E9">
      <w:pPr>
        <w:spacing w:after="0" w:line="480" w:lineRule="auto"/>
        <w:ind w:firstLine="360"/>
        <w:jc w:val="both"/>
        <w:rPr>
          <w:rFonts w:ascii="Times New Roman" w:eastAsia="Times New Roman" w:hAnsi="Times New Roman"/>
          <w:sz w:val="24"/>
          <w:szCs w:val="24"/>
        </w:rPr>
      </w:pPr>
    </w:p>
    <w:p w:rsidR="00B54E53" w:rsidRPr="007E3047" w:rsidRDefault="007214F8" w:rsidP="00B54E53">
      <w:pPr>
        <w:pStyle w:val="Heading1"/>
        <w:numPr>
          <w:ilvl w:val="0"/>
          <w:numId w:val="9"/>
        </w:numPr>
        <w:spacing w:before="0" w:line="480" w:lineRule="auto"/>
        <w:jc w:val="both"/>
        <w:rPr>
          <w:rFonts w:ascii="Times New Roman" w:hAnsi="Times New Roman"/>
          <w:caps/>
          <w:color w:val="auto"/>
          <w:sz w:val="24"/>
          <w:szCs w:val="22"/>
        </w:rPr>
      </w:pPr>
      <w:bookmarkStart w:id="66" w:name="_Toc414915696"/>
      <w:bookmarkStart w:id="67" w:name="_Toc414915817"/>
      <w:bookmarkStart w:id="68" w:name="_Toc289097823"/>
      <w:bookmarkStart w:id="69" w:name="_Toc289097979"/>
      <w:bookmarkStart w:id="70" w:name="_Toc289098276"/>
      <w:bookmarkEnd w:id="0"/>
      <w:bookmarkEnd w:id="1"/>
      <w:bookmarkEnd w:id="63"/>
      <w:bookmarkEnd w:id="64"/>
      <w:bookmarkEnd w:id="65"/>
      <w:r w:rsidRPr="007E3047">
        <w:rPr>
          <w:rFonts w:ascii="Times New Roman" w:hAnsi="Times New Roman"/>
          <w:smallCaps/>
          <w:color w:val="auto"/>
          <w:sz w:val="24"/>
          <w:szCs w:val="22"/>
        </w:rPr>
        <w:t>DECLARAÇÃO DOS FATOS</w:t>
      </w:r>
      <w:bookmarkEnd w:id="66"/>
      <w:bookmarkEnd w:id="67"/>
    </w:p>
    <w:p w:rsidR="00C94CBB" w:rsidRPr="007E3047" w:rsidRDefault="00B54E53" w:rsidP="000C1E8D">
      <w:pPr>
        <w:pStyle w:val="ListParagraph"/>
        <w:spacing w:after="0" w:line="480" w:lineRule="auto"/>
        <w:ind w:left="0"/>
        <w:jc w:val="both"/>
        <w:rPr>
          <w:rFonts w:ascii="Times New Roman" w:eastAsia="Arial" w:hAnsi="Times New Roman"/>
          <w:sz w:val="24"/>
        </w:rPr>
      </w:pPr>
      <w:r w:rsidRPr="007E3047">
        <w:rPr>
          <w:rFonts w:ascii="Times New Roman" w:hAnsi="Times New Roman"/>
          <w:b/>
          <w:sz w:val="24"/>
        </w:rPr>
        <w:t>República Cardenal: Aspectos Políticos e Internacionais</w:t>
      </w:r>
      <w:r w:rsidR="00AF6FCE" w:rsidRPr="007E3047">
        <w:rPr>
          <w:rFonts w:ascii="Times New Roman" w:hAnsi="Times New Roman"/>
          <w:b/>
          <w:sz w:val="24"/>
        </w:rPr>
        <w:t xml:space="preserve"> </w:t>
      </w:r>
      <w:r w:rsidR="001D6521" w:rsidRPr="007E3047">
        <w:rPr>
          <w:rFonts w:ascii="Times New Roman" w:eastAsia="Arial" w:hAnsi="Times New Roman"/>
          <w:b/>
          <w:sz w:val="24"/>
        </w:rPr>
        <w:t>1.</w:t>
      </w:r>
      <w:r w:rsidR="0017139C" w:rsidRPr="007E3047">
        <w:rPr>
          <w:rFonts w:ascii="Times New Roman" w:eastAsia="Arial" w:hAnsi="Times New Roman"/>
          <w:b/>
          <w:sz w:val="24"/>
        </w:rPr>
        <w:t xml:space="preserve"> </w:t>
      </w:r>
      <w:r w:rsidRPr="007E3047">
        <w:rPr>
          <w:rFonts w:ascii="Times New Roman" w:eastAsia="Arial" w:hAnsi="Times New Roman"/>
          <w:sz w:val="24"/>
        </w:rPr>
        <w:t>Cardenal é membro fundador da OEA e ratificou todos os seus tratados concernentes a direitos humano</w:t>
      </w:r>
      <w:r w:rsidR="00AF6FCE" w:rsidRPr="007E3047">
        <w:rPr>
          <w:rFonts w:ascii="Times New Roman" w:eastAsia="Arial" w:hAnsi="Times New Roman"/>
          <w:sz w:val="24"/>
        </w:rPr>
        <w:t>s. Ratificou ainda o Estatuto do</w:t>
      </w:r>
      <w:r w:rsidRPr="007E3047">
        <w:rPr>
          <w:rFonts w:ascii="Times New Roman" w:eastAsia="Arial" w:hAnsi="Times New Roman"/>
          <w:sz w:val="24"/>
        </w:rPr>
        <w:t xml:space="preserve"> </w:t>
      </w:r>
      <w:r w:rsidR="00F24417" w:rsidRPr="007E3047">
        <w:rPr>
          <w:rFonts w:ascii="Times New Roman" w:eastAsia="Arial" w:hAnsi="Times New Roman"/>
          <w:sz w:val="24"/>
        </w:rPr>
        <w:t xml:space="preserve">Tribunal </w:t>
      </w:r>
      <w:r w:rsidRPr="007E3047">
        <w:rPr>
          <w:rFonts w:ascii="Times New Roman" w:eastAsia="Arial" w:hAnsi="Times New Roman"/>
          <w:sz w:val="24"/>
        </w:rPr>
        <w:t>Penal Internacional e a Convenção sobre a Imprescritibilidade dos Crimes de Guerra, de Lesa Hu</w:t>
      </w:r>
      <w:r w:rsidR="001309AB" w:rsidRPr="007E3047">
        <w:rPr>
          <w:rFonts w:ascii="Times New Roman" w:eastAsia="Arial" w:hAnsi="Times New Roman"/>
          <w:sz w:val="24"/>
        </w:rPr>
        <w:t>manida</w:t>
      </w:r>
      <w:r w:rsidR="00AF6FCE" w:rsidRPr="007E3047">
        <w:rPr>
          <w:rFonts w:ascii="Times New Roman" w:eastAsia="Arial" w:hAnsi="Times New Roman"/>
          <w:sz w:val="24"/>
        </w:rPr>
        <w:t>de e Genocídio e a</w:t>
      </w:r>
      <w:r w:rsidR="001309AB" w:rsidRPr="007E3047">
        <w:rPr>
          <w:rFonts w:ascii="Times New Roman" w:eastAsia="Arial" w:hAnsi="Times New Roman"/>
          <w:sz w:val="24"/>
        </w:rPr>
        <w:t xml:space="preserve"> Convenção</w:t>
      </w:r>
      <w:r w:rsidRPr="007E3047">
        <w:rPr>
          <w:rFonts w:ascii="Times New Roman" w:eastAsia="Arial" w:hAnsi="Times New Roman"/>
          <w:sz w:val="24"/>
        </w:rPr>
        <w:t xml:space="preserve"> 169 da OIT. A população atual de Cardenal é de 100 milhões de habitantes, sendo </w:t>
      </w:r>
      <w:r w:rsidR="001D6521" w:rsidRPr="007E3047">
        <w:rPr>
          <w:rFonts w:ascii="Times New Roman" w:eastAsia="Arial" w:hAnsi="Times New Roman"/>
          <w:sz w:val="24"/>
        </w:rPr>
        <w:t>que 4,5% da população considera</w:t>
      </w:r>
      <w:r w:rsidRPr="007E3047">
        <w:rPr>
          <w:rFonts w:ascii="Times New Roman" w:eastAsia="Arial" w:hAnsi="Times New Roman"/>
          <w:sz w:val="24"/>
        </w:rPr>
        <w:t>-se per</w:t>
      </w:r>
      <w:r w:rsidR="001D6521" w:rsidRPr="007E3047">
        <w:rPr>
          <w:rFonts w:ascii="Times New Roman" w:eastAsia="Arial" w:hAnsi="Times New Roman"/>
          <w:sz w:val="24"/>
        </w:rPr>
        <w:t>tencente</w:t>
      </w:r>
      <w:r w:rsidRPr="007E3047">
        <w:rPr>
          <w:rFonts w:ascii="Times New Roman" w:eastAsia="Arial" w:hAnsi="Times New Roman"/>
          <w:sz w:val="24"/>
        </w:rPr>
        <w:t xml:space="preserve"> a algum grupo étnico e</w:t>
      </w:r>
      <w:r w:rsidR="0017139C" w:rsidRPr="007E3047">
        <w:rPr>
          <w:rFonts w:ascii="Times New Roman" w:eastAsia="Arial" w:hAnsi="Times New Roman"/>
          <w:sz w:val="24"/>
        </w:rPr>
        <w:t>,</w:t>
      </w:r>
      <w:r w:rsidRPr="007E3047">
        <w:rPr>
          <w:rFonts w:ascii="Times New Roman" w:eastAsia="Arial" w:hAnsi="Times New Roman"/>
          <w:sz w:val="24"/>
        </w:rPr>
        <w:t xml:space="preserve"> dentre estes, 90% correspondem ao Povo Boneca, conforme o último censo realizado.</w:t>
      </w:r>
      <w:r w:rsidR="0017139C" w:rsidRPr="007E3047">
        <w:rPr>
          <w:rFonts w:ascii="Times New Roman" w:eastAsia="Arial" w:hAnsi="Times New Roman"/>
          <w:sz w:val="24"/>
        </w:rPr>
        <w:t xml:space="preserve"> </w:t>
      </w:r>
      <w:r w:rsidRPr="007E3047">
        <w:rPr>
          <w:rFonts w:ascii="Times New Roman" w:eastAsia="Arial" w:hAnsi="Times New Roman"/>
          <w:b/>
          <w:sz w:val="24"/>
        </w:rPr>
        <w:t>A Ditadura Militar e os Conflitos Armados</w:t>
      </w:r>
      <w:r w:rsidR="00AF6FCE" w:rsidRPr="007E3047">
        <w:rPr>
          <w:rFonts w:ascii="Times New Roman" w:eastAsia="Arial" w:hAnsi="Times New Roman"/>
          <w:b/>
          <w:sz w:val="24"/>
        </w:rPr>
        <w:t xml:space="preserve"> </w:t>
      </w:r>
      <w:r w:rsidR="001D6521" w:rsidRPr="007E3047">
        <w:rPr>
          <w:rFonts w:ascii="Times New Roman" w:eastAsia="Arial" w:hAnsi="Times New Roman"/>
          <w:b/>
          <w:sz w:val="24"/>
        </w:rPr>
        <w:t>2.</w:t>
      </w:r>
      <w:r w:rsidR="00AF6FCE" w:rsidRPr="007E3047">
        <w:rPr>
          <w:rFonts w:ascii="Times New Roman" w:eastAsia="Arial" w:hAnsi="Times New Roman"/>
          <w:b/>
          <w:sz w:val="24"/>
        </w:rPr>
        <w:t xml:space="preserve"> </w:t>
      </w:r>
      <w:r w:rsidR="00FF609B" w:rsidRPr="007E3047">
        <w:rPr>
          <w:rStyle w:val="SubtleReference"/>
          <w:rFonts w:eastAsia="Arial"/>
          <w:b w:val="0"/>
          <w:smallCaps w:val="0"/>
        </w:rPr>
        <w:t>Cardenal, n</w:t>
      </w:r>
      <w:r w:rsidRPr="007E3047">
        <w:rPr>
          <w:rStyle w:val="SubtleReference"/>
          <w:rFonts w:eastAsia="Arial"/>
          <w:b w:val="0"/>
          <w:smallCaps w:val="0"/>
        </w:rPr>
        <w:t>a década de 1960</w:t>
      </w:r>
      <w:r w:rsidR="00FF609B" w:rsidRPr="007E3047">
        <w:rPr>
          <w:rStyle w:val="SubtleReference"/>
          <w:rFonts w:eastAsia="Arial"/>
          <w:b w:val="0"/>
          <w:smallCaps w:val="0"/>
        </w:rPr>
        <w:t>,</w:t>
      </w:r>
      <w:r w:rsidRPr="007E3047">
        <w:rPr>
          <w:rStyle w:val="SubtleReference"/>
          <w:rFonts w:eastAsia="Arial"/>
          <w:b w:val="0"/>
          <w:smallCaps w:val="0"/>
        </w:rPr>
        <w:t xml:space="preserve"> passou por uma ditadura militar de enfoque integracionista</w:t>
      </w:r>
      <w:r w:rsidR="0017139C" w:rsidRPr="007E3047">
        <w:rPr>
          <w:rStyle w:val="SubtleReference"/>
          <w:rFonts w:eastAsia="Arial"/>
          <w:b w:val="0"/>
          <w:smallCaps w:val="0"/>
        </w:rPr>
        <w:t xml:space="preserve"> </w:t>
      </w:r>
      <w:r w:rsidRPr="007E3047">
        <w:rPr>
          <w:rStyle w:val="SubtleReference"/>
          <w:rFonts w:eastAsia="Arial"/>
          <w:b w:val="0"/>
          <w:smallCaps w:val="0"/>
        </w:rPr>
        <w:t>que resultou em condições socioeconômicas para a Comunidade Boneca inferiores à da média nacional.</w:t>
      </w:r>
      <w:r w:rsidR="00AF6FCE" w:rsidRPr="007E3047">
        <w:rPr>
          <w:rStyle w:val="SubtleReference"/>
          <w:rFonts w:eastAsia="Arial"/>
          <w:b w:val="0"/>
          <w:smallCaps w:val="0"/>
        </w:rPr>
        <w:t xml:space="preserve"> </w:t>
      </w:r>
      <w:r w:rsidR="001D6521" w:rsidRPr="007E3047">
        <w:rPr>
          <w:rStyle w:val="SubtleReference"/>
          <w:rFonts w:eastAsia="Arial"/>
          <w:smallCaps w:val="0"/>
        </w:rPr>
        <w:t>3.</w:t>
      </w:r>
      <w:r w:rsidR="0017139C" w:rsidRPr="007E3047">
        <w:rPr>
          <w:rStyle w:val="SubtleReference"/>
          <w:rFonts w:eastAsia="Arial"/>
          <w:smallCaps w:val="0"/>
        </w:rPr>
        <w:t xml:space="preserve"> </w:t>
      </w:r>
      <w:r w:rsidRPr="007E3047">
        <w:rPr>
          <w:rStyle w:val="SubtleReference"/>
          <w:rFonts w:eastAsia="Arial"/>
          <w:b w:val="0"/>
          <w:smallCaps w:val="0"/>
        </w:rPr>
        <w:t>Em abril de 1990</w:t>
      </w:r>
      <w:r w:rsidR="0017139C" w:rsidRPr="007E3047">
        <w:rPr>
          <w:rStyle w:val="SubtleReference"/>
          <w:rFonts w:eastAsia="Arial"/>
          <w:b w:val="0"/>
          <w:smallCaps w:val="0"/>
        </w:rPr>
        <w:t>,</w:t>
      </w:r>
      <w:r w:rsidRPr="007E3047">
        <w:rPr>
          <w:rStyle w:val="SubtleReference"/>
          <w:rFonts w:eastAsia="Arial"/>
          <w:b w:val="0"/>
          <w:smallCaps w:val="0"/>
        </w:rPr>
        <w:t xml:space="preserve"> um grupo de pessoas da região boneca – alguns indígenas e outros não – criaram</w:t>
      </w:r>
      <w:r w:rsidR="00AF6FCE" w:rsidRPr="007E3047">
        <w:rPr>
          <w:rStyle w:val="SubtleReference"/>
          <w:rFonts w:eastAsia="Arial"/>
          <w:b w:val="0"/>
          <w:smallCaps w:val="0"/>
        </w:rPr>
        <w:t xml:space="preserve"> </w:t>
      </w:r>
      <w:r w:rsidRPr="007E3047">
        <w:rPr>
          <w:rStyle w:val="SubtleReference"/>
          <w:rFonts w:eastAsia="Arial"/>
          <w:b w:val="0"/>
          <w:smallCaps w:val="0"/>
        </w:rPr>
        <w:t>um grupo armado que agia com estratégias de guerrilha, o Movimento Revolucionário Liberdade Boneca</w:t>
      </w:r>
      <w:r w:rsidR="008A4DFE" w:rsidRPr="007E3047">
        <w:rPr>
          <w:rStyle w:val="SubtleReference"/>
          <w:rFonts w:eastAsia="Arial"/>
          <w:b w:val="0"/>
          <w:smallCaps w:val="0"/>
        </w:rPr>
        <w:t xml:space="preserve">, </w:t>
      </w:r>
      <w:r w:rsidR="00F0286D" w:rsidRPr="007E3047">
        <w:rPr>
          <w:rStyle w:val="SubtleReference"/>
          <w:rFonts w:eastAsia="Arial"/>
          <w:b w:val="0"/>
          <w:smallCaps w:val="0"/>
        </w:rPr>
        <w:t>cujo objetivo era</w:t>
      </w:r>
      <w:r w:rsidRPr="007E3047">
        <w:rPr>
          <w:rStyle w:val="SubtleReference"/>
          <w:rFonts w:eastAsia="Arial"/>
          <w:b w:val="0"/>
          <w:smallCaps w:val="0"/>
        </w:rPr>
        <w:t xml:space="preserve"> desconstituir a ordem institucional e instaurar um Estado comunista.</w:t>
      </w:r>
      <w:r w:rsidR="00AF6FCE" w:rsidRPr="007E3047">
        <w:rPr>
          <w:rStyle w:val="SubtleReference"/>
          <w:rFonts w:eastAsia="Arial"/>
          <w:b w:val="0"/>
          <w:smallCaps w:val="0"/>
        </w:rPr>
        <w:t xml:space="preserve"> </w:t>
      </w:r>
      <w:r w:rsidR="001D6521" w:rsidRPr="007E3047">
        <w:rPr>
          <w:rStyle w:val="SubtleReference"/>
          <w:rFonts w:eastAsia="Arial"/>
          <w:smallCaps w:val="0"/>
        </w:rPr>
        <w:t>4.</w:t>
      </w:r>
      <w:r w:rsidR="0017139C" w:rsidRPr="007E3047">
        <w:rPr>
          <w:rStyle w:val="SubtleReference"/>
          <w:rFonts w:eastAsia="Arial"/>
          <w:smallCaps w:val="0"/>
        </w:rPr>
        <w:t xml:space="preserve"> </w:t>
      </w:r>
      <w:r w:rsidRPr="007E3047">
        <w:rPr>
          <w:rStyle w:val="SubtleReference"/>
          <w:rFonts w:eastAsia="Arial"/>
          <w:b w:val="0"/>
          <w:smallCaps w:val="0"/>
        </w:rPr>
        <w:t xml:space="preserve">No fim da década de </w:t>
      </w:r>
      <w:r w:rsidR="00FF609B" w:rsidRPr="007E3047">
        <w:rPr>
          <w:rStyle w:val="SubtleReference"/>
          <w:rFonts w:eastAsia="Arial"/>
          <w:b w:val="0"/>
          <w:smallCaps w:val="0"/>
        </w:rPr>
        <w:t>19</w:t>
      </w:r>
      <w:r w:rsidRPr="007E3047">
        <w:rPr>
          <w:rStyle w:val="SubtleReference"/>
          <w:rFonts w:eastAsia="Arial"/>
          <w:b w:val="0"/>
          <w:smallCaps w:val="0"/>
        </w:rPr>
        <w:t>90</w:t>
      </w:r>
      <w:r w:rsidR="0017139C" w:rsidRPr="007E3047">
        <w:rPr>
          <w:rStyle w:val="SubtleReference"/>
          <w:rFonts w:eastAsia="Arial"/>
          <w:b w:val="0"/>
          <w:smallCaps w:val="0"/>
        </w:rPr>
        <w:t>,</w:t>
      </w:r>
      <w:r w:rsidRPr="007E3047">
        <w:rPr>
          <w:rStyle w:val="SubtleReference"/>
          <w:rFonts w:eastAsia="Arial"/>
          <w:b w:val="0"/>
          <w:smallCaps w:val="0"/>
        </w:rPr>
        <w:t xml:space="preserve"> </w:t>
      </w:r>
      <w:r w:rsidR="001D6521" w:rsidRPr="007E3047">
        <w:rPr>
          <w:rStyle w:val="SubtleReference"/>
          <w:rFonts w:eastAsia="Arial"/>
          <w:b w:val="0"/>
          <w:smallCaps w:val="0"/>
        </w:rPr>
        <w:t>foram realizadas</w:t>
      </w:r>
      <w:r w:rsidRPr="007E3047">
        <w:rPr>
          <w:rStyle w:val="SubtleReference"/>
          <w:rFonts w:eastAsia="Arial"/>
          <w:b w:val="0"/>
          <w:smallCaps w:val="0"/>
        </w:rPr>
        <w:t xml:space="preserve"> eleições presidenciais marcadas por atos considerados terroristas e conflitos que causaram grande comoção na população. O candidato Armando Ferreira </w:t>
      </w:r>
      <w:r w:rsidR="001D6521" w:rsidRPr="007E3047">
        <w:rPr>
          <w:rStyle w:val="SubtleReference"/>
          <w:rFonts w:eastAsia="Arial"/>
          <w:b w:val="0"/>
          <w:smallCaps w:val="0"/>
        </w:rPr>
        <w:t xml:space="preserve">foi eleito </w:t>
      </w:r>
      <w:r w:rsidRPr="007E3047">
        <w:rPr>
          <w:rStyle w:val="SubtleReference"/>
          <w:rFonts w:eastAsia="Arial"/>
          <w:b w:val="0"/>
          <w:smallCaps w:val="0"/>
        </w:rPr>
        <w:t>p</w:t>
      </w:r>
      <w:r w:rsidR="005F5AA9" w:rsidRPr="007E3047">
        <w:rPr>
          <w:rStyle w:val="SubtleReference"/>
          <w:rFonts w:eastAsia="Arial"/>
          <w:b w:val="0"/>
          <w:smallCaps w:val="0"/>
        </w:rPr>
        <w:t>residente com votação histórica</w:t>
      </w:r>
      <w:r w:rsidRPr="007E3047">
        <w:rPr>
          <w:rStyle w:val="SubtleReference"/>
          <w:rFonts w:eastAsia="Arial"/>
          <w:b w:val="0"/>
          <w:smallCaps w:val="0"/>
        </w:rPr>
        <w:t>.</w:t>
      </w:r>
      <w:r w:rsidR="00AF6FCE" w:rsidRPr="007E3047">
        <w:rPr>
          <w:rStyle w:val="SubtleReference"/>
          <w:rFonts w:eastAsia="Arial"/>
          <w:b w:val="0"/>
          <w:smallCaps w:val="0"/>
        </w:rPr>
        <w:t xml:space="preserve"> </w:t>
      </w:r>
      <w:r w:rsidR="005F5AA9" w:rsidRPr="007E3047">
        <w:rPr>
          <w:rStyle w:val="SubtleReference"/>
          <w:rFonts w:eastAsia="Arial"/>
          <w:smallCaps w:val="0"/>
        </w:rPr>
        <w:t xml:space="preserve">5. </w:t>
      </w:r>
      <w:r w:rsidRPr="007E3047">
        <w:rPr>
          <w:rStyle w:val="SubtleReference"/>
          <w:rFonts w:eastAsia="Arial"/>
          <w:b w:val="0"/>
          <w:smallCaps w:val="0"/>
        </w:rPr>
        <w:t xml:space="preserve">Em meados da década de 2000, </w:t>
      </w:r>
      <w:r w:rsidR="00D306A5" w:rsidRPr="007E3047">
        <w:rPr>
          <w:rStyle w:val="SubtleReference"/>
          <w:rFonts w:eastAsia="Arial"/>
          <w:b w:val="0"/>
          <w:smallCaps w:val="0"/>
        </w:rPr>
        <w:t xml:space="preserve">o Presidente </w:t>
      </w:r>
      <w:r w:rsidR="005F5AA9" w:rsidRPr="007E3047">
        <w:rPr>
          <w:rStyle w:val="SubtleReference"/>
          <w:rFonts w:eastAsia="Arial"/>
          <w:b w:val="0"/>
          <w:smallCaps w:val="0"/>
        </w:rPr>
        <w:t>eleito</w:t>
      </w:r>
      <w:r w:rsidRPr="007E3047">
        <w:rPr>
          <w:rStyle w:val="SubtleReference"/>
          <w:rFonts w:eastAsia="Arial"/>
          <w:b w:val="0"/>
          <w:smallCaps w:val="0"/>
        </w:rPr>
        <w:t xml:space="preserve"> declarou um “autogolpe de Estado”</w:t>
      </w:r>
      <w:r w:rsidR="0017139C" w:rsidRPr="007E3047">
        <w:rPr>
          <w:rStyle w:val="SubtleReference"/>
          <w:rFonts w:eastAsia="Arial"/>
          <w:b w:val="0"/>
          <w:smallCaps w:val="0"/>
        </w:rPr>
        <w:t xml:space="preserve">, </w:t>
      </w:r>
      <w:r w:rsidR="00F0286D" w:rsidRPr="007E3047">
        <w:rPr>
          <w:rStyle w:val="SubtleReference"/>
          <w:rFonts w:eastAsia="Arial"/>
          <w:b w:val="0"/>
          <w:smallCaps w:val="0"/>
        </w:rPr>
        <w:t>conseguindo</w:t>
      </w:r>
      <w:r w:rsidRPr="007E3047">
        <w:rPr>
          <w:rStyle w:val="SubtleReference"/>
          <w:rFonts w:eastAsia="Arial"/>
          <w:b w:val="0"/>
          <w:smallCaps w:val="0"/>
        </w:rPr>
        <w:t xml:space="preserve"> sua imediata reeleição e a ratificou com votação favorável de 90% do eleitorado.</w:t>
      </w:r>
      <w:r w:rsidR="00AF6FCE" w:rsidRPr="007E3047">
        <w:rPr>
          <w:rStyle w:val="SubtleReference"/>
          <w:rFonts w:eastAsia="Arial"/>
          <w:b w:val="0"/>
          <w:smallCaps w:val="0"/>
        </w:rPr>
        <w:t xml:space="preserve"> </w:t>
      </w:r>
      <w:r w:rsidR="005F5AA9" w:rsidRPr="007E3047">
        <w:rPr>
          <w:rStyle w:val="SubtleReference"/>
          <w:rFonts w:eastAsia="Arial"/>
          <w:smallCaps w:val="0"/>
        </w:rPr>
        <w:t>6</w:t>
      </w:r>
      <w:r w:rsidR="001D6521" w:rsidRPr="007E3047">
        <w:rPr>
          <w:rStyle w:val="SubtleReference"/>
          <w:rFonts w:eastAsia="Arial"/>
          <w:smallCaps w:val="0"/>
        </w:rPr>
        <w:t>.</w:t>
      </w:r>
      <w:r w:rsidR="0017139C" w:rsidRPr="007E3047">
        <w:rPr>
          <w:rStyle w:val="SubtleReference"/>
          <w:rFonts w:eastAsia="Arial"/>
          <w:smallCaps w:val="0"/>
        </w:rPr>
        <w:t xml:space="preserve"> </w:t>
      </w:r>
      <w:r w:rsidRPr="007E3047">
        <w:rPr>
          <w:rStyle w:val="SubtleReference"/>
          <w:rFonts w:eastAsia="Arial"/>
          <w:b w:val="0"/>
          <w:smallCaps w:val="0"/>
        </w:rPr>
        <w:t>Nos anos seguin</w:t>
      </w:r>
      <w:r w:rsidR="00FF609B" w:rsidRPr="007E3047">
        <w:rPr>
          <w:rStyle w:val="SubtleReference"/>
          <w:rFonts w:eastAsia="Arial"/>
          <w:b w:val="0"/>
          <w:smallCaps w:val="0"/>
        </w:rPr>
        <w:t>tes</w:t>
      </w:r>
      <w:r w:rsidR="0017139C" w:rsidRPr="007E3047">
        <w:rPr>
          <w:rStyle w:val="SubtleReference"/>
          <w:rFonts w:eastAsia="Arial"/>
          <w:b w:val="0"/>
          <w:smallCaps w:val="0"/>
        </w:rPr>
        <w:t>,</w:t>
      </w:r>
      <w:r w:rsidR="00FF609B" w:rsidRPr="007E3047">
        <w:rPr>
          <w:rStyle w:val="SubtleReference"/>
          <w:rFonts w:eastAsia="Arial"/>
          <w:b w:val="0"/>
          <w:smallCaps w:val="0"/>
        </w:rPr>
        <w:t xml:space="preserve"> os conflitos recrudesceram e, e</w:t>
      </w:r>
      <w:r w:rsidRPr="007E3047">
        <w:rPr>
          <w:rStyle w:val="SubtleReference"/>
          <w:rFonts w:eastAsia="Arial"/>
          <w:b w:val="0"/>
          <w:smallCaps w:val="0"/>
        </w:rPr>
        <w:t>mbora</w:t>
      </w:r>
      <w:r w:rsidR="00D306A5" w:rsidRPr="007E3047">
        <w:rPr>
          <w:rStyle w:val="SubtleReference"/>
          <w:rFonts w:eastAsia="Arial"/>
          <w:b w:val="0"/>
          <w:smallCaps w:val="0"/>
        </w:rPr>
        <w:t xml:space="preserve"> o Presidente</w:t>
      </w:r>
      <w:r w:rsidR="00AF6FCE" w:rsidRPr="007E3047">
        <w:rPr>
          <w:rStyle w:val="SubtleReference"/>
          <w:rFonts w:eastAsia="Arial"/>
          <w:b w:val="0"/>
          <w:smallCaps w:val="0"/>
        </w:rPr>
        <w:t xml:space="preserve"> </w:t>
      </w:r>
      <w:r w:rsidRPr="007E3047">
        <w:rPr>
          <w:rStyle w:val="SubtleReference"/>
          <w:rFonts w:eastAsia="Arial"/>
          <w:b w:val="0"/>
          <w:smallCaps w:val="0"/>
        </w:rPr>
        <w:t>Ferreira fosse popular, uma crise política resultou com que ele deixasse seu cargo e convocasse novas eleições.</w:t>
      </w:r>
      <w:r w:rsidR="00AF6FCE" w:rsidRPr="007E3047">
        <w:rPr>
          <w:rStyle w:val="SubtleReference"/>
          <w:rFonts w:eastAsia="Arial"/>
          <w:b w:val="0"/>
          <w:smallCaps w:val="0"/>
        </w:rPr>
        <w:t xml:space="preserve"> </w:t>
      </w:r>
      <w:r w:rsidR="0087383C" w:rsidRPr="007E3047">
        <w:rPr>
          <w:rStyle w:val="SubtleReference"/>
          <w:rFonts w:eastAsia="Arial"/>
          <w:smallCaps w:val="0"/>
        </w:rPr>
        <w:t>O Processo de Paz</w:t>
      </w:r>
      <w:r w:rsidR="00AF6FCE" w:rsidRPr="007E3047">
        <w:rPr>
          <w:rStyle w:val="SubtleReference"/>
          <w:rFonts w:eastAsia="Arial"/>
          <w:smallCaps w:val="0"/>
        </w:rPr>
        <w:t xml:space="preserve"> </w:t>
      </w:r>
      <w:r w:rsidR="005F5AA9" w:rsidRPr="007E3047">
        <w:rPr>
          <w:rStyle w:val="SubtleReference"/>
          <w:rFonts w:eastAsia="Arial"/>
          <w:smallCaps w:val="0"/>
        </w:rPr>
        <w:t>7</w:t>
      </w:r>
      <w:r w:rsidR="001D6521" w:rsidRPr="007E3047">
        <w:rPr>
          <w:rStyle w:val="SubtleReference"/>
          <w:rFonts w:eastAsia="Arial"/>
          <w:smallCaps w:val="0"/>
        </w:rPr>
        <w:t>.</w:t>
      </w:r>
      <w:r w:rsidR="00AF6FCE" w:rsidRPr="007E3047">
        <w:rPr>
          <w:rStyle w:val="SubtleReference"/>
          <w:rFonts w:eastAsia="Arial"/>
          <w:smallCaps w:val="0"/>
        </w:rPr>
        <w:t xml:space="preserve"> </w:t>
      </w:r>
      <w:r w:rsidR="0087383C" w:rsidRPr="007E3047">
        <w:rPr>
          <w:rStyle w:val="SubtleReference"/>
          <w:rFonts w:eastAsia="Arial"/>
          <w:b w:val="0"/>
          <w:smallCaps w:val="0"/>
        </w:rPr>
        <w:t>Em 2006</w:t>
      </w:r>
      <w:r w:rsidR="005F5AA9" w:rsidRPr="007E3047">
        <w:rPr>
          <w:rStyle w:val="SubtleReference"/>
          <w:rFonts w:eastAsia="Arial"/>
          <w:b w:val="0"/>
          <w:smallCaps w:val="0"/>
        </w:rPr>
        <w:t>,</w:t>
      </w:r>
      <w:r w:rsidR="0087383C" w:rsidRPr="007E3047">
        <w:rPr>
          <w:rStyle w:val="SubtleReference"/>
          <w:rFonts w:eastAsia="Arial"/>
          <w:b w:val="0"/>
          <w:smallCaps w:val="0"/>
        </w:rPr>
        <w:t xml:space="preserve"> com as </w:t>
      </w:r>
      <w:r w:rsidR="0087383C" w:rsidRPr="007E3047">
        <w:rPr>
          <w:rStyle w:val="SubtleReference"/>
          <w:rFonts w:eastAsia="Arial"/>
          <w:b w:val="0"/>
          <w:smallCaps w:val="0"/>
        </w:rPr>
        <w:lastRenderedPageBreak/>
        <w:t>novas eleições realizadas, Gabriela Nunes assumiu a presidência com uma plataforma política de negociação da paz.</w:t>
      </w:r>
      <w:r w:rsidR="00AF6FCE" w:rsidRPr="007E3047">
        <w:rPr>
          <w:rStyle w:val="SubtleReference"/>
          <w:rFonts w:eastAsia="Arial"/>
          <w:b w:val="0"/>
          <w:smallCaps w:val="0"/>
        </w:rPr>
        <w:t xml:space="preserve"> </w:t>
      </w:r>
      <w:r w:rsidR="005F5AA9" w:rsidRPr="007E3047">
        <w:rPr>
          <w:rStyle w:val="SubtleReference"/>
          <w:rFonts w:eastAsia="Arial"/>
          <w:smallCaps w:val="0"/>
        </w:rPr>
        <w:t>8</w:t>
      </w:r>
      <w:r w:rsidR="001D6521" w:rsidRPr="007E3047">
        <w:rPr>
          <w:rStyle w:val="SubtleReference"/>
          <w:rFonts w:eastAsia="Arial"/>
          <w:smallCaps w:val="0"/>
        </w:rPr>
        <w:t xml:space="preserve">. </w:t>
      </w:r>
      <w:r w:rsidR="0087383C" w:rsidRPr="007E3047">
        <w:rPr>
          <w:rStyle w:val="SubtleReference"/>
          <w:rFonts w:eastAsia="Arial"/>
          <w:b w:val="0"/>
          <w:smallCaps w:val="0"/>
        </w:rPr>
        <w:t>Em 2008</w:t>
      </w:r>
      <w:r w:rsidR="0017139C" w:rsidRPr="007E3047">
        <w:rPr>
          <w:rStyle w:val="SubtleReference"/>
          <w:rFonts w:eastAsia="Arial"/>
          <w:b w:val="0"/>
          <w:smallCaps w:val="0"/>
        </w:rPr>
        <w:t>,</w:t>
      </w:r>
      <w:r w:rsidR="0087383C" w:rsidRPr="007E3047">
        <w:rPr>
          <w:rStyle w:val="SubtleReference"/>
          <w:rFonts w:eastAsia="Arial"/>
          <w:b w:val="0"/>
          <w:smallCaps w:val="0"/>
        </w:rPr>
        <w:t xml:space="preserve"> o MRLB e o Governo chegaram a um acordo com três pontos principais: autonomia das regiões </w:t>
      </w:r>
      <w:r w:rsidR="005F5AA9" w:rsidRPr="007E3047">
        <w:rPr>
          <w:rStyle w:val="SubtleReference"/>
          <w:rFonts w:eastAsia="Arial"/>
          <w:b w:val="0"/>
          <w:smallCaps w:val="0"/>
        </w:rPr>
        <w:t>e reconhecimento do Povo Boneca,</w:t>
      </w:r>
      <w:r w:rsidR="0087383C" w:rsidRPr="007E3047">
        <w:rPr>
          <w:rStyle w:val="SubtleReference"/>
          <w:rFonts w:eastAsia="Arial"/>
          <w:b w:val="0"/>
          <w:smallCaps w:val="0"/>
        </w:rPr>
        <w:t xml:space="preserve"> reforma constitucional democrá</w:t>
      </w:r>
      <w:r w:rsidR="005F5AA9" w:rsidRPr="007E3047">
        <w:rPr>
          <w:rStyle w:val="SubtleReference"/>
          <w:rFonts w:eastAsia="Arial"/>
          <w:b w:val="0"/>
          <w:smallCaps w:val="0"/>
        </w:rPr>
        <w:t>tica,</w:t>
      </w:r>
      <w:r w:rsidR="0087383C" w:rsidRPr="007E3047">
        <w:rPr>
          <w:rStyle w:val="SubtleReference"/>
          <w:rFonts w:eastAsia="Arial"/>
          <w:b w:val="0"/>
          <w:smallCaps w:val="0"/>
        </w:rPr>
        <w:t xml:space="preserve"> mecanismos de transição garantindo </w:t>
      </w:r>
      <w:r w:rsidR="00A91DDD" w:rsidRPr="007E3047">
        <w:rPr>
          <w:rStyle w:val="SubtleReference"/>
          <w:rFonts w:eastAsia="Arial"/>
          <w:b w:val="0"/>
          <w:smallCaps w:val="0"/>
        </w:rPr>
        <w:t>a paz e os direitos das vítimas</w:t>
      </w:r>
      <w:r w:rsidR="0087383C" w:rsidRPr="007E3047">
        <w:rPr>
          <w:rStyle w:val="SubtleReference"/>
          <w:rFonts w:eastAsia="Arial"/>
          <w:b w:val="0"/>
          <w:smallCaps w:val="0"/>
        </w:rPr>
        <w:t>.</w:t>
      </w:r>
      <w:r w:rsidR="0017139C" w:rsidRPr="007E3047">
        <w:rPr>
          <w:rStyle w:val="SubtleReference"/>
          <w:rFonts w:eastAsia="Arial"/>
          <w:b w:val="0"/>
          <w:smallCaps w:val="0"/>
        </w:rPr>
        <w:t xml:space="preserve"> </w:t>
      </w:r>
      <w:r w:rsidR="00A91DDD" w:rsidRPr="007E3047">
        <w:rPr>
          <w:rStyle w:val="SubtleReference"/>
          <w:rFonts w:eastAsia="Arial"/>
          <w:smallCaps w:val="0"/>
        </w:rPr>
        <w:t>9</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Além disso, realizou-se uma reforma constitucional, elogiada por especialistas pelos seguintes aspectos: </w:t>
      </w:r>
      <w:r w:rsidR="005F5AA9" w:rsidRPr="007E3047">
        <w:rPr>
          <w:rStyle w:val="SubtleReference"/>
          <w:rFonts w:eastAsia="Arial"/>
          <w:b w:val="0"/>
          <w:smallCaps w:val="0"/>
        </w:rPr>
        <w:t>a</w:t>
      </w:r>
      <w:r w:rsidR="0087383C" w:rsidRPr="007E3047">
        <w:rPr>
          <w:rStyle w:val="SubtleReference"/>
          <w:rFonts w:eastAsia="Arial"/>
          <w:b w:val="0"/>
          <w:smallCaps w:val="0"/>
        </w:rPr>
        <w:t>) tratou-se de um processo fundacional e</w:t>
      </w:r>
      <w:r w:rsidR="0017139C" w:rsidRPr="007E3047">
        <w:rPr>
          <w:rStyle w:val="SubtleReference"/>
          <w:rFonts w:eastAsia="Arial"/>
          <w:b w:val="0"/>
          <w:smallCaps w:val="0"/>
        </w:rPr>
        <w:t xml:space="preserve"> </w:t>
      </w:r>
      <w:r w:rsidR="0087383C" w:rsidRPr="007E3047">
        <w:rPr>
          <w:rStyle w:val="SubtleReference"/>
          <w:rFonts w:eastAsia="Arial"/>
          <w:b w:val="0"/>
          <w:smallCaps w:val="0"/>
        </w:rPr>
        <w:t xml:space="preserve">genuinamente democrático, por ter sido debatido pela sociedade e por ela referendado; </w:t>
      </w:r>
      <w:r w:rsidR="005F5AA9" w:rsidRPr="007E3047">
        <w:rPr>
          <w:rStyle w:val="SubtleReference"/>
          <w:rFonts w:eastAsia="Arial"/>
          <w:b w:val="0"/>
          <w:smallCaps w:val="0"/>
        </w:rPr>
        <w:t>b</w:t>
      </w:r>
      <w:r w:rsidR="0087383C" w:rsidRPr="007E3047">
        <w:rPr>
          <w:rStyle w:val="SubtleReference"/>
          <w:rFonts w:eastAsia="Arial"/>
          <w:b w:val="0"/>
          <w:smallCaps w:val="0"/>
        </w:rPr>
        <w:t>)</w:t>
      </w:r>
      <w:r w:rsidR="0017139C" w:rsidRPr="007E3047">
        <w:rPr>
          <w:rStyle w:val="SubtleReference"/>
          <w:rFonts w:eastAsia="Arial"/>
          <w:b w:val="0"/>
          <w:smallCaps w:val="0"/>
        </w:rPr>
        <w:t xml:space="preserve"> </w:t>
      </w:r>
      <w:r w:rsidR="0087383C" w:rsidRPr="007E3047">
        <w:rPr>
          <w:rStyle w:val="SubtleReference"/>
          <w:rFonts w:eastAsia="Arial"/>
          <w:b w:val="0"/>
          <w:smallCaps w:val="0"/>
        </w:rPr>
        <w:t>houve preocupação com a diversidad</w:t>
      </w:r>
      <w:r w:rsidR="005F5AA9" w:rsidRPr="007E3047">
        <w:rPr>
          <w:rStyle w:val="SubtleReference"/>
          <w:rFonts w:eastAsia="Arial"/>
          <w:b w:val="0"/>
          <w:smallCaps w:val="0"/>
        </w:rPr>
        <w:t>e étnica e com a autonomia das c</w:t>
      </w:r>
      <w:r w:rsidR="0087383C" w:rsidRPr="007E3047">
        <w:rPr>
          <w:rStyle w:val="SubtleReference"/>
          <w:rFonts w:eastAsia="Arial"/>
          <w:b w:val="0"/>
          <w:smallCaps w:val="0"/>
        </w:rPr>
        <w:t xml:space="preserve">omunidades, transformando Cardenal </w:t>
      </w:r>
      <w:r w:rsidR="005F5AA9" w:rsidRPr="007E3047">
        <w:rPr>
          <w:rStyle w:val="SubtleReference"/>
          <w:rFonts w:eastAsia="Arial"/>
          <w:b w:val="0"/>
          <w:smallCaps w:val="0"/>
        </w:rPr>
        <w:t>em uma</w:t>
      </w:r>
      <w:r w:rsidR="0087383C" w:rsidRPr="007E3047">
        <w:rPr>
          <w:rStyle w:val="SubtleReference"/>
          <w:rFonts w:eastAsia="Arial"/>
          <w:b w:val="0"/>
          <w:smallCaps w:val="0"/>
        </w:rPr>
        <w:t xml:space="preserve"> república de caráter plurinacional; </w:t>
      </w:r>
      <w:r w:rsidR="005F5AA9" w:rsidRPr="007E3047">
        <w:rPr>
          <w:rStyle w:val="SubtleReference"/>
          <w:rFonts w:eastAsia="Arial"/>
          <w:b w:val="0"/>
          <w:smallCaps w:val="0"/>
        </w:rPr>
        <w:t>c</w:t>
      </w:r>
      <w:r w:rsidR="0087383C" w:rsidRPr="007E3047">
        <w:rPr>
          <w:rStyle w:val="SubtleReference"/>
          <w:rFonts w:eastAsia="Arial"/>
          <w:b w:val="0"/>
          <w:smallCaps w:val="0"/>
        </w:rPr>
        <w:t>) embora Cardenal</w:t>
      </w:r>
      <w:r w:rsidR="0017139C" w:rsidRPr="007E3047">
        <w:rPr>
          <w:rStyle w:val="SubtleReference"/>
          <w:rFonts w:eastAsia="Arial"/>
          <w:b w:val="0"/>
          <w:smallCaps w:val="0"/>
        </w:rPr>
        <w:t xml:space="preserve"> </w:t>
      </w:r>
      <w:r w:rsidR="0087383C" w:rsidRPr="007E3047">
        <w:rPr>
          <w:rStyle w:val="SubtleReference"/>
          <w:rFonts w:eastAsia="Arial"/>
          <w:b w:val="0"/>
          <w:smallCaps w:val="0"/>
        </w:rPr>
        <w:t>atravessasse</w:t>
      </w:r>
      <w:r w:rsidR="0017139C" w:rsidRPr="007E3047">
        <w:rPr>
          <w:rStyle w:val="SubtleReference"/>
          <w:rFonts w:eastAsia="Arial"/>
          <w:b w:val="0"/>
          <w:smallCaps w:val="0"/>
        </w:rPr>
        <w:t xml:space="preserve"> </w:t>
      </w:r>
      <w:r w:rsidR="0087383C" w:rsidRPr="007E3047">
        <w:rPr>
          <w:rStyle w:val="SubtleReference"/>
          <w:rFonts w:eastAsia="Arial"/>
          <w:b w:val="0"/>
          <w:smallCaps w:val="0"/>
        </w:rPr>
        <w:t>uma difícil situação econômica com o colapso da infraestrutura e a disparidade regional, a Constituição reconheceu os direitos sociais e atribuiu</w:t>
      </w:r>
      <w:r w:rsidR="0017139C" w:rsidRPr="007E3047">
        <w:rPr>
          <w:rStyle w:val="SubtleReference"/>
          <w:rFonts w:eastAsia="Arial"/>
          <w:b w:val="0"/>
          <w:smallCaps w:val="0"/>
        </w:rPr>
        <w:t xml:space="preserve"> </w:t>
      </w:r>
      <w:r w:rsidR="0087383C" w:rsidRPr="007E3047">
        <w:rPr>
          <w:rStyle w:val="SubtleReference"/>
          <w:rFonts w:eastAsia="Arial"/>
          <w:b w:val="0"/>
          <w:smallCaps w:val="0"/>
        </w:rPr>
        <w:t>ao Estado um papel preponderante na condução da economia em busca da igualdade social.</w:t>
      </w:r>
      <w:r w:rsidR="0017139C" w:rsidRPr="007E3047">
        <w:rPr>
          <w:rStyle w:val="SubtleReference"/>
          <w:rFonts w:eastAsia="Arial"/>
          <w:b w:val="0"/>
          <w:smallCaps w:val="0"/>
        </w:rPr>
        <w:t xml:space="preserve"> </w:t>
      </w:r>
      <w:r w:rsidR="00385EDB" w:rsidRPr="007E3047">
        <w:rPr>
          <w:rStyle w:val="SubtleReference"/>
          <w:rFonts w:eastAsia="Arial"/>
          <w:smallCaps w:val="0"/>
        </w:rPr>
        <w:t>10</w:t>
      </w:r>
      <w:r w:rsidR="001D6521" w:rsidRPr="007E3047">
        <w:rPr>
          <w:rStyle w:val="SubtleReference"/>
          <w:rFonts w:eastAsia="Arial"/>
          <w:smallCaps w:val="0"/>
        </w:rPr>
        <w:t xml:space="preserve">. </w:t>
      </w:r>
      <w:r w:rsidR="00AA3B4F" w:rsidRPr="007E3047">
        <w:rPr>
          <w:rStyle w:val="SubtleReference"/>
          <w:rFonts w:eastAsia="Arial"/>
          <w:b w:val="0"/>
          <w:smallCaps w:val="0"/>
        </w:rPr>
        <w:t>O</w:t>
      </w:r>
      <w:r w:rsidR="0087383C" w:rsidRPr="007E3047">
        <w:rPr>
          <w:rStyle w:val="SubtleReference"/>
          <w:rFonts w:eastAsia="Arial"/>
          <w:b w:val="0"/>
          <w:smallCaps w:val="0"/>
        </w:rPr>
        <w:t xml:space="preserve"> processo de transição e apuração das violações foi </w:t>
      </w:r>
      <w:r w:rsidR="00AA3B4F" w:rsidRPr="007E3047">
        <w:rPr>
          <w:rStyle w:val="SubtleReference"/>
          <w:rFonts w:eastAsia="Arial"/>
          <w:b w:val="0"/>
          <w:smallCaps w:val="0"/>
        </w:rPr>
        <w:t>conduzido</w:t>
      </w:r>
      <w:r w:rsidR="0087383C" w:rsidRPr="007E3047">
        <w:rPr>
          <w:rStyle w:val="SubtleReference"/>
          <w:rFonts w:eastAsia="Arial"/>
          <w:b w:val="0"/>
          <w:smallCaps w:val="0"/>
        </w:rPr>
        <w:t xml:space="preserve"> considera</w:t>
      </w:r>
      <w:r w:rsidR="00AA3B4F" w:rsidRPr="007E3047">
        <w:rPr>
          <w:rStyle w:val="SubtleReference"/>
          <w:rFonts w:eastAsia="Arial"/>
          <w:b w:val="0"/>
          <w:smallCaps w:val="0"/>
        </w:rPr>
        <w:t>ndo</w:t>
      </w:r>
      <w:r w:rsidR="0087383C" w:rsidRPr="007E3047">
        <w:rPr>
          <w:rStyle w:val="SubtleReference"/>
          <w:rFonts w:eastAsia="Arial"/>
          <w:b w:val="0"/>
          <w:smallCaps w:val="0"/>
        </w:rPr>
        <w:t xml:space="preserve"> os imperativos jurídicos e de reparação </w:t>
      </w:r>
      <w:r w:rsidR="00AA3B4F" w:rsidRPr="007E3047">
        <w:rPr>
          <w:rStyle w:val="SubtleReference"/>
          <w:rFonts w:eastAsia="Arial"/>
          <w:b w:val="0"/>
          <w:smallCaps w:val="0"/>
        </w:rPr>
        <w:t xml:space="preserve">priorizando os </w:t>
      </w:r>
      <w:r w:rsidR="0087383C" w:rsidRPr="007E3047">
        <w:rPr>
          <w:rStyle w:val="SubtleReference"/>
          <w:rFonts w:eastAsia="Arial"/>
          <w:b w:val="0"/>
          <w:smallCaps w:val="0"/>
        </w:rPr>
        <w:t>direitos das vítimas.</w:t>
      </w:r>
      <w:r w:rsidR="0017139C" w:rsidRPr="007E3047">
        <w:rPr>
          <w:rStyle w:val="SubtleReference"/>
          <w:rFonts w:eastAsia="Arial"/>
          <w:b w:val="0"/>
          <w:smallCaps w:val="0"/>
        </w:rPr>
        <w:t xml:space="preserve"> </w:t>
      </w:r>
      <w:r w:rsidR="00E30CAE" w:rsidRPr="007E3047">
        <w:rPr>
          <w:rStyle w:val="SubtleReference"/>
          <w:rFonts w:eastAsia="Arial"/>
          <w:smallCaps w:val="0"/>
        </w:rPr>
        <w:t>11</w:t>
      </w:r>
      <w:r w:rsidR="001D6521" w:rsidRPr="007E3047">
        <w:rPr>
          <w:rStyle w:val="SubtleReference"/>
          <w:rFonts w:eastAsia="Arial"/>
          <w:smallCaps w:val="0"/>
        </w:rPr>
        <w:t xml:space="preserve">. </w:t>
      </w:r>
      <w:r w:rsidR="0087383C" w:rsidRPr="007E3047">
        <w:rPr>
          <w:rStyle w:val="SubtleReference"/>
          <w:rFonts w:eastAsia="Arial"/>
          <w:b w:val="0"/>
          <w:smallCaps w:val="0"/>
        </w:rPr>
        <w:t>O Governo promoveu a participação das vítimas nos diálogos, realizando um processo de consulta sobre suas expectativas de paz, justiça e reconciliação.</w:t>
      </w:r>
      <w:r w:rsidR="0017139C" w:rsidRPr="007E3047">
        <w:rPr>
          <w:rStyle w:val="SubtleReference"/>
          <w:rFonts w:eastAsia="Arial"/>
          <w:b w:val="0"/>
          <w:smallCaps w:val="0"/>
        </w:rPr>
        <w:t xml:space="preserve"> </w:t>
      </w:r>
      <w:r w:rsidR="00843DC4" w:rsidRPr="007E3047">
        <w:rPr>
          <w:rStyle w:val="SubtleReference"/>
          <w:rFonts w:eastAsia="Arial"/>
          <w:smallCaps w:val="0"/>
        </w:rPr>
        <w:t>12</w:t>
      </w:r>
      <w:r w:rsidR="005640DB" w:rsidRPr="007E3047">
        <w:rPr>
          <w:rStyle w:val="SubtleReference"/>
          <w:rFonts w:eastAsia="Arial"/>
          <w:smallCaps w:val="0"/>
        </w:rPr>
        <w:t xml:space="preserve">. </w:t>
      </w:r>
      <w:r w:rsidR="005640DB" w:rsidRPr="007E3047">
        <w:rPr>
          <w:rStyle w:val="SubtleReference"/>
          <w:rFonts w:eastAsia="Arial"/>
          <w:b w:val="0"/>
          <w:smallCaps w:val="0"/>
        </w:rPr>
        <w:t>Criou-se a Lei de Responsabilização, Fechamento e Reconciliação que reconheceu o dever de inquirir, julgar e punir violações de direitos humanos e infrações ao direito internacional humanitário.</w:t>
      </w:r>
      <w:r w:rsidR="0017139C" w:rsidRPr="007E3047">
        <w:rPr>
          <w:rStyle w:val="SubtleReference"/>
          <w:rFonts w:eastAsia="Arial"/>
          <w:b w:val="0"/>
          <w:smallCaps w:val="0"/>
        </w:rPr>
        <w:t xml:space="preserve"> </w:t>
      </w:r>
      <w:r w:rsidR="00496DA3" w:rsidRPr="007E3047">
        <w:rPr>
          <w:rStyle w:val="SubtleReference"/>
          <w:rFonts w:eastAsia="Arial"/>
          <w:smallCaps w:val="0"/>
        </w:rPr>
        <w:t>13</w:t>
      </w:r>
      <w:r w:rsidR="001D6521" w:rsidRPr="007E3047">
        <w:rPr>
          <w:rStyle w:val="SubtleReference"/>
          <w:rFonts w:eastAsia="Arial"/>
          <w:smallCaps w:val="0"/>
        </w:rPr>
        <w:t xml:space="preserve">. </w:t>
      </w:r>
      <w:r w:rsidR="005F5AA9" w:rsidRPr="007E3047">
        <w:rPr>
          <w:rStyle w:val="SubtleReference"/>
          <w:rFonts w:eastAsia="Arial"/>
          <w:b w:val="0"/>
          <w:smallCaps w:val="0"/>
        </w:rPr>
        <w:t>A</w:t>
      </w:r>
      <w:r w:rsidR="0087383C" w:rsidRPr="007E3047">
        <w:rPr>
          <w:rStyle w:val="SubtleReference"/>
          <w:rFonts w:eastAsia="Arial"/>
          <w:b w:val="0"/>
          <w:smallCaps w:val="0"/>
        </w:rPr>
        <w:t>s negociações</w:t>
      </w:r>
      <w:r w:rsidR="0017139C" w:rsidRPr="007E3047">
        <w:rPr>
          <w:rStyle w:val="SubtleReference"/>
          <w:rFonts w:eastAsia="Arial"/>
          <w:b w:val="0"/>
          <w:smallCaps w:val="0"/>
        </w:rPr>
        <w:t xml:space="preserve"> </w:t>
      </w:r>
      <w:r w:rsidR="005B6195" w:rsidRPr="007E3047">
        <w:rPr>
          <w:rStyle w:val="SubtleReference"/>
          <w:rFonts w:eastAsia="Arial"/>
          <w:b w:val="0"/>
          <w:smallCaps w:val="0"/>
        </w:rPr>
        <w:t xml:space="preserve">também </w:t>
      </w:r>
      <w:r w:rsidR="0087383C" w:rsidRPr="007E3047">
        <w:rPr>
          <w:rStyle w:val="SubtleReference"/>
          <w:rFonts w:eastAsia="Arial"/>
          <w:b w:val="0"/>
          <w:smallCaps w:val="0"/>
        </w:rPr>
        <w:t>resultaram na criação</w:t>
      </w:r>
      <w:r w:rsidR="0017139C" w:rsidRPr="007E3047">
        <w:rPr>
          <w:rStyle w:val="SubtleReference"/>
          <w:rFonts w:eastAsia="Arial"/>
          <w:b w:val="0"/>
          <w:smallCaps w:val="0"/>
        </w:rPr>
        <w:t xml:space="preserve"> </w:t>
      </w:r>
      <w:r w:rsidR="001A3937" w:rsidRPr="007E3047">
        <w:rPr>
          <w:rStyle w:val="SubtleReference"/>
          <w:rFonts w:eastAsia="Arial"/>
          <w:b w:val="0"/>
          <w:smallCaps w:val="0"/>
        </w:rPr>
        <w:t xml:space="preserve">do Ministério das Vítimas e da Reconciliação - que era responsável por administrar os programas de indenizações - e </w:t>
      </w:r>
      <w:r w:rsidR="0087383C" w:rsidRPr="007E3047">
        <w:rPr>
          <w:rStyle w:val="SubtleReference"/>
          <w:rFonts w:eastAsia="Arial"/>
          <w:b w:val="0"/>
          <w:smallCaps w:val="0"/>
        </w:rPr>
        <w:t>da Comissão da Verdade e Esclarecimento Histórico, formada por membros dos diversos setores da sociedade envolvidos nos conflitos</w:t>
      </w:r>
      <w:r w:rsidR="005F5AA9" w:rsidRPr="007E3047">
        <w:rPr>
          <w:rStyle w:val="SubtleReference"/>
          <w:rFonts w:eastAsia="Arial"/>
          <w:b w:val="0"/>
          <w:smallCaps w:val="0"/>
        </w:rPr>
        <w:t xml:space="preserve"> e por </w:t>
      </w:r>
      <w:r w:rsidR="005F5AA9" w:rsidRPr="007E3047">
        <w:rPr>
          <w:rStyle w:val="SubtleReference"/>
          <w:rFonts w:eastAsia="Arial"/>
          <w:b w:val="0"/>
          <w:i/>
          <w:smallCaps w:val="0"/>
        </w:rPr>
        <w:t>experts</w:t>
      </w:r>
      <w:r w:rsidR="005F5AA9" w:rsidRPr="007E3047">
        <w:rPr>
          <w:rStyle w:val="SubtleReference"/>
          <w:rFonts w:eastAsia="Arial"/>
          <w:b w:val="0"/>
          <w:smallCaps w:val="0"/>
        </w:rPr>
        <w:t xml:space="preserve"> indicados pelo Secretário Geral da ONU. </w:t>
      </w:r>
      <w:r w:rsidR="00883BF4" w:rsidRPr="007E3047">
        <w:rPr>
          <w:rStyle w:val="SubtleReference"/>
          <w:rFonts w:eastAsia="Arial"/>
          <w:smallCaps w:val="0"/>
        </w:rPr>
        <w:t>14</w:t>
      </w:r>
      <w:r w:rsidR="005F5AA9" w:rsidRPr="007E3047">
        <w:rPr>
          <w:rStyle w:val="SubtleReference"/>
          <w:rFonts w:eastAsia="Arial"/>
          <w:smallCaps w:val="0"/>
        </w:rPr>
        <w:t xml:space="preserve">. </w:t>
      </w:r>
      <w:r w:rsidR="005F5AA9" w:rsidRPr="007E3047">
        <w:rPr>
          <w:rStyle w:val="SubtleReference"/>
          <w:rFonts w:eastAsia="Arial"/>
          <w:b w:val="0"/>
          <w:smallCaps w:val="0"/>
        </w:rPr>
        <w:t>A</w:t>
      </w:r>
      <w:r w:rsidR="0087383C" w:rsidRPr="007E3047">
        <w:rPr>
          <w:rStyle w:val="SubtleReference"/>
          <w:rFonts w:eastAsia="Arial"/>
          <w:b w:val="0"/>
          <w:smallCaps w:val="0"/>
        </w:rPr>
        <w:t xml:space="preserve"> Comissão</w:t>
      </w:r>
      <w:r w:rsidR="005F5AA9" w:rsidRPr="007E3047">
        <w:rPr>
          <w:rStyle w:val="SubtleReference"/>
          <w:rFonts w:eastAsia="Arial"/>
          <w:b w:val="0"/>
          <w:smallCaps w:val="0"/>
        </w:rPr>
        <w:t xml:space="preserve"> foi </w:t>
      </w:r>
      <w:r w:rsidR="0087383C" w:rsidRPr="007E3047">
        <w:rPr>
          <w:rStyle w:val="SubtleReference"/>
          <w:rFonts w:eastAsia="Arial"/>
          <w:b w:val="0"/>
          <w:smallCaps w:val="0"/>
        </w:rPr>
        <w:t>responsável por ouvir as vítimas e</w:t>
      </w:r>
      <w:r w:rsidR="005F5AA9" w:rsidRPr="007E3047">
        <w:rPr>
          <w:rStyle w:val="SubtleReference"/>
          <w:rFonts w:eastAsia="Arial"/>
          <w:b w:val="0"/>
          <w:smallCaps w:val="0"/>
        </w:rPr>
        <w:t>,</w:t>
      </w:r>
      <w:r w:rsidR="0087383C" w:rsidRPr="007E3047">
        <w:rPr>
          <w:rStyle w:val="SubtleReference"/>
          <w:rFonts w:eastAsia="Arial"/>
          <w:b w:val="0"/>
          <w:smallCaps w:val="0"/>
        </w:rPr>
        <w:t xml:space="preserve"> ao final</w:t>
      </w:r>
      <w:r w:rsidR="005F5AA9" w:rsidRPr="007E3047">
        <w:rPr>
          <w:rStyle w:val="SubtleReference"/>
          <w:rFonts w:eastAsia="Arial"/>
          <w:b w:val="0"/>
          <w:smallCaps w:val="0"/>
        </w:rPr>
        <w:t>,</w:t>
      </w:r>
      <w:r w:rsidR="0087383C" w:rsidRPr="007E3047">
        <w:rPr>
          <w:rStyle w:val="SubtleReference"/>
          <w:rFonts w:eastAsia="Arial"/>
          <w:b w:val="0"/>
          <w:smallCaps w:val="0"/>
        </w:rPr>
        <w:t xml:space="preserve"> produzir um relatório sobre os </w:t>
      </w:r>
      <w:r w:rsidR="005F5AA9" w:rsidRPr="007E3047">
        <w:rPr>
          <w:rStyle w:val="SubtleReference"/>
          <w:rFonts w:eastAsia="Arial"/>
          <w:b w:val="0"/>
          <w:smallCaps w:val="0"/>
        </w:rPr>
        <w:t>acontecimentos,</w:t>
      </w:r>
      <w:r w:rsidR="0087383C" w:rsidRPr="007E3047">
        <w:rPr>
          <w:rStyle w:val="SubtleReference"/>
          <w:rFonts w:eastAsia="Arial"/>
          <w:b w:val="0"/>
          <w:smallCaps w:val="0"/>
        </w:rPr>
        <w:t xml:space="preserve"> apresentando as causas, motivações</w:t>
      </w:r>
      <w:r w:rsidR="005640DB" w:rsidRPr="007E3047">
        <w:rPr>
          <w:rStyle w:val="SubtleReference"/>
          <w:rFonts w:eastAsia="Arial"/>
          <w:b w:val="0"/>
          <w:smallCaps w:val="0"/>
        </w:rPr>
        <w:t xml:space="preserve"> e padrões das graves violações</w:t>
      </w:r>
      <w:r w:rsidR="0087383C" w:rsidRPr="007E3047">
        <w:rPr>
          <w:rStyle w:val="SubtleReference"/>
          <w:rFonts w:eastAsia="Arial"/>
          <w:b w:val="0"/>
          <w:smallCaps w:val="0"/>
        </w:rPr>
        <w:t>.</w:t>
      </w:r>
      <w:r w:rsidR="00AF72AB" w:rsidRPr="007E3047">
        <w:rPr>
          <w:rStyle w:val="SubtleReference"/>
          <w:rFonts w:eastAsia="Arial"/>
          <w:b w:val="0"/>
          <w:smallCaps w:val="0"/>
        </w:rPr>
        <w:t xml:space="preserve"> </w:t>
      </w:r>
      <w:r w:rsidR="00814AB9" w:rsidRPr="007E3047">
        <w:rPr>
          <w:rStyle w:val="SubtleReference"/>
          <w:rFonts w:eastAsia="Arial"/>
          <w:smallCaps w:val="0"/>
        </w:rPr>
        <w:t>15</w:t>
      </w:r>
      <w:r w:rsidR="001D6521" w:rsidRPr="007E3047">
        <w:rPr>
          <w:rStyle w:val="SubtleReference"/>
          <w:rFonts w:eastAsia="Arial"/>
          <w:smallCaps w:val="0"/>
        </w:rPr>
        <w:t xml:space="preserve">. </w:t>
      </w:r>
      <w:r w:rsidR="0087383C" w:rsidRPr="007E3047">
        <w:rPr>
          <w:rStyle w:val="SubtleReference"/>
          <w:rFonts w:eastAsia="Arial"/>
          <w:b w:val="0"/>
          <w:smallCaps w:val="0"/>
        </w:rPr>
        <w:t>Estabeleceu-se um modelo de processo penal</w:t>
      </w:r>
      <w:r w:rsidR="00582DEF" w:rsidRPr="007E3047">
        <w:rPr>
          <w:rStyle w:val="SubtleReference"/>
          <w:rFonts w:eastAsia="Arial"/>
          <w:b w:val="0"/>
          <w:smallCaps w:val="0"/>
        </w:rPr>
        <w:t xml:space="preserve"> para as violações mais severas</w:t>
      </w:r>
      <w:r w:rsidR="000C1E8D" w:rsidRPr="007E3047">
        <w:rPr>
          <w:rStyle w:val="SubtleReference"/>
          <w:rFonts w:eastAsia="Arial"/>
          <w:b w:val="0"/>
          <w:smallCaps w:val="0"/>
        </w:rPr>
        <w:t xml:space="preserve">, tendo </w:t>
      </w:r>
      <w:r w:rsidR="000C1E8D" w:rsidRPr="007E3047">
        <w:rPr>
          <w:rStyle w:val="SubtleReference"/>
          <w:rFonts w:eastAsia="Arial"/>
          <w:b w:val="0"/>
          <w:smallCaps w:val="0"/>
        </w:rPr>
        <w:lastRenderedPageBreak/>
        <w:t xml:space="preserve">formação paritária entre Governo e sociedade civil. A Comissão da Verdade avaliou, individualmente, a situação das pessoas desmobilizadas e partir dos </w:t>
      </w:r>
      <w:r w:rsidR="0087383C" w:rsidRPr="007E3047">
        <w:rPr>
          <w:rStyle w:val="SubtleReference"/>
          <w:rFonts w:eastAsia="Arial"/>
          <w:b w:val="0"/>
          <w:smallCaps w:val="0"/>
        </w:rPr>
        <w:t xml:space="preserve">relatos, informações de fontes oficiais e os depoimentos das vítimas, </w:t>
      </w:r>
      <w:r w:rsidR="00AF72AB" w:rsidRPr="007E3047">
        <w:rPr>
          <w:rStyle w:val="SubtleReference"/>
          <w:rFonts w:eastAsia="Arial"/>
          <w:b w:val="0"/>
          <w:smallCaps w:val="0"/>
        </w:rPr>
        <w:t xml:space="preserve">foram determinadas </w:t>
      </w:r>
      <w:r w:rsidR="000C1E8D" w:rsidRPr="007E3047">
        <w:rPr>
          <w:rStyle w:val="SubtleReference"/>
          <w:rFonts w:eastAsia="Arial"/>
          <w:b w:val="0"/>
          <w:smallCaps w:val="0"/>
        </w:rPr>
        <w:t>as pessoas a serem responsabilizadas</w:t>
      </w:r>
      <w:r w:rsidR="0087383C" w:rsidRPr="007E3047">
        <w:rPr>
          <w:rStyle w:val="SubtleReference"/>
          <w:rFonts w:eastAsia="Arial"/>
          <w:b w:val="0"/>
          <w:smallCaps w:val="0"/>
        </w:rPr>
        <w:t>. Apó</w:t>
      </w:r>
      <w:r w:rsidR="00AF72AB" w:rsidRPr="007E3047">
        <w:rPr>
          <w:rStyle w:val="SubtleReference"/>
          <w:rFonts w:eastAsia="Arial"/>
          <w:b w:val="0"/>
          <w:smallCaps w:val="0"/>
        </w:rPr>
        <w:t>s, o Ministério Público iniciou</w:t>
      </w:r>
      <w:r w:rsidR="0087383C" w:rsidRPr="007E3047">
        <w:rPr>
          <w:rStyle w:val="SubtleReference"/>
          <w:rFonts w:eastAsia="Arial"/>
          <w:b w:val="0"/>
          <w:smallCaps w:val="0"/>
        </w:rPr>
        <w:t xml:space="preserve"> inquéritos penais por meio de “macro processos” em que se investigava o padrão criminal e disto eram realizados relatórios públicos.</w:t>
      </w:r>
      <w:r w:rsidR="00AF72AB" w:rsidRPr="007E3047">
        <w:rPr>
          <w:rStyle w:val="SubtleReference"/>
          <w:rFonts w:eastAsia="Arial"/>
          <w:b w:val="0"/>
          <w:smallCaps w:val="0"/>
        </w:rPr>
        <w:t xml:space="preserve"> </w:t>
      </w:r>
      <w:r w:rsidR="0025180F" w:rsidRPr="007E3047">
        <w:rPr>
          <w:rStyle w:val="SubtleReference"/>
          <w:rFonts w:eastAsia="Arial"/>
          <w:smallCaps w:val="0"/>
        </w:rPr>
        <w:t>16</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Posteriormente, a partir dos princípios da seletividade e priorização, ficaram estabelecidos os “máximos responsáveis”. Ao mesmo tempo, com tais informações, </w:t>
      </w:r>
      <w:r w:rsidR="00AF72AB" w:rsidRPr="007E3047">
        <w:rPr>
          <w:rStyle w:val="SubtleReference"/>
          <w:rFonts w:eastAsia="Arial"/>
          <w:b w:val="0"/>
          <w:smallCaps w:val="0"/>
        </w:rPr>
        <w:t>foram</w:t>
      </w:r>
      <w:r w:rsidR="0087383C" w:rsidRPr="007E3047">
        <w:rPr>
          <w:rStyle w:val="SubtleReference"/>
          <w:rFonts w:eastAsia="Arial"/>
          <w:b w:val="0"/>
          <w:smallCaps w:val="0"/>
        </w:rPr>
        <w:t xml:space="preserve"> definidos os casos de maior representatividade e gravidade com base em quatro critérios: natureza intrínseca da conduta; escala; modalidade e; impacto do crime.</w:t>
      </w:r>
      <w:r w:rsidR="00AF72AB" w:rsidRPr="007E3047">
        <w:rPr>
          <w:rStyle w:val="SubtleReference"/>
          <w:rFonts w:eastAsia="Arial"/>
          <w:b w:val="0"/>
          <w:smallCaps w:val="0"/>
        </w:rPr>
        <w:t xml:space="preserve"> </w:t>
      </w:r>
      <w:r w:rsidR="002805CC" w:rsidRPr="007E3047">
        <w:rPr>
          <w:rStyle w:val="SubtleReference"/>
          <w:rFonts w:eastAsia="Arial"/>
          <w:smallCaps w:val="0"/>
        </w:rPr>
        <w:t>17</w:t>
      </w:r>
      <w:r w:rsidR="001D6521" w:rsidRPr="007E3047">
        <w:rPr>
          <w:rStyle w:val="SubtleReference"/>
          <w:rFonts w:eastAsia="Arial"/>
          <w:smallCaps w:val="0"/>
        </w:rPr>
        <w:t xml:space="preserve">. </w:t>
      </w:r>
      <w:r w:rsidR="0087383C" w:rsidRPr="007E3047">
        <w:rPr>
          <w:rStyle w:val="SubtleReference"/>
          <w:rFonts w:eastAsia="Arial"/>
          <w:b w:val="0"/>
          <w:smallCaps w:val="0"/>
        </w:rPr>
        <w:t>Uma Comissão de Alto Nível, presidida pelo Chefe do Ministério Público e com a participação do Governo, de representantes dos desmobilizados, das vítimas e da comunidade internacional</w:t>
      </w:r>
      <w:r w:rsidR="00582DEF" w:rsidRPr="007E3047">
        <w:rPr>
          <w:rStyle w:val="SubtleReference"/>
          <w:rFonts w:eastAsia="Arial"/>
          <w:b w:val="0"/>
          <w:smallCaps w:val="0"/>
        </w:rPr>
        <w:t xml:space="preserve">, </w:t>
      </w:r>
      <w:r w:rsidR="00AF72AB" w:rsidRPr="007E3047">
        <w:rPr>
          <w:rStyle w:val="SubtleReference"/>
          <w:rFonts w:eastAsia="Arial"/>
          <w:b w:val="0"/>
          <w:smallCaps w:val="0"/>
        </w:rPr>
        <w:t>avaliou</w:t>
      </w:r>
      <w:r w:rsidR="0087383C" w:rsidRPr="007E3047">
        <w:rPr>
          <w:rStyle w:val="SubtleReference"/>
          <w:rFonts w:eastAsia="Arial"/>
          <w:b w:val="0"/>
          <w:smallCaps w:val="0"/>
        </w:rPr>
        <w:t xml:space="preserve"> </w:t>
      </w:r>
      <w:r w:rsidR="00582DEF" w:rsidRPr="007E3047">
        <w:rPr>
          <w:rStyle w:val="SubtleReference"/>
          <w:rFonts w:eastAsia="Arial"/>
          <w:b w:val="0"/>
          <w:smallCaps w:val="0"/>
        </w:rPr>
        <w:t>os fatos e determin</w:t>
      </w:r>
      <w:r w:rsidR="00AF72AB" w:rsidRPr="007E3047">
        <w:rPr>
          <w:rStyle w:val="SubtleReference"/>
          <w:rFonts w:eastAsia="Arial"/>
          <w:b w:val="0"/>
          <w:smallCaps w:val="0"/>
        </w:rPr>
        <w:t xml:space="preserve">ou </w:t>
      </w:r>
      <w:r w:rsidR="0087383C" w:rsidRPr="007E3047">
        <w:rPr>
          <w:rStyle w:val="SubtleReference"/>
          <w:rFonts w:eastAsia="Arial"/>
          <w:b w:val="0"/>
          <w:smallCaps w:val="0"/>
        </w:rPr>
        <w:t xml:space="preserve">os casos e responsáveis que </w:t>
      </w:r>
      <w:r w:rsidR="00582DEF" w:rsidRPr="007E3047">
        <w:rPr>
          <w:rStyle w:val="SubtleReference"/>
          <w:rFonts w:eastAsia="Arial"/>
          <w:b w:val="0"/>
          <w:smallCaps w:val="0"/>
        </w:rPr>
        <w:t>seriam objeto de ação penal. Ess</w:t>
      </w:r>
      <w:r w:rsidR="0087383C" w:rsidRPr="007E3047">
        <w:rPr>
          <w:rStyle w:val="SubtleReference"/>
          <w:rFonts w:eastAsia="Arial"/>
          <w:b w:val="0"/>
          <w:smallCaps w:val="0"/>
        </w:rPr>
        <w:t xml:space="preserve">e mecanismo </w:t>
      </w:r>
      <w:r w:rsidR="00582DEF" w:rsidRPr="007E3047">
        <w:rPr>
          <w:rStyle w:val="SubtleReference"/>
          <w:rFonts w:eastAsia="Arial"/>
          <w:b w:val="0"/>
          <w:smallCaps w:val="0"/>
        </w:rPr>
        <w:t>incluiu</w:t>
      </w:r>
      <w:r w:rsidR="00AF72AB" w:rsidRPr="007E3047">
        <w:rPr>
          <w:rStyle w:val="SubtleReference"/>
          <w:rFonts w:eastAsia="Arial"/>
          <w:b w:val="0"/>
          <w:smallCaps w:val="0"/>
        </w:rPr>
        <w:t xml:space="preserve"> tanto integrantes da guerrilha</w:t>
      </w:r>
      <w:r w:rsidR="0087383C" w:rsidRPr="007E3047">
        <w:rPr>
          <w:rStyle w:val="SubtleReference"/>
          <w:rFonts w:eastAsia="Arial"/>
          <w:b w:val="0"/>
          <w:smallCaps w:val="0"/>
        </w:rPr>
        <w:t xml:space="preserve">, quanto </w:t>
      </w:r>
      <w:r w:rsidR="00582DEF" w:rsidRPr="007E3047">
        <w:rPr>
          <w:rStyle w:val="SubtleReference"/>
          <w:rFonts w:eastAsia="Arial"/>
          <w:b w:val="0"/>
          <w:smallCaps w:val="0"/>
        </w:rPr>
        <w:t>integrantes e ex-integrantes das forças armadas</w:t>
      </w:r>
      <w:r w:rsidR="00083B4A" w:rsidRPr="007E3047">
        <w:rPr>
          <w:rStyle w:val="SubtleReference"/>
          <w:rFonts w:eastAsia="Arial"/>
          <w:b w:val="0"/>
          <w:smallCaps w:val="0"/>
        </w:rPr>
        <w:t>, além de</w:t>
      </w:r>
      <w:r w:rsidR="00AF72AB" w:rsidRPr="007E3047">
        <w:rPr>
          <w:rStyle w:val="SubtleReference"/>
          <w:rFonts w:eastAsia="Arial"/>
          <w:b w:val="0"/>
          <w:smallCaps w:val="0"/>
        </w:rPr>
        <w:t xml:space="preserve"> líderes populares que tiveram</w:t>
      </w:r>
      <w:r w:rsidR="0087383C" w:rsidRPr="007E3047">
        <w:rPr>
          <w:rStyle w:val="SubtleReference"/>
          <w:rFonts w:eastAsia="Arial"/>
          <w:b w:val="0"/>
          <w:smallCaps w:val="0"/>
        </w:rPr>
        <w:t xml:space="preserve"> sido condenados ou investigados por delitos relacionados ao terrorismo.</w:t>
      </w:r>
      <w:r w:rsidR="00AF72AB" w:rsidRPr="007E3047">
        <w:rPr>
          <w:rStyle w:val="SubtleReference"/>
          <w:rFonts w:eastAsia="Arial"/>
          <w:b w:val="0"/>
          <w:smallCaps w:val="0"/>
        </w:rPr>
        <w:t xml:space="preserve"> </w:t>
      </w:r>
      <w:r w:rsidR="00004736" w:rsidRPr="007E3047">
        <w:rPr>
          <w:rStyle w:val="SubtleReference"/>
          <w:rFonts w:eastAsia="Arial"/>
          <w:smallCaps w:val="0"/>
        </w:rPr>
        <w:t>18.</w:t>
      </w:r>
      <w:r w:rsidR="0073349C" w:rsidRPr="007E3047">
        <w:rPr>
          <w:rStyle w:val="SubtleReference"/>
          <w:rFonts w:eastAsia="Arial"/>
          <w:smallCaps w:val="0"/>
        </w:rPr>
        <w:t xml:space="preserve"> </w:t>
      </w:r>
      <w:r w:rsidR="0057243F" w:rsidRPr="007E3047">
        <w:rPr>
          <w:rStyle w:val="SubtleReference"/>
          <w:rFonts w:eastAsia="Arial"/>
          <w:b w:val="0"/>
          <w:smallCaps w:val="0"/>
        </w:rPr>
        <w:t xml:space="preserve">Finalmente, os casos </w:t>
      </w:r>
      <w:r w:rsidR="007E2A8D" w:rsidRPr="007E3047">
        <w:rPr>
          <w:rStyle w:val="SubtleReference"/>
          <w:rFonts w:eastAsia="Arial"/>
          <w:b w:val="0"/>
          <w:smallCaps w:val="0"/>
        </w:rPr>
        <w:t xml:space="preserve">selecionados pela Comissão de Alto Nível </w:t>
      </w:r>
      <w:r w:rsidR="00AF72AB" w:rsidRPr="007E3047">
        <w:rPr>
          <w:rStyle w:val="SubtleReference"/>
          <w:rFonts w:eastAsia="Arial"/>
          <w:b w:val="0"/>
          <w:smallCaps w:val="0"/>
        </w:rPr>
        <w:t>foram</w:t>
      </w:r>
      <w:r w:rsidR="007E2A8D" w:rsidRPr="007E3047">
        <w:rPr>
          <w:rStyle w:val="SubtleReference"/>
          <w:rFonts w:eastAsia="Arial"/>
          <w:b w:val="0"/>
          <w:smallCaps w:val="0"/>
        </w:rPr>
        <w:t xml:space="preserve"> apresentados perante o Tribunal Transicional Especializado para julgamento. Os casos não submetidos </w:t>
      </w:r>
      <w:r w:rsidR="00DA25EB" w:rsidRPr="007E3047">
        <w:rPr>
          <w:rStyle w:val="SubtleReference"/>
          <w:rFonts w:eastAsia="Arial"/>
          <w:b w:val="0"/>
          <w:smallCaps w:val="0"/>
        </w:rPr>
        <w:t>a</w:t>
      </w:r>
      <w:r w:rsidR="00981396" w:rsidRPr="007E3047">
        <w:rPr>
          <w:rStyle w:val="SubtleReference"/>
          <w:rFonts w:eastAsia="Arial"/>
          <w:b w:val="0"/>
          <w:smallCaps w:val="0"/>
        </w:rPr>
        <w:t xml:space="preserve"> julgamento </w:t>
      </w:r>
      <w:r w:rsidR="00AF72AB" w:rsidRPr="007E3047">
        <w:rPr>
          <w:rStyle w:val="SubtleReference"/>
          <w:rFonts w:eastAsia="Arial"/>
          <w:b w:val="0"/>
          <w:smallCaps w:val="0"/>
        </w:rPr>
        <w:t>foram</w:t>
      </w:r>
      <w:r w:rsidR="007E2A8D" w:rsidRPr="007E3047">
        <w:rPr>
          <w:rStyle w:val="SubtleReference"/>
          <w:rFonts w:eastAsia="Arial"/>
          <w:b w:val="0"/>
          <w:smallCaps w:val="0"/>
        </w:rPr>
        <w:t xml:space="preserve"> passíveis de recurso </w:t>
      </w:r>
      <w:r w:rsidR="00AF72AB" w:rsidRPr="007E3047">
        <w:rPr>
          <w:rStyle w:val="SubtleReference"/>
          <w:rFonts w:eastAsia="Arial"/>
          <w:b w:val="0"/>
          <w:smallCaps w:val="0"/>
        </w:rPr>
        <w:t>por meio</w:t>
      </w:r>
      <w:r w:rsidR="007E2A8D" w:rsidRPr="007E3047">
        <w:rPr>
          <w:rStyle w:val="SubtleReference"/>
          <w:rFonts w:eastAsia="Arial"/>
          <w:b w:val="0"/>
          <w:smallCaps w:val="0"/>
        </w:rPr>
        <w:t xml:space="preserve"> de um mecanismo rápido e gratuito</w:t>
      </w:r>
      <w:r w:rsidR="0087383C" w:rsidRPr="007E3047">
        <w:rPr>
          <w:rStyle w:val="SubtleReference"/>
          <w:rFonts w:eastAsia="Arial"/>
          <w:b w:val="0"/>
          <w:smallCaps w:val="0"/>
        </w:rPr>
        <w:t>.</w:t>
      </w:r>
      <w:r w:rsidR="00AF72AB" w:rsidRPr="007E3047">
        <w:rPr>
          <w:rStyle w:val="SubtleReference"/>
          <w:rFonts w:eastAsia="Arial"/>
          <w:b w:val="0"/>
          <w:smallCaps w:val="0"/>
        </w:rPr>
        <w:t xml:space="preserve"> </w:t>
      </w:r>
      <w:r w:rsidR="001B0A60" w:rsidRPr="007E3047">
        <w:rPr>
          <w:rStyle w:val="SubtleReference"/>
          <w:rFonts w:eastAsia="Arial"/>
          <w:smallCaps w:val="0"/>
        </w:rPr>
        <w:t>19</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A Comissão da Verdade decidiu selecionar o </w:t>
      </w:r>
      <w:r w:rsidR="00582DEF" w:rsidRPr="007E3047">
        <w:rPr>
          <w:rStyle w:val="SubtleReference"/>
          <w:rFonts w:eastAsia="Arial"/>
          <w:b w:val="0"/>
          <w:smallCaps w:val="0"/>
        </w:rPr>
        <w:t>episódio “</w:t>
      </w:r>
      <w:r w:rsidR="0087383C" w:rsidRPr="007E3047">
        <w:rPr>
          <w:rStyle w:val="SubtleReference"/>
          <w:rFonts w:eastAsia="Arial"/>
          <w:b w:val="0"/>
          <w:smallCaps w:val="0"/>
        </w:rPr>
        <w:t>Sequestro dos Anjinhos</w:t>
      </w:r>
      <w:r w:rsidR="00582DEF" w:rsidRPr="007E3047">
        <w:rPr>
          <w:rStyle w:val="SubtleReference"/>
          <w:rFonts w:eastAsia="Arial"/>
          <w:b w:val="0"/>
          <w:smallCaps w:val="0"/>
        </w:rPr>
        <w:t>” como caso paradigmático durante o período de conflito</w:t>
      </w:r>
      <w:r w:rsidR="00CD057F" w:rsidRPr="007E3047">
        <w:rPr>
          <w:rStyle w:val="SubtleReference"/>
          <w:rFonts w:eastAsia="Arial"/>
          <w:b w:val="0"/>
          <w:smallCaps w:val="0"/>
        </w:rPr>
        <w:t>.</w:t>
      </w:r>
      <w:r w:rsidR="00AF72AB" w:rsidRPr="007E3047">
        <w:rPr>
          <w:rStyle w:val="SubtleReference"/>
          <w:rFonts w:eastAsia="Arial"/>
          <w:b w:val="0"/>
          <w:smallCaps w:val="0"/>
        </w:rPr>
        <w:t xml:space="preserve"> </w:t>
      </w:r>
      <w:r w:rsidR="0087383C" w:rsidRPr="007E3047">
        <w:rPr>
          <w:rStyle w:val="SubtleReference"/>
          <w:rFonts w:eastAsia="Arial"/>
          <w:b w:val="0"/>
          <w:smallCaps w:val="0"/>
        </w:rPr>
        <w:t xml:space="preserve">Um </w:t>
      </w:r>
      <w:r w:rsidR="00F31E61" w:rsidRPr="007E3047">
        <w:rPr>
          <w:rStyle w:val="SubtleReference"/>
          <w:rFonts w:eastAsia="Arial"/>
          <w:b w:val="0"/>
          <w:smallCaps w:val="0"/>
        </w:rPr>
        <w:t xml:space="preserve">grupo do MRLB sequestrou </w:t>
      </w:r>
      <w:r w:rsidR="00A97183" w:rsidRPr="007E3047">
        <w:rPr>
          <w:rStyle w:val="SubtleReference"/>
          <w:rFonts w:eastAsia="Arial"/>
          <w:b w:val="0"/>
          <w:smallCaps w:val="0"/>
        </w:rPr>
        <w:t>um</w:t>
      </w:r>
      <w:r w:rsidR="00AF72AB" w:rsidRPr="007E3047">
        <w:rPr>
          <w:rStyle w:val="SubtleReference"/>
          <w:rFonts w:eastAsia="Arial"/>
          <w:b w:val="0"/>
          <w:smallCaps w:val="0"/>
        </w:rPr>
        <w:t xml:space="preserve"> </w:t>
      </w:r>
      <w:r w:rsidR="0087383C" w:rsidRPr="007E3047">
        <w:rPr>
          <w:rStyle w:val="SubtleReference"/>
          <w:rFonts w:eastAsia="Arial"/>
          <w:b w:val="0"/>
          <w:smallCaps w:val="0"/>
        </w:rPr>
        <w:t xml:space="preserve">ônibus com 23 crianças. </w:t>
      </w:r>
      <w:r w:rsidR="00AF72AB" w:rsidRPr="007E3047">
        <w:rPr>
          <w:rStyle w:val="SubtleReference"/>
          <w:rFonts w:eastAsia="Arial"/>
          <w:smallCaps w:val="0"/>
        </w:rPr>
        <w:t xml:space="preserve">20. </w:t>
      </w:r>
      <w:r w:rsidR="0087383C" w:rsidRPr="007E3047">
        <w:rPr>
          <w:rStyle w:val="SubtleReference"/>
          <w:rFonts w:eastAsia="Arial"/>
          <w:b w:val="0"/>
          <w:smallCaps w:val="0"/>
        </w:rPr>
        <w:t xml:space="preserve">O então </w:t>
      </w:r>
      <w:r w:rsidR="00A97183" w:rsidRPr="007E3047">
        <w:rPr>
          <w:rStyle w:val="SubtleReference"/>
          <w:rFonts w:eastAsia="Arial"/>
          <w:b w:val="0"/>
          <w:smallCaps w:val="0"/>
        </w:rPr>
        <w:t>presidente Armando Ferreira</w:t>
      </w:r>
      <w:r w:rsidR="00AF72AB" w:rsidRPr="007E3047">
        <w:rPr>
          <w:rStyle w:val="SubtleReference"/>
          <w:rFonts w:eastAsia="Arial"/>
          <w:b w:val="0"/>
          <w:smallCaps w:val="0"/>
        </w:rPr>
        <w:t>,</w:t>
      </w:r>
      <w:r w:rsidR="00A97183" w:rsidRPr="007E3047">
        <w:rPr>
          <w:rStyle w:val="SubtleReference"/>
          <w:rFonts w:eastAsia="Arial"/>
          <w:b w:val="0"/>
          <w:smallCaps w:val="0"/>
        </w:rPr>
        <w:t xml:space="preserve"> </w:t>
      </w:r>
      <w:r w:rsidR="0087383C" w:rsidRPr="007E3047">
        <w:rPr>
          <w:rStyle w:val="SubtleReference"/>
          <w:rFonts w:eastAsia="Arial"/>
          <w:b w:val="0"/>
          <w:smallCaps w:val="0"/>
        </w:rPr>
        <w:t>diante da pressão social</w:t>
      </w:r>
      <w:r w:rsidR="00AF72AB" w:rsidRPr="007E3047">
        <w:rPr>
          <w:rStyle w:val="SubtleReference"/>
          <w:rFonts w:eastAsia="Arial"/>
          <w:b w:val="0"/>
          <w:smallCaps w:val="0"/>
        </w:rPr>
        <w:t>, determinou que fossem tomadas medidas enérgicas para resgatar as crianças</w:t>
      </w:r>
      <w:r w:rsidR="00582DEF" w:rsidRPr="007E3047">
        <w:rPr>
          <w:rStyle w:val="SubtleReference"/>
          <w:rFonts w:eastAsia="Arial"/>
          <w:b w:val="0"/>
          <w:smallCaps w:val="0"/>
          <w:szCs w:val="24"/>
        </w:rPr>
        <w:t xml:space="preserve">, agindo de acordo com o </w:t>
      </w:r>
      <w:r w:rsidR="00582DEF" w:rsidRPr="007E3047">
        <w:rPr>
          <w:rFonts w:ascii="Times New Roman" w:hAnsi="Times New Roman"/>
          <w:sz w:val="24"/>
          <w:szCs w:val="24"/>
        </w:rPr>
        <w:t>manual operacional das forças armadas nº 85, que incorpora as regras de combate previstas no Protocolo I das Convenções de Genebra de 1949.</w:t>
      </w:r>
      <w:r w:rsidR="00AF72AB" w:rsidRPr="007E3047">
        <w:rPr>
          <w:rFonts w:ascii="Times New Roman" w:hAnsi="Times New Roman"/>
          <w:sz w:val="24"/>
          <w:szCs w:val="24"/>
        </w:rPr>
        <w:t xml:space="preserve"> </w:t>
      </w:r>
      <w:r w:rsidR="00AF72AB" w:rsidRPr="007E3047">
        <w:rPr>
          <w:rFonts w:ascii="Times New Roman" w:hAnsi="Times New Roman"/>
          <w:b/>
          <w:sz w:val="24"/>
          <w:szCs w:val="24"/>
        </w:rPr>
        <w:t xml:space="preserve">21. </w:t>
      </w:r>
      <w:r w:rsidR="00582DEF" w:rsidRPr="007E3047">
        <w:rPr>
          <w:rStyle w:val="SubtleReference"/>
          <w:rFonts w:eastAsia="Arial"/>
          <w:b w:val="0"/>
          <w:smallCaps w:val="0"/>
        </w:rPr>
        <w:t>Após a ocorrência de</w:t>
      </w:r>
      <w:r w:rsidR="0087383C" w:rsidRPr="007E3047">
        <w:rPr>
          <w:rStyle w:val="SubtleReference"/>
          <w:rFonts w:eastAsia="Arial"/>
          <w:b w:val="0"/>
          <w:smallCaps w:val="0"/>
        </w:rPr>
        <w:t xml:space="preserve"> enfrentamento, a força pública </w:t>
      </w:r>
      <w:r w:rsidR="0087383C" w:rsidRPr="007E3047">
        <w:rPr>
          <w:rStyle w:val="SubtleReference"/>
          <w:rFonts w:eastAsia="Arial"/>
          <w:b w:val="0"/>
          <w:smallCaps w:val="0"/>
        </w:rPr>
        <w:lastRenderedPageBreak/>
        <w:t>conseguiu adentrar no prédio</w:t>
      </w:r>
      <w:r w:rsidR="00582DEF" w:rsidRPr="007E3047">
        <w:rPr>
          <w:rStyle w:val="SubtleReference"/>
          <w:rFonts w:eastAsia="Arial"/>
          <w:b w:val="0"/>
          <w:smallCaps w:val="0"/>
        </w:rPr>
        <w:t>, encontrando armas, explosivos e materiais do MRLB</w:t>
      </w:r>
      <w:r w:rsidR="0087383C" w:rsidRPr="007E3047">
        <w:rPr>
          <w:rStyle w:val="SubtleReference"/>
          <w:rFonts w:eastAsia="Arial"/>
          <w:b w:val="0"/>
          <w:smallCaps w:val="0"/>
        </w:rPr>
        <w:t xml:space="preserve">. </w:t>
      </w:r>
      <w:r w:rsidR="00AF72AB" w:rsidRPr="007E3047">
        <w:rPr>
          <w:rStyle w:val="SubtleReference"/>
          <w:rFonts w:eastAsia="Arial"/>
          <w:smallCaps w:val="0"/>
        </w:rPr>
        <w:t>22</w:t>
      </w:r>
      <w:r w:rsidR="00582DEF" w:rsidRPr="007E3047">
        <w:rPr>
          <w:rStyle w:val="SubtleReference"/>
          <w:rFonts w:eastAsia="Arial"/>
          <w:smallCaps w:val="0"/>
        </w:rPr>
        <w:t xml:space="preserve">. </w:t>
      </w:r>
      <w:r w:rsidR="0087383C" w:rsidRPr="007E3047">
        <w:rPr>
          <w:rStyle w:val="SubtleReference"/>
          <w:rFonts w:eastAsia="Arial"/>
          <w:b w:val="0"/>
          <w:smallCaps w:val="0"/>
        </w:rPr>
        <w:t xml:space="preserve">Dos sete sequestradores, dois </w:t>
      </w:r>
      <w:r w:rsidR="00CD057F" w:rsidRPr="007E3047">
        <w:rPr>
          <w:rStyle w:val="SubtleReference"/>
          <w:rFonts w:eastAsia="Arial"/>
          <w:b w:val="0"/>
          <w:smallCaps w:val="0"/>
        </w:rPr>
        <w:t xml:space="preserve">morreram durante o conflito, sendo </w:t>
      </w:r>
      <w:r w:rsidR="0087383C" w:rsidRPr="007E3047">
        <w:rPr>
          <w:rStyle w:val="SubtleReference"/>
          <w:rFonts w:eastAsia="Arial"/>
          <w:b w:val="0"/>
          <w:smallCaps w:val="0"/>
        </w:rPr>
        <w:t>identificados como militantes do MRLB</w:t>
      </w:r>
      <w:r w:rsidR="00CD057F" w:rsidRPr="007E3047">
        <w:rPr>
          <w:rStyle w:val="SubtleReference"/>
          <w:rFonts w:eastAsia="Arial"/>
          <w:b w:val="0"/>
          <w:smallCaps w:val="0"/>
        </w:rPr>
        <w:t xml:space="preserve">, ainda que não integrantes da Comunidade </w:t>
      </w:r>
      <w:r w:rsidR="0087383C" w:rsidRPr="007E3047">
        <w:rPr>
          <w:rStyle w:val="SubtleReference"/>
          <w:rFonts w:eastAsia="Arial"/>
          <w:b w:val="0"/>
          <w:smallCaps w:val="0"/>
        </w:rPr>
        <w:t xml:space="preserve">Boneca. </w:t>
      </w:r>
      <w:r w:rsidR="00AF72AB" w:rsidRPr="007E3047">
        <w:rPr>
          <w:rStyle w:val="SubtleReference"/>
          <w:rFonts w:eastAsia="Arial"/>
          <w:smallCaps w:val="0"/>
        </w:rPr>
        <w:t xml:space="preserve">23. </w:t>
      </w:r>
      <w:r w:rsidR="00AF72AB" w:rsidRPr="007E3047">
        <w:rPr>
          <w:rStyle w:val="SubtleReference"/>
          <w:rFonts w:eastAsia="Arial"/>
          <w:b w:val="0"/>
          <w:smallCaps w:val="0"/>
        </w:rPr>
        <w:t>Lucréc</w:t>
      </w:r>
      <w:r w:rsidR="00F20007" w:rsidRPr="007E3047">
        <w:rPr>
          <w:rStyle w:val="SubtleReference"/>
          <w:rFonts w:eastAsia="Arial"/>
          <w:b w:val="0"/>
          <w:smallCaps w:val="0"/>
        </w:rPr>
        <w:t>ia Rossi, Ricardo Bolt e Paulo Mukundi</w:t>
      </w:r>
      <w:r w:rsidR="00AF72AB" w:rsidRPr="007E3047">
        <w:rPr>
          <w:rStyle w:val="SubtleReference"/>
          <w:rFonts w:eastAsia="Arial"/>
          <w:b w:val="0"/>
          <w:smallCaps w:val="0"/>
        </w:rPr>
        <w:t xml:space="preserve"> </w:t>
      </w:r>
      <w:r w:rsidR="00CD057F" w:rsidRPr="007E3047">
        <w:rPr>
          <w:rStyle w:val="SubtleReference"/>
          <w:rFonts w:eastAsia="Arial"/>
          <w:b w:val="0"/>
          <w:smallCaps w:val="0"/>
        </w:rPr>
        <w:t>fugiram</w:t>
      </w:r>
      <w:r w:rsidR="00AF72AB" w:rsidRPr="007E3047">
        <w:rPr>
          <w:rStyle w:val="SubtleReference"/>
          <w:rFonts w:eastAsia="Arial"/>
          <w:b w:val="0"/>
          <w:smallCaps w:val="0"/>
        </w:rPr>
        <w:t xml:space="preserve"> </w:t>
      </w:r>
      <w:r w:rsidR="00582DEF" w:rsidRPr="007E3047">
        <w:rPr>
          <w:rStyle w:val="SubtleReference"/>
          <w:rFonts w:eastAsia="Arial"/>
          <w:b w:val="0"/>
          <w:smallCaps w:val="0"/>
        </w:rPr>
        <w:t>por</w:t>
      </w:r>
      <w:r w:rsidR="0087383C" w:rsidRPr="007E3047">
        <w:rPr>
          <w:rStyle w:val="SubtleReference"/>
          <w:rFonts w:eastAsia="Arial"/>
          <w:b w:val="0"/>
          <w:smallCaps w:val="0"/>
        </w:rPr>
        <w:t xml:space="preserve"> túneis</w:t>
      </w:r>
      <w:r w:rsidR="00D57402" w:rsidRPr="007E3047">
        <w:rPr>
          <w:rStyle w:val="SubtleReference"/>
          <w:rFonts w:eastAsia="Arial"/>
          <w:b w:val="0"/>
          <w:smallCaps w:val="0"/>
        </w:rPr>
        <w:t xml:space="preserve">, </w:t>
      </w:r>
      <w:r w:rsidR="00582DEF" w:rsidRPr="007E3047">
        <w:rPr>
          <w:rStyle w:val="SubtleReference"/>
          <w:rFonts w:eastAsia="Arial"/>
          <w:b w:val="0"/>
          <w:smallCaps w:val="0"/>
        </w:rPr>
        <w:t>sendo esclarecido pela C</w:t>
      </w:r>
      <w:r w:rsidR="00D57402" w:rsidRPr="007E3047">
        <w:rPr>
          <w:rStyle w:val="SubtleReference"/>
          <w:rFonts w:eastAsia="Arial"/>
          <w:b w:val="0"/>
          <w:smallCaps w:val="0"/>
        </w:rPr>
        <w:t xml:space="preserve">omissão que </w:t>
      </w:r>
      <w:r w:rsidR="003E79D4" w:rsidRPr="007E3047">
        <w:rPr>
          <w:rStyle w:val="SubtleReference"/>
          <w:rFonts w:eastAsia="Arial"/>
          <w:b w:val="0"/>
          <w:smallCaps w:val="0"/>
        </w:rPr>
        <w:t xml:space="preserve">os dois últimos </w:t>
      </w:r>
      <w:r w:rsidR="00D57402" w:rsidRPr="007E3047">
        <w:rPr>
          <w:rStyle w:val="SubtleReference"/>
          <w:rFonts w:eastAsia="Arial"/>
          <w:b w:val="0"/>
          <w:smallCaps w:val="0"/>
        </w:rPr>
        <w:t>foram detidos</w:t>
      </w:r>
      <w:r w:rsidR="0087383C" w:rsidRPr="007E3047">
        <w:rPr>
          <w:rStyle w:val="SubtleReference"/>
          <w:rFonts w:eastAsia="Arial"/>
          <w:b w:val="0"/>
          <w:smallCaps w:val="0"/>
        </w:rPr>
        <w:t xml:space="preserve">. </w:t>
      </w:r>
      <w:r w:rsidR="00AF72AB" w:rsidRPr="007E3047">
        <w:rPr>
          <w:rStyle w:val="SubtleReference"/>
          <w:rFonts w:eastAsia="Arial"/>
          <w:smallCaps w:val="0"/>
        </w:rPr>
        <w:t>24</w:t>
      </w:r>
      <w:r w:rsidR="00FE5783" w:rsidRPr="007E3047">
        <w:rPr>
          <w:rStyle w:val="SubtleReference"/>
          <w:rFonts w:eastAsia="Arial"/>
          <w:smallCaps w:val="0"/>
        </w:rPr>
        <w:t>.</w:t>
      </w:r>
      <w:r w:rsidR="00AF72AB" w:rsidRPr="007E3047">
        <w:rPr>
          <w:rStyle w:val="SubtleReference"/>
          <w:rFonts w:eastAsia="Arial"/>
          <w:smallCaps w:val="0"/>
        </w:rPr>
        <w:t xml:space="preserve"> </w:t>
      </w:r>
      <w:r w:rsidR="00AF72AB" w:rsidRPr="007E3047">
        <w:rPr>
          <w:rStyle w:val="SubtleReference"/>
          <w:rFonts w:eastAsia="Arial"/>
          <w:b w:val="0"/>
          <w:smallCaps w:val="0"/>
        </w:rPr>
        <w:t>O corpo de Lucrécia Rossi foi encontrad</w:t>
      </w:r>
      <w:r w:rsidR="0095234F" w:rsidRPr="007E3047">
        <w:rPr>
          <w:rStyle w:val="SubtleReference"/>
          <w:rFonts w:eastAsia="Arial"/>
          <w:b w:val="0"/>
          <w:smallCaps w:val="0"/>
        </w:rPr>
        <w:t>o</w:t>
      </w:r>
      <w:r w:rsidR="00BD0A91" w:rsidRPr="007E3047">
        <w:rPr>
          <w:rStyle w:val="SubtleReference"/>
          <w:rFonts w:eastAsia="Arial"/>
          <w:b w:val="0"/>
          <w:smallCaps w:val="0"/>
        </w:rPr>
        <w:t xml:space="preserve"> em uma praça pública</w:t>
      </w:r>
      <w:r w:rsidR="0095234F" w:rsidRPr="007E3047">
        <w:rPr>
          <w:rStyle w:val="SubtleReference"/>
          <w:rFonts w:eastAsia="Arial"/>
          <w:b w:val="0"/>
          <w:smallCaps w:val="0"/>
        </w:rPr>
        <w:t>,</w:t>
      </w:r>
      <w:r w:rsidR="00BD0A91" w:rsidRPr="007E3047">
        <w:rPr>
          <w:rStyle w:val="SubtleReference"/>
          <w:rFonts w:eastAsia="Arial"/>
          <w:b w:val="0"/>
          <w:smallCaps w:val="0"/>
        </w:rPr>
        <w:t xml:space="preserve"> </w:t>
      </w:r>
      <w:r w:rsidR="0095234F" w:rsidRPr="007E3047">
        <w:rPr>
          <w:rStyle w:val="SubtleReference"/>
          <w:rFonts w:eastAsia="Arial"/>
          <w:b w:val="0"/>
          <w:smallCaps w:val="0"/>
        </w:rPr>
        <w:t>sendo que</w:t>
      </w:r>
      <w:r w:rsidR="00BD0A91" w:rsidRPr="007E3047">
        <w:rPr>
          <w:rStyle w:val="SubtleReference"/>
          <w:rFonts w:eastAsia="Arial"/>
          <w:b w:val="0"/>
          <w:smallCaps w:val="0"/>
        </w:rPr>
        <w:t xml:space="preserve"> o ex-general João Otávio Pires confessou perante a Comis</w:t>
      </w:r>
      <w:r w:rsidR="0095234F" w:rsidRPr="007E3047">
        <w:rPr>
          <w:rStyle w:val="SubtleReference"/>
          <w:rFonts w:eastAsia="Arial"/>
          <w:b w:val="0"/>
          <w:smallCaps w:val="0"/>
        </w:rPr>
        <w:t>são da Verdade e Esclarecimento</w:t>
      </w:r>
      <w:r w:rsidR="00BD0A91" w:rsidRPr="007E3047">
        <w:rPr>
          <w:rStyle w:val="SubtleReference"/>
          <w:rFonts w:eastAsia="Arial"/>
          <w:b w:val="0"/>
          <w:smallCaps w:val="0"/>
        </w:rPr>
        <w:t xml:space="preserve"> ter rec</w:t>
      </w:r>
      <w:r w:rsidR="0095234F" w:rsidRPr="007E3047">
        <w:rPr>
          <w:rStyle w:val="SubtleReference"/>
          <w:rFonts w:eastAsia="Arial"/>
          <w:b w:val="0"/>
          <w:smallCaps w:val="0"/>
        </w:rPr>
        <w:t xml:space="preserve">ebido notícias de sua captura, que </w:t>
      </w:r>
      <w:r w:rsidR="00BD0A91" w:rsidRPr="007E3047">
        <w:rPr>
          <w:rStyle w:val="SubtleReference"/>
          <w:rFonts w:eastAsia="Arial"/>
          <w:b w:val="0"/>
          <w:smallCaps w:val="0"/>
        </w:rPr>
        <w:t>declarou a responsabilidade pessoal e institucional pelo seu falecimento</w:t>
      </w:r>
      <w:r w:rsidR="00F20007" w:rsidRPr="007E3047">
        <w:rPr>
          <w:rStyle w:val="SubtleReference"/>
          <w:rFonts w:eastAsia="Arial"/>
          <w:b w:val="0"/>
          <w:smallCaps w:val="0"/>
        </w:rPr>
        <w:t>.</w:t>
      </w:r>
      <w:r w:rsidR="0095234F" w:rsidRPr="007E3047">
        <w:rPr>
          <w:rStyle w:val="SubtleReference"/>
          <w:rFonts w:eastAsia="Arial"/>
          <w:b w:val="0"/>
          <w:smallCaps w:val="0"/>
        </w:rPr>
        <w:t xml:space="preserve"> </w:t>
      </w:r>
      <w:r w:rsidR="0095234F" w:rsidRPr="007E3047">
        <w:rPr>
          <w:rStyle w:val="SubtleReference"/>
          <w:rFonts w:eastAsia="Arial"/>
          <w:smallCaps w:val="0"/>
        </w:rPr>
        <w:t xml:space="preserve">25. </w:t>
      </w:r>
      <w:r w:rsidR="00CD057F" w:rsidRPr="007E3047">
        <w:rPr>
          <w:rStyle w:val="SubtleReference"/>
          <w:rFonts w:eastAsia="Arial"/>
          <w:b w:val="0"/>
          <w:smallCaps w:val="0"/>
        </w:rPr>
        <w:t>Pelos depoimentos concluiu-se que</w:t>
      </w:r>
      <w:r w:rsidR="0095234F" w:rsidRPr="007E3047">
        <w:rPr>
          <w:rStyle w:val="SubtleReference"/>
          <w:rFonts w:eastAsia="Arial"/>
          <w:b w:val="0"/>
          <w:smallCaps w:val="0"/>
        </w:rPr>
        <w:t>,</w:t>
      </w:r>
      <w:r w:rsidR="00CD057F" w:rsidRPr="007E3047">
        <w:rPr>
          <w:rStyle w:val="SubtleReference"/>
          <w:rFonts w:eastAsia="Arial"/>
          <w:b w:val="0"/>
          <w:smallCaps w:val="0"/>
        </w:rPr>
        <w:t xml:space="preserve"> provavelmente</w:t>
      </w:r>
      <w:r w:rsidR="0095234F" w:rsidRPr="007E3047">
        <w:rPr>
          <w:rStyle w:val="SubtleReference"/>
          <w:rFonts w:eastAsia="Arial"/>
          <w:b w:val="0"/>
          <w:smallCaps w:val="0"/>
        </w:rPr>
        <w:t>,</w:t>
      </w:r>
      <w:r w:rsidR="00CD057F" w:rsidRPr="007E3047">
        <w:rPr>
          <w:rStyle w:val="SubtleReference"/>
          <w:rFonts w:eastAsia="Arial"/>
          <w:b w:val="0"/>
          <w:smallCaps w:val="0"/>
        </w:rPr>
        <w:t xml:space="preserve"> Ricardo Bolt teria falecido</w:t>
      </w:r>
      <w:r w:rsidR="00D57402" w:rsidRPr="007E3047">
        <w:rPr>
          <w:rStyle w:val="SubtleReference"/>
          <w:rFonts w:eastAsia="Arial"/>
          <w:b w:val="0"/>
          <w:smallCaps w:val="0"/>
        </w:rPr>
        <w:t xml:space="preserve"> e seu corpo desaparecido</w:t>
      </w:r>
      <w:r w:rsidR="00CD057F" w:rsidRPr="007E3047">
        <w:rPr>
          <w:rStyle w:val="SubtleReference"/>
          <w:rFonts w:eastAsia="Arial"/>
          <w:b w:val="0"/>
          <w:smallCaps w:val="0"/>
        </w:rPr>
        <w:t>.</w:t>
      </w:r>
      <w:r w:rsidR="0095234F" w:rsidRPr="007E3047">
        <w:rPr>
          <w:rStyle w:val="SubtleReference"/>
          <w:rFonts w:eastAsia="Arial"/>
          <w:b w:val="0"/>
          <w:smallCaps w:val="0"/>
        </w:rPr>
        <w:t xml:space="preserve"> </w:t>
      </w:r>
      <w:r w:rsidR="0095234F" w:rsidRPr="007E3047">
        <w:rPr>
          <w:rStyle w:val="SubtleReference"/>
          <w:rFonts w:eastAsia="Arial"/>
          <w:smallCaps w:val="0"/>
        </w:rPr>
        <w:t>26</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Paulo Mukundi, Derek Guadamuz e o </w:t>
      </w:r>
      <w:r w:rsidR="00D21C28" w:rsidRPr="007E3047">
        <w:rPr>
          <w:rStyle w:val="SubtleReference"/>
          <w:rFonts w:eastAsia="Arial"/>
          <w:b w:val="0"/>
          <w:smallCaps w:val="0"/>
        </w:rPr>
        <w:t>ex-general João Ot</w:t>
      </w:r>
      <w:r w:rsidR="00DB6669" w:rsidRPr="007E3047">
        <w:rPr>
          <w:rStyle w:val="SubtleReference"/>
          <w:rFonts w:eastAsia="Arial"/>
          <w:b w:val="0"/>
          <w:smallCaps w:val="0"/>
        </w:rPr>
        <w:t>a</w:t>
      </w:r>
      <w:r w:rsidR="00D21C28" w:rsidRPr="007E3047">
        <w:rPr>
          <w:rStyle w:val="SubtleReference"/>
          <w:rFonts w:eastAsia="Arial"/>
          <w:b w:val="0"/>
          <w:smallCaps w:val="0"/>
        </w:rPr>
        <w:t>vio Pires</w:t>
      </w:r>
      <w:r w:rsidR="0095234F" w:rsidRPr="007E3047">
        <w:rPr>
          <w:rStyle w:val="SubtleReference"/>
          <w:rFonts w:eastAsia="Arial"/>
          <w:b w:val="0"/>
          <w:smallCaps w:val="0"/>
        </w:rPr>
        <w:t xml:space="preserve"> </w:t>
      </w:r>
      <w:r w:rsidR="0087383C" w:rsidRPr="007E3047">
        <w:rPr>
          <w:rStyle w:val="SubtleReference"/>
          <w:rFonts w:eastAsia="Arial"/>
          <w:b w:val="0"/>
          <w:smallCaps w:val="0"/>
        </w:rPr>
        <w:t xml:space="preserve">foram selecionados pela Comissão de Alto Nível como máximos responsáveis de violações de crimes graves e processados penalmente. </w:t>
      </w:r>
      <w:r w:rsidR="00760104" w:rsidRPr="007E3047">
        <w:rPr>
          <w:rStyle w:val="SubtleReference"/>
          <w:rFonts w:eastAsia="Arial"/>
          <w:smallCaps w:val="0"/>
        </w:rPr>
        <w:t xml:space="preserve">República </w:t>
      </w:r>
      <w:r w:rsidRPr="007E3047">
        <w:rPr>
          <w:rFonts w:ascii="Times New Roman" w:eastAsia="Arial" w:hAnsi="Times New Roman"/>
          <w:b/>
          <w:sz w:val="24"/>
        </w:rPr>
        <w:t>Cardenal no Sistema Interamericano</w:t>
      </w:r>
      <w:r w:rsidR="001D6521" w:rsidRPr="007E3047">
        <w:rPr>
          <w:rFonts w:ascii="Times New Roman" w:eastAsia="Arial" w:hAnsi="Times New Roman"/>
          <w:b/>
          <w:sz w:val="24"/>
        </w:rPr>
        <w:t xml:space="preserve"> 2</w:t>
      </w:r>
      <w:r w:rsidR="0095234F" w:rsidRPr="007E3047">
        <w:rPr>
          <w:rFonts w:ascii="Times New Roman" w:eastAsia="Arial" w:hAnsi="Times New Roman"/>
          <w:b/>
          <w:sz w:val="24"/>
        </w:rPr>
        <w:t>7</w:t>
      </w:r>
      <w:r w:rsidR="001D6521" w:rsidRPr="007E3047">
        <w:rPr>
          <w:rFonts w:ascii="Times New Roman" w:eastAsia="Arial" w:hAnsi="Times New Roman"/>
          <w:b/>
          <w:sz w:val="24"/>
        </w:rPr>
        <w:t>.</w:t>
      </w:r>
      <w:r w:rsidR="0095234F" w:rsidRPr="007E3047">
        <w:rPr>
          <w:rFonts w:ascii="Times New Roman" w:eastAsia="Arial" w:hAnsi="Times New Roman"/>
          <w:b/>
          <w:sz w:val="24"/>
        </w:rPr>
        <w:t xml:space="preserve"> </w:t>
      </w:r>
      <w:r w:rsidRPr="007E3047">
        <w:rPr>
          <w:rFonts w:ascii="Times New Roman" w:eastAsia="Arial" w:hAnsi="Times New Roman"/>
          <w:sz w:val="24"/>
        </w:rPr>
        <w:t>Annika</w:t>
      </w:r>
      <w:r w:rsidR="0095234F" w:rsidRPr="007E3047">
        <w:rPr>
          <w:rFonts w:ascii="Times New Roman" w:eastAsia="Arial" w:hAnsi="Times New Roman"/>
          <w:sz w:val="24"/>
        </w:rPr>
        <w:t xml:space="preserve"> </w:t>
      </w:r>
      <w:r w:rsidRPr="007E3047">
        <w:rPr>
          <w:rFonts w:ascii="Times New Roman" w:eastAsia="Arial" w:hAnsi="Times New Roman"/>
          <w:sz w:val="24"/>
        </w:rPr>
        <w:t xml:space="preserve">Bolt apresentou denúncia perante </w:t>
      </w:r>
      <w:r w:rsidR="002459ED" w:rsidRPr="007E3047">
        <w:rPr>
          <w:rFonts w:ascii="Times New Roman" w:eastAsia="Arial" w:hAnsi="Times New Roman"/>
          <w:sz w:val="24"/>
        </w:rPr>
        <w:t>a</w:t>
      </w:r>
      <w:r w:rsidR="0095234F" w:rsidRPr="007E3047">
        <w:rPr>
          <w:rFonts w:ascii="Times New Roman" w:eastAsia="Arial" w:hAnsi="Times New Roman"/>
          <w:sz w:val="24"/>
        </w:rPr>
        <w:t xml:space="preserve"> CIDH em</w:t>
      </w:r>
      <w:r w:rsidRPr="007E3047">
        <w:rPr>
          <w:rFonts w:ascii="Times New Roman" w:eastAsia="Arial" w:hAnsi="Times New Roman"/>
          <w:sz w:val="24"/>
        </w:rPr>
        <w:t xml:space="preserve"> dezembro de 2002 alegando a responsabilidade do Estado pelo desaparecimento de seu marido, Ricardo Bolt, e pelos ataques à Comunidade Boneca. Em maio de 2009</w:t>
      </w:r>
      <w:r w:rsidR="0095234F" w:rsidRPr="007E3047">
        <w:rPr>
          <w:rFonts w:ascii="Times New Roman" w:eastAsia="Arial" w:hAnsi="Times New Roman"/>
          <w:sz w:val="24"/>
        </w:rPr>
        <w:t>,</w:t>
      </w:r>
      <w:r w:rsidRPr="007E3047">
        <w:rPr>
          <w:rFonts w:ascii="Times New Roman" w:eastAsia="Arial" w:hAnsi="Times New Roman"/>
          <w:sz w:val="24"/>
        </w:rPr>
        <w:t xml:space="preserve"> Lupita Lopez peticionou por considerar que a morte de seu filho, Aníbal Lopez, teria ficado impune. Em junho de 2009</w:t>
      </w:r>
      <w:r w:rsidR="0095234F" w:rsidRPr="007E3047">
        <w:rPr>
          <w:rFonts w:ascii="Times New Roman" w:eastAsia="Arial" w:hAnsi="Times New Roman"/>
          <w:sz w:val="24"/>
        </w:rPr>
        <w:t>,</w:t>
      </w:r>
      <w:r w:rsidRPr="007E3047">
        <w:rPr>
          <w:rFonts w:ascii="Times New Roman" w:eastAsia="Arial" w:hAnsi="Times New Roman"/>
          <w:sz w:val="24"/>
        </w:rPr>
        <w:t xml:space="preserve"> Emily </w:t>
      </w:r>
      <w:r w:rsidR="0095234F" w:rsidRPr="007E3047">
        <w:rPr>
          <w:rFonts w:ascii="Times New Roman" w:eastAsia="Arial" w:hAnsi="Times New Roman"/>
          <w:sz w:val="24"/>
        </w:rPr>
        <w:t>e Maximiliano Rossi, irmã e pai</w:t>
      </w:r>
      <w:r w:rsidRPr="007E3047">
        <w:rPr>
          <w:rFonts w:ascii="Times New Roman" w:eastAsia="Arial" w:hAnsi="Times New Roman"/>
          <w:sz w:val="24"/>
        </w:rPr>
        <w:t xml:space="preserve"> </w:t>
      </w:r>
      <w:r w:rsidR="00B633F9" w:rsidRPr="007E3047">
        <w:rPr>
          <w:rFonts w:ascii="Times New Roman" w:eastAsia="Arial" w:hAnsi="Times New Roman"/>
          <w:sz w:val="24"/>
        </w:rPr>
        <w:t>de Lucrécia Rossi, acessaram a</w:t>
      </w:r>
      <w:r w:rsidRPr="007E3047">
        <w:rPr>
          <w:rFonts w:ascii="Times New Roman" w:eastAsia="Arial" w:hAnsi="Times New Roman"/>
          <w:sz w:val="24"/>
        </w:rPr>
        <w:t xml:space="preserve"> </w:t>
      </w:r>
      <w:r w:rsidR="00B633F9" w:rsidRPr="007E3047">
        <w:rPr>
          <w:rFonts w:ascii="Times New Roman" w:eastAsia="Arial" w:hAnsi="Times New Roman"/>
          <w:sz w:val="24"/>
        </w:rPr>
        <w:t>C</w:t>
      </w:r>
      <w:r w:rsidR="00DE0280" w:rsidRPr="007E3047">
        <w:rPr>
          <w:rFonts w:ascii="Times New Roman" w:eastAsia="Arial" w:hAnsi="Times New Roman"/>
          <w:sz w:val="24"/>
        </w:rPr>
        <w:t>IDH</w:t>
      </w:r>
      <w:r w:rsidRPr="007E3047">
        <w:rPr>
          <w:rFonts w:ascii="Times New Roman" w:eastAsia="Arial" w:hAnsi="Times New Roman"/>
          <w:sz w:val="24"/>
        </w:rPr>
        <w:t xml:space="preserve"> sob a alegação da responsabilidade de Cardenal pela sua morte e ausência de inquérito, sanção, castigo e reparação dos danos.</w:t>
      </w:r>
      <w:r w:rsidR="00B633F9" w:rsidRPr="007E3047">
        <w:rPr>
          <w:rFonts w:ascii="Times New Roman" w:eastAsia="Arial" w:hAnsi="Times New Roman"/>
          <w:sz w:val="24"/>
        </w:rPr>
        <w:t xml:space="preserve"> </w:t>
      </w:r>
      <w:r w:rsidR="00115D2A" w:rsidRPr="007E3047">
        <w:rPr>
          <w:rFonts w:ascii="Times New Roman" w:eastAsia="Arial" w:hAnsi="Times New Roman"/>
          <w:b/>
          <w:sz w:val="24"/>
        </w:rPr>
        <w:t>25</w:t>
      </w:r>
      <w:r w:rsidR="001D6521" w:rsidRPr="007E3047">
        <w:rPr>
          <w:rFonts w:ascii="Times New Roman" w:eastAsia="Arial" w:hAnsi="Times New Roman"/>
          <w:b/>
          <w:sz w:val="24"/>
        </w:rPr>
        <w:t xml:space="preserve">. </w:t>
      </w:r>
      <w:r w:rsidRPr="007E3047">
        <w:rPr>
          <w:rFonts w:ascii="Times New Roman" w:eastAsia="Arial" w:hAnsi="Times New Roman"/>
          <w:sz w:val="24"/>
        </w:rPr>
        <w:t>Em agosto de 2009</w:t>
      </w:r>
      <w:r w:rsidR="00B633F9" w:rsidRPr="007E3047">
        <w:rPr>
          <w:rFonts w:ascii="Times New Roman" w:eastAsia="Arial" w:hAnsi="Times New Roman"/>
          <w:sz w:val="24"/>
        </w:rPr>
        <w:t>,</w:t>
      </w:r>
      <w:r w:rsidRPr="007E3047">
        <w:rPr>
          <w:rFonts w:ascii="Times New Roman" w:eastAsia="Arial" w:hAnsi="Times New Roman"/>
          <w:sz w:val="24"/>
        </w:rPr>
        <w:t xml:space="preserve"> o Estado respondeu </w:t>
      </w:r>
      <w:r w:rsidR="00A416BC" w:rsidRPr="007E3047">
        <w:rPr>
          <w:rFonts w:ascii="Times New Roman" w:eastAsia="Arial" w:hAnsi="Times New Roman"/>
          <w:sz w:val="24"/>
        </w:rPr>
        <w:t xml:space="preserve">a todas as acusações perante </w:t>
      </w:r>
      <w:r w:rsidR="00B633F9" w:rsidRPr="007E3047">
        <w:rPr>
          <w:rFonts w:ascii="Times New Roman" w:eastAsia="Arial" w:hAnsi="Times New Roman"/>
          <w:sz w:val="24"/>
        </w:rPr>
        <w:t>a CIDH</w:t>
      </w:r>
      <w:r w:rsidRPr="007E3047">
        <w:rPr>
          <w:rFonts w:ascii="Times New Roman" w:eastAsia="Arial" w:hAnsi="Times New Roman"/>
          <w:sz w:val="24"/>
        </w:rPr>
        <w:t>.</w:t>
      </w:r>
      <w:r w:rsidR="00B633F9" w:rsidRPr="007E3047">
        <w:rPr>
          <w:rFonts w:ascii="Times New Roman" w:eastAsia="Arial" w:hAnsi="Times New Roman"/>
          <w:sz w:val="24"/>
        </w:rPr>
        <w:t xml:space="preserve"> </w:t>
      </w:r>
      <w:r w:rsidR="007214F8" w:rsidRPr="007E3047">
        <w:rPr>
          <w:rFonts w:ascii="Times New Roman" w:eastAsia="Arial" w:hAnsi="Times New Roman"/>
          <w:b/>
          <w:sz w:val="24"/>
        </w:rPr>
        <w:t>26</w:t>
      </w:r>
      <w:r w:rsidR="001D6521" w:rsidRPr="007E3047">
        <w:rPr>
          <w:rFonts w:ascii="Times New Roman" w:eastAsia="Arial" w:hAnsi="Times New Roman"/>
          <w:b/>
          <w:sz w:val="24"/>
        </w:rPr>
        <w:t xml:space="preserve">. </w:t>
      </w:r>
      <w:r w:rsidR="00520057" w:rsidRPr="007E3047">
        <w:rPr>
          <w:rFonts w:ascii="Times New Roman" w:eastAsia="Arial" w:hAnsi="Times New Roman"/>
          <w:sz w:val="24"/>
        </w:rPr>
        <w:t>A</w:t>
      </w:r>
      <w:r w:rsidR="00B633F9" w:rsidRPr="007E3047">
        <w:rPr>
          <w:rFonts w:ascii="Times New Roman" w:eastAsia="Arial" w:hAnsi="Times New Roman"/>
          <w:sz w:val="24"/>
        </w:rPr>
        <w:t xml:space="preserve"> CI</w:t>
      </w:r>
      <w:r w:rsidR="0072522C" w:rsidRPr="007E3047">
        <w:rPr>
          <w:rFonts w:ascii="Times New Roman" w:eastAsia="Arial" w:hAnsi="Times New Roman"/>
          <w:sz w:val="24"/>
        </w:rPr>
        <w:t xml:space="preserve">DH </w:t>
      </w:r>
      <w:r w:rsidRPr="007E3047">
        <w:rPr>
          <w:rFonts w:ascii="Times New Roman" w:eastAsia="Arial" w:hAnsi="Times New Roman"/>
          <w:sz w:val="24"/>
        </w:rPr>
        <w:t>reuniu os casos e</w:t>
      </w:r>
      <w:r w:rsidR="00B633F9" w:rsidRPr="007E3047">
        <w:rPr>
          <w:rFonts w:ascii="Times New Roman" w:eastAsia="Arial" w:hAnsi="Times New Roman"/>
          <w:sz w:val="24"/>
        </w:rPr>
        <w:t>,</w:t>
      </w:r>
      <w:r w:rsidRPr="007E3047">
        <w:rPr>
          <w:rFonts w:ascii="Times New Roman" w:eastAsia="Arial" w:hAnsi="Times New Roman"/>
          <w:sz w:val="24"/>
        </w:rPr>
        <w:t xml:space="preserve"> em janeiro de 2013</w:t>
      </w:r>
      <w:r w:rsidR="00B633F9" w:rsidRPr="007E3047">
        <w:rPr>
          <w:rFonts w:ascii="Times New Roman" w:eastAsia="Arial" w:hAnsi="Times New Roman"/>
          <w:sz w:val="24"/>
        </w:rPr>
        <w:t>,</w:t>
      </w:r>
      <w:r w:rsidRPr="007E3047">
        <w:rPr>
          <w:rFonts w:ascii="Times New Roman" w:eastAsia="Arial" w:hAnsi="Times New Roman"/>
          <w:sz w:val="24"/>
        </w:rPr>
        <w:t xml:space="preserve"> emitiu relatório conjunto de mérito admitindo a responsabilid</w:t>
      </w:r>
      <w:r w:rsidR="00C167E9" w:rsidRPr="007E3047">
        <w:rPr>
          <w:rFonts w:ascii="Times New Roman" w:eastAsia="Arial" w:hAnsi="Times New Roman"/>
          <w:sz w:val="24"/>
        </w:rPr>
        <w:t xml:space="preserve">ade do Estado pela violação </w:t>
      </w:r>
      <w:r w:rsidR="00B633F9" w:rsidRPr="007E3047">
        <w:rPr>
          <w:rFonts w:ascii="Times New Roman" w:eastAsia="Arial" w:hAnsi="Times New Roman"/>
          <w:sz w:val="24"/>
        </w:rPr>
        <w:t>da CADH em relação às vítimas</w:t>
      </w:r>
      <w:r w:rsidRPr="007E3047">
        <w:rPr>
          <w:rFonts w:ascii="Times New Roman" w:eastAsia="Arial" w:hAnsi="Times New Roman"/>
          <w:sz w:val="24"/>
        </w:rPr>
        <w:t>.</w:t>
      </w:r>
      <w:r w:rsidR="00B633F9" w:rsidRPr="007E3047">
        <w:rPr>
          <w:rFonts w:ascii="Times New Roman" w:eastAsia="Arial" w:hAnsi="Times New Roman"/>
          <w:sz w:val="24"/>
        </w:rPr>
        <w:t xml:space="preserve"> </w:t>
      </w:r>
      <w:r w:rsidR="007214F8" w:rsidRPr="007E3047">
        <w:rPr>
          <w:rFonts w:ascii="Times New Roman" w:eastAsia="Arial" w:hAnsi="Times New Roman"/>
          <w:b/>
          <w:sz w:val="24"/>
        </w:rPr>
        <w:t>27</w:t>
      </w:r>
      <w:r w:rsidR="001D6521" w:rsidRPr="007E3047">
        <w:rPr>
          <w:rFonts w:ascii="Times New Roman" w:eastAsia="Arial" w:hAnsi="Times New Roman"/>
          <w:b/>
          <w:sz w:val="24"/>
        </w:rPr>
        <w:t xml:space="preserve">. </w:t>
      </w:r>
      <w:r w:rsidR="00A416BC" w:rsidRPr="007E3047">
        <w:rPr>
          <w:rFonts w:ascii="Times New Roman" w:eastAsia="Arial" w:hAnsi="Times New Roman"/>
          <w:sz w:val="24"/>
        </w:rPr>
        <w:t>Cardenal,</w:t>
      </w:r>
      <w:r w:rsidRPr="007E3047">
        <w:rPr>
          <w:rFonts w:ascii="Times New Roman" w:eastAsia="Arial" w:hAnsi="Times New Roman"/>
          <w:sz w:val="24"/>
        </w:rPr>
        <w:t xml:space="preserve"> e</w:t>
      </w:r>
      <w:r w:rsidR="00C167E9" w:rsidRPr="007E3047">
        <w:rPr>
          <w:rFonts w:ascii="Times New Roman" w:eastAsia="Arial" w:hAnsi="Times New Roman"/>
          <w:sz w:val="24"/>
        </w:rPr>
        <w:t>m</w:t>
      </w:r>
      <w:r w:rsidRPr="007E3047">
        <w:rPr>
          <w:rFonts w:ascii="Times New Roman" w:eastAsia="Arial" w:hAnsi="Times New Roman"/>
          <w:sz w:val="24"/>
        </w:rPr>
        <w:t xml:space="preserve"> desacordo</w:t>
      </w:r>
      <w:r w:rsidR="00B633F9" w:rsidRPr="007E3047">
        <w:rPr>
          <w:rFonts w:ascii="Times New Roman" w:eastAsia="Arial" w:hAnsi="Times New Roman"/>
          <w:sz w:val="24"/>
        </w:rPr>
        <w:t xml:space="preserve"> </w:t>
      </w:r>
      <w:r w:rsidR="00DA2DA6" w:rsidRPr="007E3047">
        <w:rPr>
          <w:rFonts w:ascii="Times New Roman" w:eastAsia="Arial" w:hAnsi="Times New Roman"/>
          <w:sz w:val="24"/>
        </w:rPr>
        <w:t>com</w:t>
      </w:r>
      <w:r w:rsidR="00A416BC" w:rsidRPr="007E3047">
        <w:rPr>
          <w:rFonts w:ascii="Times New Roman" w:eastAsia="Arial" w:hAnsi="Times New Roman"/>
          <w:sz w:val="24"/>
        </w:rPr>
        <w:t xml:space="preserve">a decisão da </w:t>
      </w:r>
      <w:r w:rsidR="00DA2DA6" w:rsidRPr="007E3047">
        <w:rPr>
          <w:rFonts w:ascii="Times New Roman" w:eastAsia="Arial" w:hAnsi="Times New Roman"/>
          <w:sz w:val="24"/>
        </w:rPr>
        <w:t>CIDH</w:t>
      </w:r>
      <w:r w:rsidR="007214F8" w:rsidRPr="007E3047">
        <w:rPr>
          <w:rFonts w:ascii="Times New Roman" w:eastAsia="Arial" w:hAnsi="Times New Roman"/>
          <w:sz w:val="24"/>
        </w:rPr>
        <w:t xml:space="preserve">, </w:t>
      </w:r>
      <w:r w:rsidR="00782790" w:rsidRPr="007E3047">
        <w:rPr>
          <w:rFonts w:ascii="Times New Roman" w:eastAsia="Arial" w:hAnsi="Times New Roman"/>
          <w:sz w:val="24"/>
        </w:rPr>
        <w:t>submeteu</w:t>
      </w:r>
      <w:r w:rsidRPr="007E3047">
        <w:rPr>
          <w:rFonts w:ascii="Times New Roman" w:eastAsia="Arial" w:hAnsi="Times New Roman"/>
          <w:sz w:val="24"/>
        </w:rPr>
        <w:t xml:space="preserve"> em fevereiro de 2013 </w:t>
      </w:r>
      <w:r w:rsidR="00A416BC" w:rsidRPr="007E3047">
        <w:rPr>
          <w:rFonts w:ascii="Times New Roman" w:eastAsia="Arial" w:hAnsi="Times New Roman"/>
          <w:sz w:val="24"/>
        </w:rPr>
        <w:t xml:space="preserve">a presente </w:t>
      </w:r>
      <w:r w:rsidRPr="007E3047">
        <w:rPr>
          <w:rFonts w:ascii="Times New Roman" w:eastAsia="Arial" w:hAnsi="Times New Roman"/>
          <w:sz w:val="24"/>
        </w:rPr>
        <w:t>demanda perante a</w:t>
      </w:r>
      <w:r w:rsidR="00C167E9" w:rsidRPr="007E3047">
        <w:rPr>
          <w:rFonts w:ascii="Times New Roman" w:eastAsia="Arial" w:hAnsi="Times New Roman"/>
          <w:sz w:val="24"/>
        </w:rPr>
        <w:t xml:space="preserve"> Corte IDH</w:t>
      </w:r>
      <w:r w:rsidRPr="007E3047">
        <w:rPr>
          <w:rFonts w:ascii="Times New Roman" w:eastAsia="Arial" w:hAnsi="Times New Roman"/>
          <w:sz w:val="24"/>
        </w:rPr>
        <w:t>.</w:t>
      </w:r>
    </w:p>
    <w:p w:rsidR="00647344" w:rsidRPr="007E3047" w:rsidRDefault="00647344" w:rsidP="000C1E8D">
      <w:pPr>
        <w:pStyle w:val="ListParagraph"/>
        <w:spacing w:after="0" w:line="480" w:lineRule="auto"/>
        <w:ind w:left="0"/>
        <w:jc w:val="both"/>
        <w:rPr>
          <w:rFonts w:ascii="Times New Roman" w:eastAsia="Arial" w:hAnsi="Times New Roman"/>
          <w:sz w:val="24"/>
        </w:rPr>
      </w:pPr>
    </w:p>
    <w:p w:rsidR="005750A8" w:rsidRPr="007E3047" w:rsidRDefault="005750A8" w:rsidP="00B54E53">
      <w:pPr>
        <w:pStyle w:val="Heading1"/>
        <w:spacing w:before="0" w:line="480" w:lineRule="auto"/>
        <w:jc w:val="both"/>
        <w:rPr>
          <w:rFonts w:ascii="Times New Roman" w:hAnsi="Times New Roman"/>
          <w:caps/>
          <w:color w:val="auto"/>
          <w:sz w:val="24"/>
          <w:szCs w:val="24"/>
        </w:rPr>
      </w:pPr>
      <w:bookmarkStart w:id="71" w:name="_Toc414915697"/>
      <w:bookmarkStart w:id="72" w:name="_Toc414915818"/>
      <w:r w:rsidRPr="007E3047">
        <w:rPr>
          <w:rFonts w:ascii="Times New Roman" w:hAnsi="Times New Roman"/>
          <w:caps/>
          <w:color w:val="auto"/>
          <w:sz w:val="24"/>
          <w:szCs w:val="24"/>
        </w:rPr>
        <w:lastRenderedPageBreak/>
        <w:t>4.  Da Admissibilidade</w:t>
      </w:r>
      <w:bookmarkEnd w:id="68"/>
      <w:bookmarkEnd w:id="69"/>
      <w:bookmarkEnd w:id="70"/>
      <w:bookmarkEnd w:id="71"/>
      <w:bookmarkEnd w:id="72"/>
    </w:p>
    <w:p w:rsidR="00C94CBB" w:rsidRPr="007E3047" w:rsidRDefault="00C94CBB"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 xml:space="preserve">4.1 Da competência da Corte </w:t>
      </w:r>
    </w:p>
    <w:p w:rsidR="00C94CBB" w:rsidRPr="007E3047" w:rsidRDefault="00C94CBB"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Cardenal ratificou todos os tratados de direitos humanos da Organização dos Estados Americanos, reconhecendo também a competência contenciosa da Corte</w:t>
      </w:r>
      <w:r w:rsidR="00F124B3"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xml:space="preserve"> em 21 de agosto de 1990</w:t>
      </w:r>
      <w:r w:rsidRPr="007E3047">
        <w:rPr>
          <w:rStyle w:val="FootnoteReference"/>
          <w:rFonts w:ascii="Times New Roman" w:hAnsi="Times New Roman"/>
          <w:sz w:val="24"/>
          <w:szCs w:val="24"/>
        </w:rPr>
        <w:footnoteReference w:id="1"/>
      </w:r>
      <w:r w:rsidRPr="007E3047">
        <w:rPr>
          <w:rFonts w:ascii="Times New Roman" w:eastAsia="Times New Roman" w:hAnsi="Times New Roman"/>
          <w:sz w:val="24"/>
          <w:szCs w:val="24"/>
        </w:rPr>
        <w:t>, sendo esta plenamente capaz para julgar o presente caso, conforme di</w:t>
      </w:r>
      <w:r w:rsidR="00BB331C" w:rsidRPr="007E3047">
        <w:rPr>
          <w:rFonts w:ascii="Times New Roman" w:eastAsia="Times New Roman" w:hAnsi="Times New Roman"/>
          <w:sz w:val="24"/>
          <w:szCs w:val="24"/>
        </w:rPr>
        <w:t>sposto no art. 62.3 da CADH</w:t>
      </w:r>
      <w:r w:rsidRPr="007E3047">
        <w:rPr>
          <w:rFonts w:ascii="Times New Roman" w:eastAsia="Times New Roman" w:hAnsi="Times New Roman"/>
          <w:sz w:val="24"/>
          <w:szCs w:val="24"/>
        </w:rPr>
        <w:t>.</w:t>
      </w:r>
    </w:p>
    <w:p w:rsidR="00C94CBB" w:rsidRPr="007E3047" w:rsidRDefault="00C94CBB"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4.2 Da legitimidade ativa</w:t>
      </w:r>
    </w:p>
    <w:p w:rsidR="00803FE0" w:rsidRPr="007E3047" w:rsidRDefault="00F80FCC"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A </w:t>
      </w:r>
      <w:r w:rsidR="001D7395" w:rsidRPr="007E3047">
        <w:rPr>
          <w:rFonts w:ascii="Times New Roman" w:eastAsia="Times New Roman" w:hAnsi="Times New Roman"/>
          <w:sz w:val="24"/>
          <w:szCs w:val="24"/>
        </w:rPr>
        <w:t>CIDH</w:t>
      </w:r>
      <w:r w:rsidR="00A42F04" w:rsidRPr="007E3047">
        <w:rPr>
          <w:rFonts w:ascii="Times New Roman" w:eastAsia="Times New Roman" w:hAnsi="Times New Roman"/>
          <w:sz w:val="24"/>
          <w:szCs w:val="24"/>
        </w:rPr>
        <w:t xml:space="preserve"> admitiu as demand</w:t>
      </w:r>
      <w:r w:rsidR="004F5628" w:rsidRPr="007E3047">
        <w:rPr>
          <w:rFonts w:ascii="Times New Roman" w:eastAsia="Times New Roman" w:hAnsi="Times New Roman"/>
          <w:sz w:val="24"/>
          <w:szCs w:val="24"/>
        </w:rPr>
        <w:t>as de</w:t>
      </w:r>
      <w:r w:rsidR="001D7395" w:rsidRPr="007E3047">
        <w:rPr>
          <w:rFonts w:ascii="Times New Roman" w:eastAsia="Times New Roman" w:hAnsi="Times New Roman"/>
          <w:sz w:val="24"/>
          <w:szCs w:val="24"/>
        </w:rPr>
        <w:t xml:space="preserve"> </w:t>
      </w:r>
      <w:r w:rsidR="00A42F04" w:rsidRPr="007E3047">
        <w:rPr>
          <w:rFonts w:ascii="Times New Roman" w:eastAsia="Times New Roman" w:hAnsi="Times New Roman"/>
          <w:sz w:val="24"/>
          <w:szCs w:val="24"/>
        </w:rPr>
        <w:t>Annika</w:t>
      </w:r>
      <w:r w:rsidR="001D7395" w:rsidRPr="007E3047">
        <w:rPr>
          <w:rFonts w:ascii="Times New Roman" w:eastAsia="Times New Roman" w:hAnsi="Times New Roman"/>
          <w:sz w:val="24"/>
          <w:szCs w:val="24"/>
        </w:rPr>
        <w:t xml:space="preserve"> Bolt em</w:t>
      </w:r>
      <w:r w:rsidR="00A42F04" w:rsidRPr="007E3047">
        <w:rPr>
          <w:rFonts w:ascii="Times New Roman" w:eastAsia="Times New Roman" w:hAnsi="Times New Roman"/>
          <w:sz w:val="24"/>
          <w:szCs w:val="24"/>
        </w:rPr>
        <w:t xml:space="preserve"> 2008 e de Lupita López, Emily e Maximiliano Rossi</w:t>
      </w:r>
      <w:r w:rsidR="004F5628" w:rsidRPr="007E3047">
        <w:rPr>
          <w:rFonts w:ascii="Times New Roman" w:eastAsia="Times New Roman" w:hAnsi="Times New Roman"/>
          <w:sz w:val="24"/>
          <w:szCs w:val="24"/>
        </w:rPr>
        <w:t xml:space="preserve"> e</w:t>
      </w:r>
      <w:r w:rsidR="001D7395" w:rsidRPr="007E3047">
        <w:rPr>
          <w:rFonts w:ascii="Times New Roman" w:eastAsia="Times New Roman" w:hAnsi="Times New Roman"/>
          <w:sz w:val="24"/>
          <w:szCs w:val="24"/>
        </w:rPr>
        <w:t>m 2009. O Estado respondeu a todas as demandas</w:t>
      </w:r>
      <w:r w:rsidR="004F5628" w:rsidRPr="007E3047">
        <w:rPr>
          <w:rFonts w:ascii="Times New Roman" w:eastAsia="Times New Roman" w:hAnsi="Times New Roman"/>
          <w:sz w:val="24"/>
          <w:szCs w:val="24"/>
        </w:rPr>
        <w:t>, impugnando os argumentos de admissibilidade e de m</w:t>
      </w:r>
      <w:r w:rsidR="00B035F8" w:rsidRPr="007E3047">
        <w:rPr>
          <w:rFonts w:ascii="Times New Roman" w:eastAsia="Times New Roman" w:hAnsi="Times New Roman"/>
          <w:sz w:val="24"/>
          <w:szCs w:val="24"/>
        </w:rPr>
        <w:t xml:space="preserve">érito, respeitando os prazos estipulados pela </w:t>
      </w:r>
      <w:r w:rsidR="001D7395" w:rsidRPr="007E3047">
        <w:rPr>
          <w:rFonts w:ascii="Times New Roman" w:eastAsia="Times New Roman" w:hAnsi="Times New Roman"/>
          <w:sz w:val="24"/>
          <w:szCs w:val="24"/>
        </w:rPr>
        <w:t>CIDH</w:t>
      </w:r>
      <w:r w:rsidR="000D6763" w:rsidRPr="007E3047">
        <w:rPr>
          <w:rFonts w:ascii="Times New Roman" w:eastAsia="Times New Roman" w:hAnsi="Times New Roman"/>
          <w:sz w:val="24"/>
          <w:szCs w:val="24"/>
        </w:rPr>
        <w:t xml:space="preserve"> e prestando</w:t>
      </w:r>
      <w:r w:rsidR="00B035F8" w:rsidRPr="007E3047">
        <w:rPr>
          <w:rFonts w:ascii="Times New Roman" w:eastAsia="Times New Roman" w:hAnsi="Times New Roman"/>
          <w:sz w:val="24"/>
          <w:szCs w:val="24"/>
        </w:rPr>
        <w:t xml:space="preserve"> todas as informações solicitadas</w:t>
      </w:r>
      <w:r w:rsidR="000329A0" w:rsidRPr="007E3047">
        <w:rPr>
          <w:rFonts w:ascii="Times New Roman" w:eastAsia="Times New Roman" w:hAnsi="Times New Roman"/>
          <w:sz w:val="24"/>
          <w:szCs w:val="24"/>
        </w:rPr>
        <w:t>.</w:t>
      </w:r>
      <w:r w:rsidR="00D11621" w:rsidRPr="007E3047">
        <w:rPr>
          <w:rFonts w:ascii="Times New Roman" w:eastAsia="Times New Roman" w:hAnsi="Times New Roman"/>
          <w:sz w:val="24"/>
          <w:szCs w:val="24"/>
        </w:rPr>
        <w:t xml:space="preserve"> Em 2012, </w:t>
      </w:r>
      <w:r w:rsidR="003032E6" w:rsidRPr="007E3047">
        <w:rPr>
          <w:rFonts w:ascii="Times New Roman" w:eastAsia="Times New Roman" w:hAnsi="Times New Roman"/>
          <w:sz w:val="24"/>
          <w:szCs w:val="24"/>
        </w:rPr>
        <w:t xml:space="preserve">as </w:t>
      </w:r>
      <w:r w:rsidR="00D11621" w:rsidRPr="007E3047">
        <w:rPr>
          <w:rFonts w:ascii="Times New Roman" w:eastAsia="Times New Roman" w:hAnsi="Times New Roman"/>
          <w:sz w:val="24"/>
          <w:szCs w:val="24"/>
        </w:rPr>
        <w:t>três demandas</w:t>
      </w:r>
      <w:r w:rsidR="003032E6" w:rsidRPr="007E3047">
        <w:rPr>
          <w:rFonts w:ascii="Times New Roman" w:eastAsia="Times New Roman" w:hAnsi="Times New Roman"/>
          <w:sz w:val="24"/>
          <w:szCs w:val="24"/>
        </w:rPr>
        <w:t xml:space="preserve"> foram reunidas e admitidas, conforme o </w:t>
      </w:r>
      <w:r w:rsidR="00D11621" w:rsidRPr="007E3047">
        <w:rPr>
          <w:rFonts w:ascii="Times New Roman" w:eastAsia="Times New Roman" w:hAnsi="Times New Roman"/>
          <w:sz w:val="24"/>
          <w:szCs w:val="24"/>
        </w:rPr>
        <w:t xml:space="preserve">Relatório de Admissibilidade 05/12. No ano seguinte, a </w:t>
      </w:r>
      <w:r w:rsidR="001D7395" w:rsidRPr="007E3047">
        <w:rPr>
          <w:rFonts w:ascii="Times New Roman" w:eastAsia="Times New Roman" w:hAnsi="Times New Roman"/>
          <w:sz w:val="24"/>
          <w:szCs w:val="24"/>
        </w:rPr>
        <w:t>CIDH acusou no R</w:t>
      </w:r>
      <w:r w:rsidR="00D11621" w:rsidRPr="007E3047">
        <w:rPr>
          <w:rFonts w:ascii="Times New Roman" w:eastAsia="Times New Roman" w:hAnsi="Times New Roman"/>
          <w:sz w:val="24"/>
          <w:szCs w:val="24"/>
        </w:rPr>
        <w:t>elatório conjunto sobre o mérito que o Estado havia violado os arts. 3, 4, 5, 7, 8, 24 e 25, relacionados aos arts. 1.1 e 2 da CADH</w:t>
      </w:r>
      <w:r w:rsidR="00D827FB" w:rsidRPr="007E3047">
        <w:rPr>
          <w:rFonts w:ascii="Times New Roman" w:eastAsia="Times New Roman" w:hAnsi="Times New Roman"/>
          <w:sz w:val="24"/>
          <w:szCs w:val="24"/>
        </w:rPr>
        <w:t xml:space="preserve">. </w:t>
      </w:r>
    </w:p>
    <w:p w:rsidR="00C94CBB" w:rsidRPr="007E3047" w:rsidRDefault="001D7395"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 divulgação do R</w:t>
      </w:r>
      <w:r w:rsidR="00D827FB" w:rsidRPr="007E3047">
        <w:rPr>
          <w:rFonts w:ascii="Times New Roman" w:eastAsia="Times New Roman" w:hAnsi="Times New Roman"/>
          <w:sz w:val="24"/>
          <w:szCs w:val="24"/>
        </w:rPr>
        <w:t xml:space="preserve">elatório constando estas supostas violações </w:t>
      </w:r>
      <w:r w:rsidR="00C94CBB" w:rsidRPr="007E3047">
        <w:rPr>
          <w:rFonts w:ascii="Times New Roman" w:eastAsia="Times New Roman" w:hAnsi="Times New Roman"/>
          <w:sz w:val="24"/>
          <w:szCs w:val="24"/>
        </w:rPr>
        <w:t>foi muito mal recebida pelos setores militares e pela guerrilha desmobilizada, que interpretaram a decisão como uma traição do governo ao processo de paz, propagando revolta à boa parte da população. A situação chegou a tal ponto que o serviço de inteligência do país recebeu informações de que um golpe estava sendo planej</w:t>
      </w:r>
      <w:r w:rsidR="006168AA" w:rsidRPr="007E3047">
        <w:rPr>
          <w:rFonts w:ascii="Times New Roman" w:eastAsia="Times New Roman" w:hAnsi="Times New Roman"/>
          <w:sz w:val="24"/>
          <w:szCs w:val="24"/>
        </w:rPr>
        <w:t>ado, novamente, pelos militares</w:t>
      </w:r>
      <w:r w:rsidR="00C94CBB" w:rsidRPr="007E3047">
        <w:rPr>
          <w:rFonts w:ascii="Times New Roman" w:eastAsia="Times New Roman" w:hAnsi="Times New Roman"/>
          <w:sz w:val="24"/>
          <w:szCs w:val="24"/>
        </w:rPr>
        <w:t xml:space="preserve"> e</w:t>
      </w:r>
      <w:r w:rsidR="006168AA" w:rsidRPr="007E3047">
        <w:rPr>
          <w:rFonts w:ascii="Times New Roman" w:eastAsia="Times New Roman" w:hAnsi="Times New Roman"/>
          <w:sz w:val="24"/>
          <w:szCs w:val="24"/>
        </w:rPr>
        <w:t xml:space="preserve"> que</w:t>
      </w:r>
      <w:r w:rsidR="00C94CBB" w:rsidRPr="007E3047">
        <w:rPr>
          <w:rFonts w:ascii="Times New Roman" w:eastAsia="Times New Roman" w:hAnsi="Times New Roman"/>
          <w:sz w:val="24"/>
          <w:szCs w:val="24"/>
        </w:rPr>
        <w:t xml:space="preserve"> a guerrilha estava se rearmando</w:t>
      </w:r>
      <w:r w:rsidR="00F50175" w:rsidRPr="007E3047">
        <w:rPr>
          <w:rStyle w:val="FootnoteReference"/>
          <w:rFonts w:ascii="Times New Roman" w:eastAsia="Times New Roman" w:hAnsi="Times New Roman"/>
          <w:sz w:val="24"/>
          <w:szCs w:val="24"/>
        </w:rPr>
        <w:footnoteReference w:id="2"/>
      </w:r>
      <w:r w:rsidR="00C94CBB" w:rsidRPr="007E3047">
        <w:rPr>
          <w:rFonts w:ascii="Times New Roman" w:eastAsia="Times New Roman" w:hAnsi="Times New Roman"/>
          <w:sz w:val="24"/>
          <w:szCs w:val="24"/>
        </w:rPr>
        <w:t xml:space="preserve">. </w:t>
      </w:r>
    </w:p>
    <w:p w:rsidR="00C94CBB" w:rsidRPr="007E3047" w:rsidRDefault="00C94CBB"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Diante deste cenário caótico e temerário, o Estado deve agir a fim de evitar qualquer conflito armado no país, resguardando a paz e o processo de construção da democracia. É preciso reconquistar a confiança dos cidadãos de Cardenal e isso só será possível a partir de uma </w:t>
      </w:r>
      <w:r w:rsidRPr="007E3047">
        <w:rPr>
          <w:rFonts w:ascii="Times New Roman" w:eastAsia="Times New Roman" w:hAnsi="Times New Roman"/>
          <w:sz w:val="24"/>
          <w:szCs w:val="24"/>
        </w:rPr>
        <w:lastRenderedPageBreak/>
        <w:t>sentença proferida pela Corte</w:t>
      </w:r>
      <w:r w:rsidR="00CB78A2"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xml:space="preserve"> afirmando que não existe responsabilidade internacional do Estado nas violações supracitadas. </w:t>
      </w:r>
      <w:r w:rsidR="00A2028A" w:rsidRPr="007E3047">
        <w:rPr>
          <w:rFonts w:ascii="Times New Roman" w:eastAsia="Times New Roman" w:hAnsi="Times New Roman"/>
          <w:sz w:val="24"/>
          <w:szCs w:val="24"/>
        </w:rPr>
        <w:t>É essencial, no atual cenário, u</w:t>
      </w:r>
      <w:r w:rsidRPr="007E3047">
        <w:rPr>
          <w:rFonts w:ascii="Times New Roman" w:eastAsia="Times New Roman" w:hAnsi="Times New Roman"/>
          <w:sz w:val="24"/>
          <w:szCs w:val="24"/>
        </w:rPr>
        <w:t>ma sentença que avalie o sistema transicional de justiça e as políticas de compensação das vítimas, certificando que os mesmos estão em completa compatibilidade</w:t>
      </w:r>
      <w:r w:rsidR="00CB78A2" w:rsidRPr="007E3047">
        <w:rPr>
          <w:rFonts w:ascii="Times New Roman" w:eastAsia="Times New Roman" w:hAnsi="Times New Roman"/>
          <w:sz w:val="24"/>
          <w:szCs w:val="24"/>
        </w:rPr>
        <w:t xml:space="preserve"> com as disposições da CADH</w:t>
      </w:r>
      <w:r w:rsidRPr="007E3047">
        <w:rPr>
          <w:rFonts w:ascii="Times New Roman" w:eastAsia="Times New Roman" w:hAnsi="Times New Roman"/>
          <w:sz w:val="24"/>
          <w:szCs w:val="24"/>
        </w:rPr>
        <w:t xml:space="preserve">, respeitando e efetivando os direitos humanos. </w:t>
      </w:r>
    </w:p>
    <w:p w:rsidR="00C94CBB" w:rsidRPr="007E3047" w:rsidRDefault="00C94CBB"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Ante o exposto, o Estado requer o processamento da presente demanda, respaldado nos arts. 61.1 e 61.2 da C</w:t>
      </w:r>
      <w:r w:rsidR="000C30E4" w:rsidRPr="007E3047">
        <w:rPr>
          <w:rFonts w:ascii="Times New Roman" w:eastAsia="Times New Roman" w:hAnsi="Times New Roman"/>
          <w:sz w:val="24"/>
          <w:szCs w:val="24"/>
        </w:rPr>
        <w:t>ADH</w:t>
      </w:r>
      <w:r w:rsidR="00CB2ED2" w:rsidRPr="007E3047">
        <w:rPr>
          <w:rFonts w:ascii="Times New Roman" w:eastAsia="Times New Roman" w:hAnsi="Times New Roman"/>
          <w:sz w:val="24"/>
          <w:szCs w:val="24"/>
        </w:rPr>
        <w:t xml:space="preserve"> e no art. 36 do Regulamento da Corte IDH</w:t>
      </w:r>
      <w:r w:rsidR="00096797" w:rsidRPr="007E3047">
        <w:rPr>
          <w:rFonts w:ascii="Times New Roman" w:eastAsia="Times New Roman" w:hAnsi="Times New Roman"/>
          <w:sz w:val="24"/>
          <w:szCs w:val="24"/>
        </w:rPr>
        <w:t>, os quais lhe</w:t>
      </w:r>
      <w:r w:rsidRPr="007E3047">
        <w:rPr>
          <w:rFonts w:ascii="Times New Roman" w:eastAsia="Times New Roman" w:hAnsi="Times New Roman"/>
          <w:sz w:val="24"/>
          <w:szCs w:val="24"/>
        </w:rPr>
        <w:t xml:space="preserve"> conferem legitimidade ativa para submeter casos à decisão da Corte</w:t>
      </w:r>
      <w:r w:rsidR="000C30E4"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w:t>
      </w:r>
    </w:p>
    <w:p w:rsidR="00647344" w:rsidRPr="007E3047" w:rsidRDefault="00647344" w:rsidP="003032E6">
      <w:pPr>
        <w:spacing w:after="0" w:line="480" w:lineRule="auto"/>
        <w:ind w:firstLine="708"/>
        <w:jc w:val="both"/>
        <w:rPr>
          <w:rFonts w:ascii="Times New Roman" w:eastAsia="Times New Roman" w:hAnsi="Times New Roman"/>
          <w:sz w:val="24"/>
          <w:szCs w:val="24"/>
        </w:rPr>
      </w:pPr>
    </w:p>
    <w:p w:rsidR="00930AFC" w:rsidRPr="007E3047" w:rsidRDefault="00930AFC" w:rsidP="00F0286D">
      <w:pPr>
        <w:spacing w:after="0" w:line="480" w:lineRule="auto"/>
        <w:jc w:val="both"/>
        <w:rPr>
          <w:rFonts w:ascii="Times New Roman" w:hAnsi="Times New Roman"/>
          <w:b/>
          <w:sz w:val="24"/>
        </w:rPr>
      </w:pPr>
      <w:r w:rsidRPr="007E3047">
        <w:rPr>
          <w:rFonts w:ascii="Times New Roman" w:hAnsi="Times New Roman"/>
          <w:b/>
          <w:sz w:val="24"/>
        </w:rPr>
        <w:t>5. DAS EXCEÇÕES PRELIMINARES</w:t>
      </w:r>
    </w:p>
    <w:p w:rsidR="00A4385B" w:rsidRPr="007E3047" w:rsidRDefault="007F0068" w:rsidP="00F0286D">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 art. 37.1 do Regulamento da Corte IDH prevê que “as exceções preliminares só poderão ser opostas no escrito de contestação da demanda”. Contudo,</w:t>
      </w:r>
      <w:r w:rsidR="002B583C" w:rsidRPr="007E3047">
        <w:rPr>
          <w:rFonts w:ascii="Times New Roman" w:eastAsia="Times New Roman" w:hAnsi="Times New Roman"/>
          <w:sz w:val="24"/>
          <w:szCs w:val="24"/>
        </w:rPr>
        <w:t xml:space="preserve"> em fase de alegações finais é importante ressaltar os motivos pelos quais</w:t>
      </w:r>
      <w:r w:rsidR="00FA05CC" w:rsidRPr="007E3047">
        <w:rPr>
          <w:rFonts w:ascii="Times New Roman" w:eastAsia="Times New Roman" w:hAnsi="Times New Roman"/>
          <w:sz w:val="24"/>
          <w:szCs w:val="24"/>
        </w:rPr>
        <w:t xml:space="preserve"> a procedência da demanda deve ser reconhecida preliminarmente, declarando de plano que o Estado não violou os artigos acusados pela </w:t>
      </w:r>
      <w:r w:rsidR="00A4385B" w:rsidRPr="007E3047">
        <w:rPr>
          <w:rFonts w:ascii="Times New Roman" w:eastAsia="Times New Roman" w:hAnsi="Times New Roman"/>
          <w:sz w:val="24"/>
          <w:szCs w:val="24"/>
        </w:rPr>
        <w:t>CIDH</w:t>
      </w:r>
      <w:r w:rsidR="00FA05CC" w:rsidRPr="007E3047">
        <w:rPr>
          <w:rFonts w:ascii="Times New Roman" w:eastAsia="Times New Roman" w:hAnsi="Times New Roman"/>
          <w:sz w:val="24"/>
          <w:szCs w:val="24"/>
        </w:rPr>
        <w:t xml:space="preserve"> no relatório de mérito</w:t>
      </w:r>
      <w:r w:rsidRPr="007E3047">
        <w:rPr>
          <w:rFonts w:ascii="Times New Roman" w:eastAsia="Times New Roman" w:hAnsi="Times New Roman"/>
          <w:sz w:val="24"/>
          <w:szCs w:val="24"/>
        </w:rPr>
        <w:t>. Como já explanado anteriormente, o Estado, sob a iminente ameaça de vir a sofrer um golpe militar e um</w:t>
      </w:r>
      <w:r w:rsidR="004862D4" w:rsidRPr="007E3047">
        <w:rPr>
          <w:rFonts w:ascii="Times New Roman" w:eastAsia="Times New Roman" w:hAnsi="Times New Roman"/>
          <w:sz w:val="24"/>
          <w:szCs w:val="24"/>
        </w:rPr>
        <w:t xml:space="preserve"> novo</w:t>
      </w:r>
      <w:r w:rsidRPr="007E3047">
        <w:rPr>
          <w:rFonts w:ascii="Times New Roman" w:eastAsia="Times New Roman" w:hAnsi="Times New Roman"/>
          <w:sz w:val="24"/>
          <w:szCs w:val="24"/>
        </w:rPr>
        <w:t xml:space="preserve"> conflito armado, neces</w:t>
      </w:r>
      <w:r w:rsidR="00A4385B" w:rsidRPr="007E3047">
        <w:rPr>
          <w:rFonts w:ascii="Times New Roman" w:eastAsia="Times New Roman" w:hAnsi="Times New Roman"/>
          <w:sz w:val="24"/>
          <w:szCs w:val="24"/>
        </w:rPr>
        <w:t>sita do julgamento da Corte IDH</w:t>
      </w:r>
      <w:r w:rsidRPr="007E3047">
        <w:rPr>
          <w:rFonts w:ascii="Times New Roman" w:eastAsia="Times New Roman" w:hAnsi="Times New Roman"/>
          <w:sz w:val="24"/>
          <w:szCs w:val="24"/>
        </w:rPr>
        <w:t xml:space="preserve"> para a manutenção da paz e da estabilidade da democracia no país. </w:t>
      </w:r>
    </w:p>
    <w:p w:rsidR="007F0068" w:rsidRPr="007E3047" w:rsidRDefault="007F0068" w:rsidP="00F0286D">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Conforme o entendimento consolidado da Corte</w:t>
      </w:r>
      <w:r w:rsidR="00825074"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o Estado tem o direito e</w:t>
      </w:r>
      <w:r w:rsidR="00A4385B" w:rsidRPr="007E3047">
        <w:rPr>
          <w:rFonts w:ascii="Times New Roman" w:eastAsia="Times New Roman" w:hAnsi="Times New Roman"/>
          <w:sz w:val="24"/>
          <w:szCs w:val="24"/>
        </w:rPr>
        <w:t xml:space="preserve"> o</w:t>
      </w:r>
      <w:r w:rsidRPr="007E3047">
        <w:rPr>
          <w:rFonts w:ascii="Times New Roman" w:eastAsia="Times New Roman" w:hAnsi="Times New Roman"/>
          <w:sz w:val="24"/>
          <w:szCs w:val="24"/>
        </w:rPr>
        <w:t xml:space="preserve"> dever de garantir sua segurança e manter a ordem pública</w:t>
      </w:r>
      <w:r w:rsidR="00B66DD3" w:rsidRPr="007E3047">
        <w:rPr>
          <w:rStyle w:val="FootnoteReference"/>
          <w:rFonts w:ascii="Times New Roman" w:eastAsia="Times New Roman" w:hAnsi="Times New Roman"/>
          <w:sz w:val="24"/>
          <w:szCs w:val="24"/>
        </w:rPr>
        <w:footnoteReference w:id="3"/>
      </w:r>
      <w:r w:rsidR="002B583C" w:rsidRPr="007E3047">
        <w:rPr>
          <w:rFonts w:ascii="Times New Roman" w:eastAsia="Times New Roman" w:hAnsi="Times New Roman"/>
          <w:sz w:val="24"/>
          <w:szCs w:val="24"/>
        </w:rPr>
        <w:t xml:space="preserve">, </w:t>
      </w:r>
      <w:r w:rsidR="00A4385B" w:rsidRPr="007E3047">
        <w:rPr>
          <w:rFonts w:ascii="Times New Roman" w:eastAsia="Times New Roman" w:hAnsi="Times New Roman"/>
          <w:sz w:val="24"/>
          <w:szCs w:val="24"/>
        </w:rPr>
        <w:t>observando</w:t>
      </w:r>
      <w:r w:rsidR="002B583C" w:rsidRPr="007E3047">
        <w:rPr>
          <w:rFonts w:ascii="Times New Roman" w:eastAsia="Times New Roman" w:hAnsi="Times New Roman"/>
          <w:sz w:val="24"/>
          <w:szCs w:val="24"/>
        </w:rPr>
        <w:t xml:space="preserve"> que</w:t>
      </w:r>
      <w:r w:rsidRPr="007E3047">
        <w:rPr>
          <w:rFonts w:ascii="Times New Roman" w:eastAsia="Times New Roman" w:hAnsi="Times New Roman"/>
          <w:sz w:val="24"/>
          <w:szCs w:val="24"/>
        </w:rPr>
        <w:t xml:space="preserve"> este poder não é ilimitado, </w:t>
      </w:r>
      <w:r w:rsidR="00A4385B" w:rsidRPr="007E3047">
        <w:rPr>
          <w:rFonts w:ascii="Times New Roman" w:eastAsia="Times New Roman" w:hAnsi="Times New Roman"/>
          <w:sz w:val="24"/>
          <w:szCs w:val="24"/>
        </w:rPr>
        <w:t>devendo</w:t>
      </w:r>
      <w:r w:rsidR="002B583C"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estar em conformidade com os direitos </w:t>
      </w:r>
      <w:r w:rsidR="00A4385B" w:rsidRPr="007E3047">
        <w:rPr>
          <w:rFonts w:ascii="Times New Roman" w:eastAsia="Times New Roman" w:hAnsi="Times New Roman"/>
          <w:sz w:val="24"/>
          <w:szCs w:val="24"/>
        </w:rPr>
        <w:t>humanos</w:t>
      </w:r>
      <w:r w:rsidRPr="007E3047">
        <w:rPr>
          <w:rFonts w:ascii="Times New Roman" w:eastAsia="Times New Roman" w:hAnsi="Times New Roman"/>
          <w:sz w:val="24"/>
          <w:szCs w:val="24"/>
        </w:rPr>
        <w:t xml:space="preserve"> de todos os indivíduos</w:t>
      </w:r>
      <w:r w:rsidRPr="007E3047">
        <w:rPr>
          <w:rStyle w:val="FootnoteReference"/>
          <w:rFonts w:ascii="Times New Roman" w:hAnsi="Times New Roman"/>
          <w:sz w:val="24"/>
          <w:szCs w:val="24"/>
        </w:rPr>
        <w:footnoteReference w:id="4"/>
      </w:r>
      <w:r w:rsidRPr="007E3047">
        <w:rPr>
          <w:rFonts w:ascii="Times New Roman" w:eastAsia="Times New Roman" w:hAnsi="Times New Roman"/>
          <w:sz w:val="24"/>
          <w:szCs w:val="24"/>
        </w:rPr>
        <w:t xml:space="preserve">. </w:t>
      </w:r>
    </w:p>
    <w:p w:rsidR="007F0068" w:rsidRPr="007E3047" w:rsidRDefault="002B583C"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Neste contexto</w:t>
      </w:r>
      <w:r w:rsidR="007F0068" w:rsidRPr="007E3047">
        <w:rPr>
          <w:rFonts w:ascii="Times New Roman" w:eastAsia="Times New Roman" w:hAnsi="Times New Roman"/>
          <w:sz w:val="24"/>
          <w:szCs w:val="24"/>
        </w:rPr>
        <w:t>,</w:t>
      </w:r>
      <w:r w:rsidR="00A4385B" w:rsidRPr="007E3047">
        <w:rPr>
          <w:rFonts w:ascii="Times New Roman" w:eastAsia="Times New Roman" w:hAnsi="Times New Roman"/>
          <w:sz w:val="24"/>
          <w:szCs w:val="24"/>
        </w:rPr>
        <w:t xml:space="preserve"> o Estado vem demandar perante a</w:t>
      </w:r>
      <w:r w:rsidR="007F0068" w:rsidRPr="007E3047">
        <w:rPr>
          <w:rFonts w:ascii="Times New Roman" w:eastAsia="Times New Roman" w:hAnsi="Times New Roman"/>
          <w:sz w:val="24"/>
          <w:szCs w:val="24"/>
        </w:rPr>
        <w:t xml:space="preserve"> Corte</w:t>
      </w:r>
      <w:r w:rsidR="0088545A" w:rsidRPr="007E3047">
        <w:rPr>
          <w:rFonts w:ascii="Times New Roman" w:eastAsia="Times New Roman" w:hAnsi="Times New Roman"/>
          <w:sz w:val="24"/>
          <w:szCs w:val="24"/>
        </w:rPr>
        <w:t xml:space="preserve"> IDH</w:t>
      </w:r>
      <w:r w:rsidR="007F0068" w:rsidRPr="007E3047">
        <w:rPr>
          <w:rFonts w:ascii="Times New Roman" w:eastAsia="Times New Roman" w:hAnsi="Times New Roman"/>
          <w:sz w:val="24"/>
          <w:szCs w:val="24"/>
        </w:rPr>
        <w:t xml:space="preserve"> a fim de manter a ordem pública, usando recursos que estão em completa compatibilidade com as obrigações contraí</w:t>
      </w:r>
      <w:r w:rsidR="00E93F61" w:rsidRPr="007E3047">
        <w:rPr>
          <w:rFonts w:ascii="Times New Roman" w:eastAsia="Times New Roman" w:hAnsi="Times New Roman"/>
          <w:sz w:val="24"/>
          <w:szCs w:val="24"/>
        </w:rPr>
        <w:t>das quando ratificou a CADH</w:t>
      </w:r>
      <w:r w:rsidR="007F0068" w:rsidRPr="007E3047">
        <w:rPr>
          <w:rFonts w:ascii="Times New Roman" w:eastAsia="Times New Roman" w:hAnsi="Times New Roman"/>
          <w:sz w:val="24"/>
          <w:szCs w:val="24"/>
        </w:rPr>
        <w:t xml:space="preserve"> e, apesar de configurar no polo ativo da demanda, é cabível o mesmo arguir exceções preliminares, expondo todos os seus argumentos e resguardando, assim, o seu direito de defesa.</w:t>
      </w:r>
    </w:p>
    <w:p w:rsidR="00416FDA" w:rsidRPr="007E3047" w:rsidRDefault="007F0068" w:rsidP="00416FDA">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5.1 Do não esgotamento dos recursos internos</w:t>
      </w:r>
    </w:p>
    <w:p w:rsidR="007F0068" w:rsidRPr="007E3047" w:rsidRDefault="007F0068" w:rsidP="007702D7">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O art. 46.1 </w:t>
      </w:r>
      <w:r w:rsidR="00A633D8" w:rsidRPr="007E3047">
        <w:rPr>
          <w:rFonts w:ascii="Times New Roman" w:eastAsia="Times New Roman" w:hAnsi="Times New Roman"/>
          <w:sz w:val="24"/>
          <w:szCs w:val="24"/>
        </w:rPr>
        <w:t>da CADH</w:t>
      </w:r>
      <w:r w:rsidRPr="007E3047">
        <w:rPr>
          <w:rFonts w:ascii="Times New Roman" w:eastAsia="Times New Roman" w:hAnsi="Times New Roman"/>
          <w:sz w:val="24"/>
          <w:szCs w:val="24"/>
        </w:rPr>
        <w:t xml:space="preserve">, bem como o art. 31 do Regulamento da </w:t>
      </w:r>
      <w:r w:rsidR="001D7395" w:rsidRPr="007E3047">
        <w:rPr>
          <w:rFonts w:ascii="Times New Roman" w:eastAsia="Times New Roman" w:hAnsi="Times New Roman"/>
          <w:sz w:val="24"/>
          <w:szCs w:val="24"/>
        </w:rPr>
        <w:t>CIDH</w:t>
      </w:r>
      <w:r w:rsidRPr="007E3047">
        <w:rPr>
          <w:rFonts w:ascii="Times New Roman" w:eastAsia="Times New Roman" w:hAnsi="Times New Roman"/>
          <w:sz w:val="24"/>
          <w:szCs w:val="24"/>
        </w:rPr>
        <w:t xml:space="preserve"> determinam como requisito para o conh</w:t>
      </w:r>
      <w:r w:rsidR="001B0FEE" w:rsidRPr="007E3047">
        <w:rPr>
          <w:rFonts w:ascii="Times New Roman" w:eastAsia="Times New Roman" w:hAnsi="Times New Roman"/>
          <w:sz w:val="24"/>
          <w:szCs w:val="24"/>
        </w:rPr>
        <w:t>ecimento da petição das vítimas</w:t>
      </w:r>
      <w:r w:rsidRPr="007E3047">
        <w:rPr>
          <w:rFonts w:ascii="Times New Roman" w:eastAsia="Times New Roman" w:hAnsi="Times New Roman"/>
          <w:sz w:val="24"/>
          <w:szCs w:val="24"/>
        </w:rPr>
        <w:t xml:space="preserve"> que todos os recursos jurisdicionais internos do Estado tenham sido esgotados.</w:t>
      </w:r>
    </w:p>
    <w:p w:rsidR="007F0068" w:rsidRPr="007E3047" w:rsidRDefault="007F0068"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Os mecanismos dos sistemas internacionais de proteção dos direitos humanos são subsidiários aos mecanismos do direito interno, só podendo ser acionados quando estes forem ineficazes, inadequados ou não existirem</w:t>
      </w:r>
      <w:r w:rsidRPr="007E3047">
        <w:rPr>
          <w:rStyle w:val="FootnoteReference"/>
          <w:rFonts w:ascii="Times New Roman" w:hAnsi="Times New Roman"/>
          <w:sz w:val="24"/>
          <w:szCs w:val="24"/>
        </w:rPr>
        <w:footnoteReference w:id="5"/>
      </w:r>
      <w:r w:rsidRPr="007E3047">
        <w:rPr>
          <w:rFonts w:ascii="Times New Roman" w:eastAsia="Times New Roman" w:hAnsi="Times New Roman"/>
          <w:sz w:val="24"/>
          <w:szCs w:val="24"/>
        </w:rPr>
        <w:t xml:space="preserve">. </w:t>
      </w:r>
      <w:r w:rsidR="002B583C" w:rsidRPr="007E3047">
        <w:rPr>
          <w:rFonts w:ascii="Times New Roman" w:eastAsia="Times New Roman" w:hAnsi="Times New Roman"/>
          <w:sz w:val="24"/>
          <w:szCs w:val="24"/>
        </w:rPr>
        <w:t xml:space="preserve">Esta </w:t>
      </w:r>
      <w:r w:rsidRPr="007E3047">
        <w:rPr>
          <w:rFonts w:ascii="Times New Roman" w:eastAsia="Times New Roman" w:hAnsi="Times New Roman"/>
          <w:sz w:val="24"/>
          <w:szCs w:val="24"/>
        </w:rPr>
        <w:t xml:space="preserve">regra oportuniza ao Estado reparar a questão </w:t>
      </w:r>
      <w:r w:rsidR="0075273D" w:rsidRPr="007E3047">
        <w:rPr>
          <w:rFonts w:ascii="Times New Roman" w:eastAsia="Times New Roman" w:hAnsi="Times New Roman"/>
          <w:sz w:val="24"/>
          <w:szCs w:val="24"/>
        </w:rPr>
        <w:t>por meio</w:t>
      </w:r>
      <w:r w:rsidRPr="007E3047">
        <w:rPr>
          <w:rFonts w:ascii="Times New Roman" w:eastAsia="Times New Roman" w:hAnsi="Times New Roman"/>
          <w:sz w:val="24"/>
          <w:szCs w:val="24"/>
        </w:rPr>
        <w:t xml:space="preserve"> do seu ordenamento doméstico e impede que os sistemas internacionais sejam provocados sem </w:t>
      </w:r>
      <w:r w:rsidR="0075273D" w:rsidRPr="007E3047">
        <w:rPr>
          <w:rFonts w:ascii="Times New Roman" w:eastAsia="Times New Roman" w:hAnsi="Times New Roman"/>
          <w:sz w:val="24"/>
          <w:szCs w:val="24"/>
        </w:rPr>
        <w:t>motivo justificável</w:t>
      </w:r>
      <w:r w:rsidRPr="007E3047">
        <w:rPr>
          <w:rStyle w:val="FootnoteReference"/>
          <w:rFonts w:ascii="Times New Roman" w:hAnsi="Times New Roman"/>
          <w:sz w:val="24"/>
          <w:szCs w:val="24"/>
        </w:rPr>
        <w:footnoteReference w:id="6"/>
      </w:r>
      <w:r w:rsidRPr="007E3047">
        <w:rPr>
          <w:rFonts w:ascii="Times New Roman" w:eastAsia="Times New Roman" w:hAnsi="Times New Roman"/>
          <w:sz w:val="24"/>
          <w:szCs w:val="24"/>
        </w:rPr>
        <w:t>, visto que</w:t>
      </w:r>
      <w:r w:rsidR="00013CB9"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enquanto houver meios para resolução no âmbito interno, inexiste responsabilidade internacional dos Estados. </w:t>
      </w:r>
    </w:p>
    <w:p w:rsidR="007F0068" w:rsidRPr="007E3047" w:rsidRDefault="007F0068"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No presente caso,</w:t>
      </w:r>
      <w:r w:rsidR="00582789" w:rsidRPr="007E3047">
        <w:rPr>
          <w:rFonts w:ascii="Times New Roman" w:eastAsia="Times New Roman" w:hAnsi="Times New Roman"/>
          <w:sz w:val="24"/>
          <w:szCs w:val="24"/>
        </w:rPr>
        <w:t xml:space="preserve"> </w:t>
      </w:r>
      <w:r w:rsidR="00B97CE6" w:rsidRPr="007E3047">
        <w:rPr>
          <w:rFonts w:ascii="Times New Roman" w:eastAsia="Times New Roman" w:hAnsi="Times New Roman"/>
          <w:sz w:val="24"/>
          <w:szCs w:val="24"/>
        </w:rPr>
        <w:t>Annika Bolt,</w:t>
      </w:r>
      <w:r w:rsidRPr="007E3047">
        <w:rPr>
          <w:rFonts w:ascii="Times New Roman" w:eastAsia="Times New Roman" w:hAnsi="Times New Roman"/>
          <w:sz w:val="24"/>
          <w:szCs w:val="24"/>
        </w:rPr>
        <w:t xml:space="preserve"> Lupita Lopez, Emily e Maximiliano Rossi alegaram </w:t>
      </w:r>
      <w:r w:rsidR="0075273D" w:rsidRPr="007E3047">
        <w:rPr>
          <w:rFonts w:ascii="Times New Roman" w:eastAsia="Times New Roman" w:hAnsi="Times New Roman"/>
          <w:sz w:val="24"/>
          <w:szCs w:val="24"/>
        </w:rPr>
        <w:t>à CIDH</w:t>
      </w:r>
      <w:r w:rsidRPr="007E3047">
        <w:rPr>
          <w:rFonts w:ascii="Times New Roman" w:eastAsia="Times New Roman" w:hAnsi="Times New Roman"/>
          <w:sz w:val="24"/>
          <w:szCs w:val="24"/>
        </w:rPr>
        <w:t xml:space="preserve"> que não haviam recebido a devida reparação do Estado pelos danos que sofreram. </w:t>
      </w:r>
    </w:p>
    <w:p w:rsidR="002A3146" w:rsidRPr="007E3047" w:rsidRDefault="00263AA9"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Annika Bolt recebeu indenizaç</w:t>
      </w:r>
      <w:r w:rsidR="00385DFF" w:rsidRPr="007E3047">
        <w:rPr>
          <w:rFonts w:ascii="Times New Roman" w:eastAsia="Times New Roman" w:hAnsi="Times New Roman"/>
          <w:sz w:val="24"/>
          <w:szCs w:val="24"/>
        </w:rPr>
        <w:t xml:space="preserve">ão no valor de US$20.000, como </w:t>
      </w:r>
      <w:r w:rsidRPr="007E3047">
        <w:rPr>
          <w:rFonts w:ascii="Times New Roman" w:eastAsia="Times New Roman" w:hAnsi="Times New Roman"/>
          <w:sz w:val="24"/>
          <w:szCs w:val="24"/>
        </w:rPr>
        <w:t>beneficiária de Ricardo Bolt. Inconformada, apresentou uma demanda contenciosa-administrativa contra o Estado, a qual, após análise</w:t>
      </w:r>
      <w:r w:rsidR="00C46399"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o Conselho de Estado</w:t>
      </w:r>
      <w:r w:rsidR="00C46399"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rejeitou.</w:t>
      </w:r>
      <w:r w:rsidR="00DC5A45" w:rsidRPr="007E3047">
        <w:rPr>
          <w:rFonts w:ascii="Times New Roman" w:eastAsia="Times New Roman" w:hAnsi="Times New Roman"/>
          <w:sz w:val="24"/>
          <w:szCs w:val="24"/>
        </w:rPr>
        <w:t xml:space="preserve"> Após a emissão do relatório da Comissão da Verdade</w:t>
      </w:r>
      <w:r w:rsidR="00C46399" w:rsidRPr="007E3047">
        <w:rPr>
          <w:rFonts w:ascii="Times New Roman" w:eastAsia="Times New Roman" w:hAnsi="Times New Roman"/>
          <w:sz w:val="24"/>
          <w:szCs w:val="24"/>
        </w:rPr>
        <w:t xml:space="preserve"> e Esclarecimento</w:t>
      </w:r>
      <w:r w:rsidR="00DC5A45" w:rsidRPr="007E3047">
        <w:rPr>
          <w:rFonts w:ascii="Times New Roman" w:eastAsia="Times New Roman" w:hAnsi="Times New Roman"/>
          <w:sz w:val="24"/>
          <w:szCs w:val="24"/>
        </w:rPr>
        <w:t xml:space="preserve">, </w:t>
      </w:r>
      <w:r w:rsidR="00A85DCE" w:rsidRPr="007E3047">
        <w:rPr>
          <w:rFonts w:ascii="Times New Roman" w:eastAsia="Times New Roman" w:hAnsi="Times New Roman"/>
          <w:sz w:val="24"/>
          <w:szCs w:val="24"/>
        </w:rPr>
        <w:t xml:space="preserve">Annika Bolt </w:t>
      </w:r>
      <w:r w:rsidR="0041503C" w:rsidRPr="007E3047">
        <w:rPr>
          <w:rFonts w:ascii="Times New Roman" w:eastAsia="Times New Roman" w:hAnsi="Times New Roman"/>
          <w:sz w:val="24"/>
          <w:szCs w:val="24"/>
        </w:rPr>
        <w:t xml:space="preserve">interpôs </w:t>
      </w:r>
      <w:r w:rsidR="00A85DCE" w:rsidRPr="007E3047">
        <w:rPr>
          <w:rFonts w:ascii="Times New Roman" w:eastAsia="Times New Roman" w:hAnsi="Times New Roman"/>
          <w:sz w:val="24"/>
          <w:szCs w:val="24"/>
        </w:rPr>
        <w:t>recurso de revis</w:t>
      </w:r>
      <w:r w:rsidR="0041503C" w:rsidRPr="007E3047">
        <w:rPr>
          <w:rFonts w:ascii="Times New Roman" w:eastAsia="Times New Roman" w:hAnsi="Times New Roman"/>
          <w:sz w:val="24"/>
          <w:szCs w:val="24"/>
        </w:rPr>
        <w:t>ão, o qual</w:t>
      </w:r>
      <w:r w:rsidR="00A85DCE" w:rsidRPr="007E3047">
        <w:rPr>
          <w:rFonts w:ascii="Times New Roman" w:eastAsia="Times New Roman" w:hAnsi="Times New Roman"/>
          <w:sz w:val="24"/>
          <w:szCs w:val="24"/>
        </w:rPr>
        <w:t xml:space="preserve"> foi deferi</w:t>
      </w:r>
      <w:r w:rsidR="0075273D" w:rsidRPr="007E3047">
        <w:rPr>
          <w:rFonts w:ascii="Times New Roman" w:eastAsia="Times New Roman" w:hAnsi="Times New Roman"/>
          <w:sz w:val="24"/>
          <w:szCs w:val="24"/>
        </w:rPr>
        <w:t xml:space="preserve">do, </w:t>
      </w:r>
      <w:r w:rsidR="0075273D" w:rsidRPr="007E3047">
        <w:rPr>
          <w:rFonts w:ascii="Times New Roman" w:eastAsia="Times New Roman" w:hAnsi="Times New Roman"/>
          <w:sz w:val="24"/>
          <w:szCs w:val="24"/>
        </w:rPr>
        <w:lastRenderedPageBreak/>
        <w:t>majorando sua indenização para</w:t>
      </w:r>
      <w:r w:rsidR="00A85DCE" w:rsidRPr="007E3047">
        <w:rPr>
          <w:rFonts w:ascii="Times New Roman" w:eastAsia="Times New Roman" w:hAnsi="Times New Roman"/>
          <w:sz w:val="24"/>
          <w:szCs w:val="24"/>
        </w:rPr>
        <w:t xml:space="preserve"> </w:t>
      </w:r>
      <w:r w:rsidR="00914810" w:rsidRPr="007E3047">
        <w:rPr>
          <w:rFonts w:ascii="Times New Roman" w:eastAsia="Times New Roman" w:hAnsi="Times New Roman"/>
          <w:sz w:val="24"/>
          <w:szCs w:val="24"/>
        </w:rPr>
        <w:t>US$</w:t>
      </w:r>
      <w:r w:rsidR="0075273D" w:rsidRPr="007E3047">
        <w:rPr>
          <w:rFonts w:ascii="Times New Roman" w:eastAsia="Times New Roman" w:hAnsi="Times New Roman"/>
          <w:sz w:val="24"/>
          <w:szCs w:val="24"/>
        </w:rPr>
        <w:t>3</w:t>
      </w:r>
      <w:r w:rsidR="00A85DCE" w:rsidRPr="007E3047">
        <w:rPr>
          <w:rFonts w:ascii="Times New Roman" w:eastAsia="Times New Roman" w:hAnsi="Times New Roman"/>
          <w:sz w:val="24"/>
          <w:szCs w:val="24"/>
        </w:rPr>
        <w:t xml:space="preserve">0.000. </w:t>
      </w:r>
      <w:r w:rsidR="00D5419F" w:rsidRPr="007E3047">
        <w:rPr>
          <w:rFonts w:ascii="Times New Roman" w:eastAsia="Times New Roman" w:hAnsi="Times New Roman"/>
          <w:sz w:val="24"/>
          <w:szCs w:val="24"/>
        </w:rPr>
        <w:t>Considerando que a indenização foi recebida por via administrativa</w:t>
      </w:r>
      <w:r w:rsidR="00F038E7" w:rsidRPr="007E3047">
        <w:rPr>
          <w:rFonts w:ascii="Times New Roman" w:eastAsia="Times New Roman" w:hAnsi="Times New Roman"/>
          <w:sz w:val="24"/>
          <w:szCs w:val="24"/>
        </w:rPr>
        <w:t xml:space="preserve">, </w:t>
      </w:r>
      <w:r w:rsidR="0065366B" w:rsidRPr="007E3047">
        <w:rPr>
          <w:rFonts w:ascii="Times New Roman" w:eastAsia="Times New Roman" w:hAnsi="Times New Roman"/>
          <w:sz w:val="24"/>
          <w:szCs w:val="24"/>
        </w:rPr>
        <w:t>Annika Bolt não estaria impedida de apresentar demanda de reparação por via judicial contra o Est</w:t>
      </w:r>
      <w:r w:rsidR="00E42A15" w:rsidRPr="007E3047">
        <w:rPr>
          <w:rFonts w:ascii="Times New Roman" w:eastAsia="Times New Roman" w:hAnsi="Times New Roman"/>
          <w:sz w:val="24"/>
          <w:szCs w:val="24"/>
        </w:rPr>
        <w:t>ado ou aquele que considera</w:t>
      </w:r>
      <w:r w:rsidR="0065366B" w:rsidRPr="007E3047">
        <w:rPr>
          <w:rFonts w:ascii="Times New Roman" w:eastAsia="Times New Roman" w:hAnsi="Times New Roman"/>
          <w:sz w:val="24"/>
          <w:szCs w:val="24"/>
        </w:rPr>
        <w:t xml:space="preserve"> causador do dano</w:t>
      </w:r>
      <w:r w:rsidR="002815A1" w:rsidRPr="007E3047">
        <w:rPr>
          <w:rStyle w:val="FootnoteReference"/>
          <w:rFonts w:ascii="Times New Roman" w:eastAsia="Times New Roman" w:hAnsi="Times New Roman"/>
          <w:sz w:val="24"/>
          <w:szCs w:val="24"/>
        </w:rPr>
        <w:footnoteReference w:id="7"/>
      </w:r>
      <w:r w:rsidR="0065366B" w:rsidRPr="007E3047">
        <w:rPr>
          <w:rFonts w:ascii="Times New Roman" w:eastAsia="Times New Roman" w:hAnsi="Times New Roman"/>
          <w:sz w:val="24"/>
          <w:szCs w:val="24"/>
        </w:rPr>
        <w:t>.</w:t>
      </w:r>
    </w:p>
    <w:p w:rsidR="00AC2B29" w:rsidRPr="007E3047" w:rsidRDefault="00A1605A"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Lupita Ló</w:t>
      </w:r>
      <w:r w:rsidR="007F0068" w:rsidRPr="007E3047">
        <w:rPr>
          <w:rFonts w:ascii="Times New Roman" w:eastAsia="Times New Roman" w:hAnsi="Times New Roman"/>
          <w:sz w:val="24"/>
          <w:szCs w:val="24"/>
        </w:rPr>
        <w:t xml:space="preserve">pez, após receber indenização por via administrativa, poderia ter ingressado com uma ação </w:t>
      </w:r>
      <w:r w:rsidR="000B263E" w:rsidRPr="007E3047">
        <w:rPr>
          <w:rFonts w:ascii="Times New Roman" w:eastAsia="Times New Roman" w:hAnsi="Times New Roman"/>
          <w:sz w:val="24"/>
          <w:szCs w:val="24"/>
        </w:rPr>
        <w:t>para reclamar o valor que entendia devido</w:t>
      </w:r>
      <w:r w:rsidR="007F0068" w:rsidRPr="007E3047">
        <w:rPr>
          <w:rFonts w:ascii="Times New Roman" w:eastAsia="Times New Roman" w:hAnsi="Times New Roman"/>
          <w:sz w:val="24"/>
          <w:szCs w:val="24"/>
        </w:rPr>
        <w:t>, contudo deixou de utilizar este instituto.</w:t>
      </w:r>
    </w:p>
    <w:p w:rsidR="007F0068" w:rsidRPr="007E3047" w:rsidRDefault="007F0068"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Emily e Maximiliano Rossi, após receberem a indenização administrativamente, optaram por fazer uso da “cláusula de transação”. Caso os peticionários entendessem que a indenização concedida não fosse justa, poderiam solicitar a sua majoração pela via judicial, sem abrir mão da quantia já recebida. Ressalta-se que a decisão de utilizar ou não a “cláusula de transação” cabe exclusivamente às vítimas e que, como já é informado às mesmas, a soma adicional provida pelo respectivo instituto não é paga monetariamente, mas sim através de crédito educativo, subsídio para compra de moradia, entre outros benefícios </w:t>
      </w:r>
      <w:r w:rsidRPr="007E3047">
        <w:rPr>
          <w:rStyle w:val="FootnoteReference"/>
          <w:rFonts w:ascii="Times New Roman" w:hAnsi="Times New Roman"/>
          <w:sz w:val="24"/>
          <w:szCs w:val="24"/>
        </w:rPr>
        <w:footnoteReference w:id="8"/>
      </w:r>
      <w:r w:rsidRPr="007E3047">
        <w:rPr>
          <w:rFonts w:ascii="Times New Roman" w:eastAsia="Times New Roman" w:hAnsi="Times New Roman"/>
          <w:sz w:val="24"/>
          <w:szCs w:val="24"/>
        </w:rPr>
        <w:t xml:space="preserve">. </w:t>
      </w:r>
    </w:p>
    <w:p w:rsidR="00B4584E" w:rsidRPr="007E3047" w:rsidRDefault="007F0068" w:rsidP="008241DA">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Deste modo, verifica-se que as vítimas não exauriram todos os mecanismos internos para a satisfação de suas pretensões em relação à revisão das indenizações concedidas pelo Estado.</w:t>
      </w:r>
    </w:p>
    <w:p w:rsidR="00E57ED1" w:rsidRPr="007E3047" w:rsidRDefault="006F5A2A" w:rsidP="00E57ED1">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5.2</w:t>
      </w:r>
      <w:r w:rsidR="00E57ED1" w:rsidRPr="007E3047">
        <w:rPr>
          <w:rFonts w:ascii="Times New Roman" w:eastAsia="Times New Roman" w:hAnsi="Times New Roman"/>
          <w:b/>
          <w:sz w:val="24"/>
          <w:szCs w:val="24"/>
        </w:rPr>
        <w:t xml:space="preserve"> Da </w:t>
      </w:r>
      <w:r w:rsidR="007702D7" w:rsidRPr="007E3047">
        <w:rPr>
          <w:rFonts w:ascii="Times New Roman" w:eastAsia="Times New Roman" w:hAnsi="Times New Roman"/>
          <w:b/>
          <w:sz w:val="24"/>
          <w:szCs w:val="24"/>
        </w:rPr>
        <w:t>e</w:t>
      </w:r>
      <w:r w:rsidR="003C1E15" w:rsidRPr="007E3047">
        <w:rPr>
          <w:rFonts w:ascii="Times New Roman" w:eastAsia="Times New Roman" w:hAnsi="Times New Roman"/>
          <w:b/>
          <w:sz w:val="24"/>
          <w:szCs w:val="24"/>
        </w:rPr>
        <w:t>ficácia</w:t>
      </w:r>
      <w:r w:rsidR="00E57ED1" w:rsidRPr="007E3047">
        <w:rPr>
          <w:rFonts w:ascii="Times New Roman" w:eastAsia="Times New Roman" w:hAnsi="Times New Roman"/>
          <w:b/>
          <w:sz w:val="24"/>
          <w:szCs w:val="24"/>
        </w:rPr>
        <w:t xml:space="preserve"> dos recursos internos</w:t>
      </w:r>
    </w:p>
    <w:p w:rsidR="000C4232" w:rsidRPr="007E3047" w:rsidRDefault="007F789B"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Passado o período de conflito, Cardenal buscou apurar os fatos ocorridos e a responsabilização dos violadores de direitos.</w:t>
      </w:r>
    </w:p>
    <w:p w:rsidR="002C736E" w:rsidRPr="007E3047" w:rsidRDefault="001824CB"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 Estado</w:t>
      </w:r>
      <w:r w:rsidR="002C736E" w:rsidRPr="007E3047">
        <w:rPr>
          <w:rFonts w:ascii="Times New Roman" w:eastAsia="Times New Roman" w:hAnsi="Times New Roman"/>
          <w:sz w:val="24"/>
          <w:szCs w:val="24"/>
        </w:rPr>
        <w:t xml:space="preserve"> por ser signatári</w:t>
      </w:r>
      <w:r w:rsidRPr="007E3047">
        <w:rPr>
          <w:rFonts w:ascii="Times New Roman" w:eastAsia="Times New Roman" w:hAnsi="Times New Roman"/>
          <w:sz w:val="24"/>
          <w:szCs w:val="24"/>
        </w:rPr>
        <w:t>o</w:t>
      </w:r>
      <w:r w:rsidR="002C736E" w:rsidRPr="007E3047">
        <w:rPr>
          <w:rFonts w:ascii="Times New Roman" w:eastAsia="Times New Roman" w:hAnsi="Times New Roman"/>
          <w:sz w:val="24"/>
          <w:szCs w:val="24"/>
        </w:rPr>
        <w:t xml:space="preserve"> tanto da CADH, quanto do Estatuto de Roma</w:t>
      </w:r>
      <w:r w:rsidR="003C1E15" w:rsidRPr="007E3047">
        <w:rPr>
          <w:rFonts w:ascii="Times New Roman" w:eastAsia="Times New Roman" w:hAnsi="Times New Roman"/>
          <w:sz w:val="24"/>
          <w:szCs w:val="24"/>
        </w:rPr>
        <w:t xml:space="preserve">, tem a possibilidade de </w:t>
      </w:r>
      <w:r w:rsidR="00C51538" w:rsidRPr="007E3047">
        <w:rPr>
          <w:rFonts w:ascii="Times New Roman" w:eastAsia="Times New Roman" w:hAnsi="Times New Roman"/>
          <w:sz w:val="24"/>
          <w:szCs w:val="24"/>
        </w:rPr>
        <w:t>utilizar</w:t>
      </w:r>
      <w:r w:rsidR="003C1E15" w:rsidRPr="007E3047">
        <w:rPr>
          <w:rFonts w:ascii="Times New Roman" w:eastAsia="Times New Roman" w:hAnsi="Times New Roman"/>
          <w:sz w:val="24"/>
          <w:szCs w:val="24"/>
        </w:rPr>
        <w:t>-se</w:t>
      </w:r>
      <w:r w:rsidR="002C736E" w:rsidRPr="007E3047">
        <w:rPr>
          <w:rFonts w:ascii="Times New Roman" w:eastAsia="Times New Roman" w:hAnsi="Times New Roman"/>
          <w:sz w:val="24"/>
          <w:szCs w:val="24"/>
        </w:rPr>
        <w:t xml:space="preserve"> </w:t>
      </w:r>
      <w:r w:rsidR="00C51538" w:rsidRPr="007E3047">
        <w:rPr>
          <w:rFonts w:ascii="Times New Roman" w:eastAsia="Times New Roman" w:hAnsi="Times New Roman"/>
          <w:sz w:val="24"/>
          <w:szCs w:val="24"/>
        </w:rPr>
        <w:t xml:space="preserve">de </w:t>
      </w:r>
      <w:r w:rsidR="002C736E" w:rsidRPr="007E3047">
        <w:rPr>
          <w:rFonts w:ascii="Times New Roman" w:eastAsia="Times New Roman" w:hAnsi="Times New Roman"/>
          <w:sz w:val="24"/>
          <w:szCs w:val="24"/>
        </w:rPr>
        <w:t xml:space="preserve">ambos os instrumentos internacionais para </w:t>
      </w:r>
      <w:r w:rsidR="002A7427" w:rsidRPr="007E3047">
        <w:rPr>
          <w:rFonts w:ascii="Times New Roman" w:eastAsia="Times New Roman" w:hAnsi="Times New Roman"/>
          <w:sz w:val="24"/>
          <w:szCs w:val="24"/>
        </w:rPr>
        <w:t xml:space="preserve">resolução dos acontecimentos </w:t>
      </w:r>
      <w:r w:rsidR="003C1E15" w:rsidRPr="007E3047">
        <w:rPr>
          <w:rFonts w:ascii="Times New Roman" w:eastAsia="Times New Roman" w:hAnsi="Times New Roman"/>
          <w:sz w:val="24"/>
          <w:szCs w:val="24"/>
        </w:rPr>
        <w:t>no</w:t>
      </w:r>
      <w:r w:rsidR="002A7427" w:rsidRPr="007E3047">
        <w:rPr>
          <w:rFonts w:ascii="Times New Roman" w:eastAsia="Times New Roman" w:hAnsi="Times New Roman"/>
          <w:sz w:val="24"/>
          <w:szCs w:val="24"/>
        </w:rPr>
        <w:t xml:space="preserve"> âmbito interno</w:t>
      </w:r>
      <w:r w:rsidR="002C736E" w:rsidRPr="007E3047">
        <w:rPr>
          <w:rFonts w:ascii="Times New Roman" w:eastAsia="Times New Roman" w:hAnsi="Times New Roman"/>
          <w:sz w:val="24"/>
          <w:szCs w:val="24"/>
        </w:rPr>
        <w:t>, tendo em vista a vinculação de tratados internacionais aos países que os ratificam.</w:t>
      </w:r>
    </w:p>
    <w:p w:rsidR="00131F8E" w:rsidRPr="007E3047" w:rsidRDefault="00182E46"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Após vários estudos</w:t>
      </w:r>
      <w:r w:rsidR="003C1E15" w:rsidRPr="007E3047">
        <w:rPr>
          <w:rFonts w:ascii="Times New Roman" w:eastAsia="Times New Roman" w:hAnsi="Times New Roman"/>
          <w:sz w:val="24"/>
          <w:szCs w:val="24"/>
        </w:rPr>
        <w:t xml:space="preserve"> e considerando</w:t>
      </w:r>
      <w:r w:rsidRPr="007E3047">
        <w:rPr>
          <w:rFonts w:ascii="Times New Roman" w:eastAsia="Times New Roman" w:hAnsi="Times New Roman"/>
          <w:sz w:val="24"/>
          <w:szCs w:val="24"/>
        </w:rPr>
        <w:t xml:space="preserve"> as peculiaridades do caso, a busca de uma efetiva apuração, processamento e responsabilização dos acontecimentos</w:t>
      </w:r>
      <w:r w:rsidR="00131F8E" w:rsidRPr="007E3047">
        <w:rPr>
          <w:rFonts w:ascii="Times New Roman" w:eastAsia="Times New Roman" w:hAnsi="Times New Roman"/>
          <w:sz w:val="24"/>
          <w:szCs w:val="24"/>
        </w:rPr>
        <w:t xml:space="preserve"> e</w:t>
      </w:r>
      <w:r w:rsidRPr="007E3047">
        <w:rPr>
          <w:rFonts w:ascii="Times New Roman" w:eastAsia="Times New Roman" w:hAnsi="Times New Roman"/>
          <w:sz w:val="24"/>
          <w:szCs w:val="24"/>
        </w:rPr>
        <w:t xml:space="preserve"> a opção de </w:t>
      </w:r>
      <w:r w:rsidR="00131F8E" w:rsidRPr="007E3047">
        <w:rPr>
          <w:rFonts w:ascii="Times New Roman" w:eastAsia="Times New Roman" w:hAnsi="Times New Roman"/>
          <w:sz w:val="24"/>
          <w:szCs w:val="24"/>
        </w:rPr>
        <w:t xml:space="preserve">se </w:t>
      </w:r>
      <w:r w:rsidRPr="007E3047">
        <w:rPr>
          <w:rFonts w:ascii="Times New Roman" w:eastAsia="Times New Roman" w:hAnsi="Times New Roman"/>
          <w:sz w:val="24"/>
          <w:szCs w:val="24"/>
        </w:rPr>
        <w:t xml:space="preserve">implementar uma Justiça de Transição, </w:t>
      </w:r>
      <w:r w:rsidR="00131F8E" w:rsidRPr="007E3047">
        <w:rPr>
          <w:rFonts w:ascii="Times New Roman" w:eastAsia="Times New Roman" w:hAnsi="Times New Roman"/>
          <w:sz w:val="24"/>
          <w:szCs w:val="24"/>
        </w:rPr>
        <w:t xml:space="preserve">Cardenal </w:t>
      </w:r>
      <w:r w:rsidRPr="007E3047">
        <w:rPr>
          <w:rFonts w:ascii="Times New Roman" w:eastAsia="Times New Roman" w:hAnsi="Times New Roman"/>
          <w:sz w:val="24"/>
          <w:szCs w:val="24"/>
        </w:rPr>
        <w:t xml:space="preserve">resolveu adotar o modelo de processo e julgamento do TPI. </w:t>
      </w:r>
    </w:p>
    <w:p w:rsidR="00182E46" w:rsidRPr="007E3047" w:rsidRDefault="003D4D3C"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Dispõe o art. 8.2.</w:t>
      </w:r>
      <w:r w:rsidR="00182E46" w:rsidRPr="007E3047">
        <w:rPr>
          <w:rFonts w:ascii="Times New Roman" w:eastAsia="Times New Roman" w:hAnsi="Times New Roman"/>
          <w:sz w:val="24"/>
          <w:szCs w:val="24"/>
        </w:rPr>
        <w:t>c), do Estatuto de Roma</w:t>
      </w:r>
      <w:r w:rsidRPr="007E3047">
        <w:rPr>
          <w:rFonts w:ascii="Times New Roman" w:eastAsia="Times New Roman" w:hAnsi="Times New Roman"/>
          <w:sz w:val="24"/>
          <w:szCs w:val="24"/>
        </w:rPr>
        <w:t>,</w:t>
      </w:r>
      <w:r w:rsidR="00182E46" w:rsidRPr="007E3047">
        <w:rPr>
          <w:rFonts w:ascii="Times New Roman" w:eastAsia="Times New Roman" w:hAnsi="Times New Roman"/>
          <w:sz w:val="24"/>
          <w:szCs w:val="24"/>
        </w:rPr>
        <w:t xml:space="preserve"> que o TPI terá competência para processar e julgar </w:t>
      </w:r>
      <w:r w:rsidR="00182E46" w:rsidRPr="007E3047">
        <w:rPr>
          <w:rFonts w:ascii="Times New Roman" w:hAnsi="Times New Roman"/>
          <w:color w:val="000000"/>
          <w:sz w:val="24"/>
          <w:szCs w:val="24"/>
          <w:shd w:val="clear" w:color="auto" w:fill="FFFFFF"/>
        </w:rPr>
        <w:t>conflito armado que não seja de índole internacional, as violações graves do artigo 3</w:t>
      </w:r>
      <w:r w:rsidR="00182E46" w:rsidRPr="007E3047">
        <w:rPr>
          <w:rFonts w:ascii="Times New Roman" w:hAnsi="Times New Roman"/>
          <w:color w:val="000000"/>
          <w:sz w:val="24"/>
          <w:szCs w:val="24"/>
          <w:u w:val="single"/>
          <w:shd w:val="clear" w:color="auto" w:fill="FFFFFF"/>
          <w:vertAlign w:val="superscript"/>
        </w:rPr>
        <w:t>o</w:t>
      </w:r>
      <w:r w:rsidR="00182E46" w:rsidRPr="007E3047">
        <w:rPr>
          <w:rStyle w:val="apple-converted-space"/>
          <w:rFonts w:ascii="Times New Roman" w:hAnsi="Times New Roman"/>
          <w:color w:val="000000"/>
          <w:sz w:val="24"/>
          <w:szCs w:val="24"/>
          <w:shd w:val="clear" w:color="auto" w:fill="FFFFFF"/>
        </w:rPr>
        <w:t> </w:t>
      </w:r>
      <w:r w:rsidR="00182E46" w:rsidRPr="007E3047">
        <w:rPr>
          <w:rFonts w:ascii="Times New Roman" w:hAnsi="Times New Roman"/>
          <w:color w:val="000000"/>
          <w:sz w:val="24"/>
          <w:szCs w:val="24"/>
          <w:shd w:val="clear" w:color="auto" w:fill="FFFFFF"/>
        </w:rPr>
        <w:t>comum às quatro Convenções de Genebra, de 12 de Agosto de 1949, cometidos contra pessoas que não participem diretamente nas hostilidades.</w:t>
      </w:r>
    </w:p>
    <w:p w:rsidR="00182E46" w:rsidRPr="007E3047" w:rsidRDefault="00131F8E" w:rsidP="00131F8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Segundo</w:t>
      </w:r>
      <w:r w:rsidR="00182E46" w:rsidRPr="007E3047">
        <w:rPr>
          <w:rFonts w:ascii="Times New Roman" w:eastAsia="Times New Roman" w:hAnsi="Times New Roman"/>
          <w:sz w:val="24"/>
          <w:szCs w:val="24"/>
        </w:rPr>
        <w:t xml:space="preserve"> o relatório da Comissão da Verdade, o M</w:t>
      </w:r>
      <w:r w:rsidR="003D4D3C" w:rsidRPr="007E3047">
        <w:rPr>
          <w:rFonts w:ascii="Times New Roman" w:eastAsia="Times New Roman" w:hAnsi="Times New Roman"/>
          <w:sz w:val="24"/>
          <w:szCs w:val="24"/>
        </w:rPr>
        <w:t>RLB chegou a contar com 50.000 combatentes</w:t>
      </w:r>
      <w:r w:rsidR="00182E46" w:rsidRPr="007E3047">
        <w:rPr>
          <w:rStyle w:val="FootnoteReference"/>
          <w:rFonts w:ascii="Times New Roman" w:eastAsia="Times New Roman" w:hAnsi="Times New Roman"/>
          <w:sz w:val="24"/>
          <w:szCs w:val="24"/>
        </w:rPr>
        <w:footnoteReference w:id="9"/>
      </w:r>
      <w:r w:rsidR="00182E46" w:rsidRPr="007E3047">
        <w:rPr>
          <w:rFonts w:ascii="Times New Roman" w:eastAsia="Times New Roman" w:hAnsi="Times New Roman"/>
          <w:sz w:val="24"/>
          <w:szCs w:val="24"/>
        </w:rPr>
        <w:t xml:space="preserve"> no final do século XX</w:t>
      </w:r>
      <w:r w:rsidR="003D4D3C"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sendo tal número correspondente a 0,05% da população do país</w:t>
      </w:r>
      <w:r w:rsidR="00182E46"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quantidade esta superior a</w:t>
      </w:r>
      <w:r w:rsidR="00182E46" w:rsidRPr="007E3047">
        <w:rPr>
          <w:rFonts w:ascii="Times New Roman" w:eastAsia="Times New Roman" w:hAnsi="Times New Roman"/>
          <w:sz w:val="24"/>
          <w:szCs w:val="24"/>
        </w:rPr>
        <w:t xml:space="preserve"> de alguns exércitos da </w:t>
      </w:r>
      <w:r w:rsidR="003D4D3C" w:rsidRPr="007E3047">
        <w:rPr>
          <w:rFonts w:ascii="Times New Roman" w:eastAsia="Times New Roman" w:hAnsi="Times New Roman"/>
          <w:sz w:val="24"/>
          <w:szCs w:val="24"/>
        </w:rPr>
        <w:t>América Latina</w:t>
      </w:r>
      <w:r w:rsidR="00182E46" w:rsidRPr="007E3047">
        <w:rPr>
          <w:rStyle w:val="FootnoteReference"/>
          <w:rFonts w:ascii="Times New Roman" w:eastAsia="Times New Roman" w:hAnsi="Times New Roman"/>
          <w:sz w:val="24"/>
          <w:szCs w:val="24"/>
        </w:rPr>
        <w:footnoteReference w:id="10"/>
      </w:r>
      <w:r w:rsidR="00182E46" w:rsidRPr="007E3047">
        <w:rPr>
          <w:rFonts w:ascii="Times New Roman" w:eastAsia="Times New Roman" w:hAnsi="Times New Roman"/>
          <w:sz w:val="24"/>
          <w:szCs w:val="24"/>
        </w:rPr>
        <w:t>.</w:t>
      </w:r>
    </w:p>
    <w:p w:rsidR="00D60D9B" w:rsidRPr="007E3047" w:rsidRDefault="00131F8E" w:rsidP="00D60D9B">
      <w:p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ab/>
        <w:t xml:space="preserve">Embora o Estado encontre-se demandando perante a Corte IDH, tanto ela quanto o TPI resguardam direitos que são de caráter </w:t>
      </w:r>
      <w:r w:rsidRPr="007E3047">
        <w:rPr>
          <w:rFonts w:ascii="Times New Roman" w:eastAsia="Times New Roman" w:hAnsi="Times New Roman"/>
          <w:i/>
          <w:sz w:val="24"/>
          <w:szCs w:val="24"/>
        </w:rPr>
        <w:t>jus cogens</w:t>
      </w:r>
      <w:r w:rsidRPr="007E3047">
        <w:rPr>
          <w:rFonts w:ascii="Times New Roman" w:eastAsia="Times New Roman" w:hAnsi="Times New Roman"/>
          <w:sz w:val="24"/>
          <w:szCs w:val="24"/>
        </w:rPr>
        <w:t xml:space="preserve">, </w:t>
      </w:r>
      <w:r w:rsidR="0073349C" w:rsidRPr="007E3047">
        <w:rPr>
          <w:rFonts w:ascii="Times New Roman" w:eastAsia="Times New Roman" w:hAnsi="Times New Roman"/>
          <w:sz w:val="24"/>
          <w:szCs w:val="24"/>
        </w:rPr>
        <w:t>ou seja, normas imper</w:t>
      </w:r>
      <w:r w:rsidR="00D60D9B" w:rsidRPr="007E3047">
        <w:rPr>
          <w:rFonts w:ascii="Times New Roman" w:eastAsia="Times New Roman" w:hAnsi="Times New Roman"/>
          <w:sz w:val="24"/>
          <w:szCs w:val="24"/>
        </w:rPr>
        <w:t>ativas de Direito Internacional</w:t>
      </w:r>
      <w:r w:rsidR="0073349C" w:rsidRPr="007E3047">
        <w:rPr>
          <w:rFonts w:ascii="Times New Roman" w:eastAsia="Times New Roman" w:hAnsi="Times New Roman"/>
          <w:sz w:val="24"/>
          <w:szCs w:val="24"/>
        </w:rPr>
        <w:t xml:space="preserve"> reconhecidas pela comunidade internacional como hierarquicamente superiores às demais em razão dos direitos que protegem</w:t>
      </w:r>
      <w:r w:rsidR="0073349C" w:rsidRPr="007E3047">
        <w:rPr>
          <w:rStyle w:val="FootnoteReference"/>
          <w:rFonts w:ascii="Times New Roman" w:eastAsia="Times New Roman" w:hAnsi="Times New Roman"/>
          <w:sz w:val="24"/>
          <w:szCs w:val="24"/>
        </w:rPr>
        <w:footnoteReference w:id="11"/>
      </w:r>
      <w:r w:rsidR="00D60D9B" w:rsidRPr="007E3047">
        <w:rPr>
          <w:rFonts w:ascii="Times New Roman" w:eastAsia="Times New Roman" w:hAnsi="Times New Roman"/>
          <w:sz w:val="24"/>
          <w:szCs w:val="24"/>
        </w:rPr>
        <w:t>. Em razão disso, o TPI é</w:t>
      </w:r>
      <w:r w:rsidRPr="007E3047">
        <w:rPr>
          <w:rFonts w:ascii="Times New Roman" w:eastAsia="Times New Roman" w:hAnsi="Times New Roman"/>
          <w:sz w:val="24"/>
          <w:szCs w:val="24"/>
        </w:rPr>
        <w:t xml:space="preserve"> acessado apenas para os delitos de índole </w:t>
      </w:r>
      <w:r w:rsidR="00B96333" w:rsidRPr="007E3047">
        <w:rPr>
          <w:rFonts w:ascii="Times New Roman" w:eastAsia="Times New Roman" w:hAnsi="Times New Roman"/>
          <w:sz w:val="24"/>
          <w:szCs w:val="24"/>
        </w:rPr>
        <w:t xml:space="preserve">bastante </w:t>
      </w:r>
      <w:r w:rsidRPr="007E3047">
        <w:rPr>
          <w:rFonts w:ascii="Times New Roman" w:eastAsia="Times New Roman" w:hAnsi="Times New Roman"/>
          <w:sz w:val="24"/>
          <w:szCs w:val="24"/>
        </w:rPr>
        <w:t xml:space="preserve">grave </w:t>
      </w:r>
      <w:r w:rsidR="00B96333" w:rsidRPr="007E3047">
        <w:rPr>
          <w:rFonts w:ascii="Times New Roman" w:eastAsia="Times New Roman" w:hAnsi="Times New Roman"/>
          <w:sz w:val="24"/>
          <w:szCs w:val="24"/>
        </w:rPr>
        <w:t>previstos no Estatuto de Roma</w:t>
      </w:r>
      <w:r w:rsidRPr="007E3047">
        <w:rPr>
          <w:rStyle w:val="FootnoteReference"/>
          <w:rFonts w:ascii="Times New Roman" w:eastAsia="Times New Roman" w:hAnsi="Times New Roman"/>
          <w:sz w:val="24"/>
          <w:szCs w:val="24"/>
        </w:rPr>
        <w:footnoteReference w:id="12"/>
      </w:r>
      <w:r w:rsidRPr="007E3047">
        <w:rPr>
          <w:rFonts w:ascii="Times New Roman" w:eastAsia="Times New Roman" w:hAnsi="Times New Roman"/>
          <w:sz w:val="24"/>
          <w:szCs w:val="24"/>
        </w:rPr>
        <w:t>.</w:t>
      </w:r>
    </w:p>
    <w:p w:rsidR="0056545F" w:rsidRPr="007E3047" w:rsidRDefault="0056545F" w:rsidP="00D60D9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Da análise dos fatos, verifica-se que violações cometidas durante o período caracterizam-se como violatórias de normas de </w:t>
      </w:r>
      <w:r w:rsidRPr="007E3047">
        <w:rPr>
          <w:rFonts w:ascii="Times New Roman" w:eastAsia="Times New Roman" w:hAnsi="Times New Roman"/>
          <w:i/>
          <w:sz w:val="24"/>
          <w:szCs w:val="24"/>
        </w:rPr>
        <w:t>jus cogens</w:t>
      </w:r>
      <w:r w:rsidRPr="007E3047">
        <w:rPr>
          <w:rFonts w:ascii="Times New Roman" w:eastAsia="Times New Roman" w:hAnsi="Times New Roman"/>
          <w:sz w:val="24"/>
          <w:szCs w:val="24"/>
        </w:rPr>
        <w:t>, motivo pelo qual a opção de processamento dos máximos responsáveis pelos crimes, forma adotada pelo TPI, apresenta-se como absolutamente possível</w:t>
      </w:r>
      <w:r w:rsidR="001B4B50" w:rsidRPr="007E3047">
        <w:rPr>
          <w:rStyle w:val="FootnoteReference"/>
          <w:rFonts w:ascii="Times New Roman" w:eastAsia="Times New Roman" w:hAnsi="Times New Roman"/>
          <w:sz w:val="24"/>
          <w:szCs w:val="24"/>
        </w:rPr>
        <w:footnoteReference w:id="13"/>
      </w:r>
      <w:r w:rsidRPr="007E3047">
        <w:rPr>
          <w:rFonts w:ascii="Times New Roman" w:eastAsia="Times New Roman" w:hAnsi="Times New Roman"/>
          <w:sz w:val="24"/>
          <w:szCs w:val="24"/>
        </w:rPr>
        <w:t>.</w:t>
      </w:r>
    </w:p>
    <w:p w:rsidR="003F3284" w:rsidRPr="007E3047" w:rsidRDefault="003F3284" w:rsidP="007F789B">
      <w:p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ab/>
        <w:t>Há precedentes internacionais</w:t>
      </w:r>
      <w:r w:rsidR="0073349C" w:rsidRPr="007E3047">
        <w:rPr>
          <w:rStyle w:val="FootnoteReference"/>
          <w:rFonts w:ascii="Times New Roman" w:eastAsia="Times New Roman" w:hAnsi="Times New Roman"/>
          <w:sz w:val="24"/>
          <w:szCs w:val="24"/>
        </w:rPr>
        <w:footnoteReference w:id="14"/>
      </w:r>
      <w:r w:rsidRPr="007E3047">
        <w:rPr>
          <w:rFonts w:ascii="Times New Roman" w:eastAsia="Times New Roman" w:hAnsi="Times New Roman"/>
          <w:sz w:val="24"/>
          <w:szCs w:val="24"/>
        </w:rPr>
        <w:t xml:space="preserve"> no sentido de que o princípio de não se ser privado arbitrariamente do direito à vida se aplica também durante períodos de hostilidade. O exame do que se é uma privação arbitrária à vida, contudo, deve ser determinado por </w:t>
      </w:r>
      <w:r w:rsidRPr="007E3047">
        <w:rPr>
          <w:rFonts w:ascii="Times New Roman" w:eastAsia="Times New Roman" w:hAnsi="Times New Roman"/>
          <w:i/>
          <w:sz w:val="24"/>
          <w:szCs w:val="24"/>
        </w:rPr>
        <w:t>lex specialis</w:t>
      </w:r>
      <w:r w:rsidRPr="007E3047">
        <w:rPr>
          <w:rFonts w:ascii="Times New Roman" w:eastAsia="Times New Roman" w:hAnsi="Times New Roman"/>
          <w:sz w:val="24"/>
          <w:szCs w:val="24"/>
        </w:rPr>
        <w:t xml:space="preserve">, a saber, o direito aplicável em um conflito armado que está designado para regular a conduta durante </w:t>
      </w:r>
      <w:r w:rsidR="0076184A" w:rsidRPr="007E3047">
        <w:rPr>
          <w:rFonts w:ascii="Times New Roman" w:eastAsia="Times New Roman" w:hAnsi="Times New Roman"/>
          <w:sz w:val="24"/>
          <w:szCs w:val="24"/>
        </w:rPr>
        <w:t>o mencionado contexto</w:t>
      </w:r>
      <w:r w:rsidR="0076184A" w:rsidRPr="007E3047">
        <w:rPr>
          <w:rStyle w:val="FootnoteReference"/>
          <w:rFonts w:ascii="Times New Roman" w:eastAsia="Times New Roman" w:hAnsi="Times New Roman"/>
          <w:sz w:val="24"/>
          <w:szCs w:val="24"/>
        </w:rPr>
        <w:footnoteReference w:id="15"/>
      </w:r>
      <w:r w:rsidRPr="007E3047">
        <w:rPr>
          <w:rFonts w:ascii="Times New Roman" w:eastAsia="Times New Roman" w:hAnsi="Times New Roman"/>
          <w:sz w:val="24"/>
          <w:szCs w:val="24"/>
        </w:rPr>
        <w:t>.</w:t>
      </w:r>
    </w:p>
    <w:p w:rsidR="005F2A2B" w:rsidRPr="007E3047" w:rsidRDefault="00BF411D" w:rsidP="005F2A2B">
      <w:pPr>
        <w:spacing w:after="0" w:line="480" w:lineRule="auto"/>
        <w:jc w:val="both"/>
        <w:rPr>
          <w:rFonts w:ascii="Times New Roman" w:eastAsia="Times New Roman" w:hAnsi="Times New Roman"/>
          <w:sz w:val="24"/>
          <w:szCs w:val="24"/>
        </w:rPr>
      </w:pPr>
      <w:r w:rsidRPr="007E3047">
        <w:rPr>
          <w:rFonts w:ascii="Times New Roman" w:eastAsia="Times New Roman" w:hAnsi="Times New Roman"/>
          <w:b/>
          <w:sz w:val="24"/>
          <w:szCs w:val="24"/>
        </w:rPr>
        <w:tab/>
      </w:r>
      <w:r w:rsidR="00876C6D" w:rsidRPr="007E3047">
        <w:rPr>
          <w:rFonts w:ascii="Times New Roman" w:eastAsia="Times New Roman" w:hAnsi="Times New Roman"/>
          <w:sz w:val="24"/>
          <w:szCs w:val="24"/>
        </w:rPr>
        <w:t xml:space="preserve">Vários casos de violações de direitos humanos em </w:t>
      </w:r>
      <w:r w:rsidR="00D2703C" w:rsidRPr="007E3047">
        <w:rPr>
          <w:rFonts w:ascii="Times New Roman" w:eastAsia="Times New Roman" w:hAnsi="Times New Roman"/>
          <w:sz w:val="24"/>
          <w:szCs w:val="24"/>
        </w:rPr>
        <w:t>contexto semelhante</w:t>
      </w:r>
      <w:r w:rsidR="00876C6D" w:rsidRPr="007E3047">
        <w:rPr>
          <w:rFonts w:ascii="Times New Roman" w:eastAsia="Times New Roman" w:hAnsi="Times New Roman"/>
          <w:sz w:val="24"/>
          <w:szCs w:val="24"/>
        </w:rPr>
        <w:t xml:space="preserve"> foram apresentados </w:t>
      </w:r>
      <w:r w:rsidR="0056545F" w:rsidRPr="007E3047">
        <w:rPr>
          <w:rFonts w:ascii="Times New Roman" w:eastAsia="Times New Roman" w:hAnsi="Times New Roman"/>
          <w:sz w:val="24"/>
          <w:szCs w:val="24"/>
        </w:rPr>
        <w:t xml:space="preserve">ao </w:t>
      </w:r>
      <w:r w:rsidR="0078578C" w:rsidRPr="007E3047">
        <w:rPr>
          <w:rFonts w:ascii="Times New Roman" w:eastAsia="Times New Roman" w:hAnsi="Times New Roman"/>
          <w:sz w:val="24"/>
          <w:szCs w:val="24"/>
        </w:rPr>
        <w:t>SIDH</w:t>
      </w:r>
      <w:r w:rsidR="00C96969" w:rsidRPr="007E3047">
        <w:rPr>
          <w:rStyle w:val="FootnoteReference"/>
          <w:rFonts w:ascii="Times New Roman" w:eastAsia="Times New Roman" w:hAnsi="Times New Roman"/>
          <w:sz w:val="24"/>
          <w:szCs w:val="24"/>
        </w:rPr>
        <w:footnoteReference w:id="16"/>
      </w:r>
      <w:r w:rsidR="00C96969" w:rsidRPr="007E3047">
        <w:rPr>
          <w:rFonts w:ascii="Times New Roman" w:eastAsia="Times New Roman" w:hAnsi="Times New Roman"/>
          <w:sz w:val="24"/>
          <w:szCs w:val="24"/>
        </w:rPr>
        <w:t>.</w:t>
      </w:r>
      <w:r w:rsidR="005F2A2B" w:rsidRPr="007E3047">
        <w:rPr>
          <w:rFonts w:ascii="Times New Roman" w:eastAsia="Times New Roman" w:hAnsi="Times New Roman"/>
          <w:sz w:val="24"/>
          <w:szCs w:val="24"/>
        </w:rPr>
        <w:t xml:space="preserve"> </w:t>
      </w:r>
      <w:r w:rsidR="00A52D5F" w:rsidRPr="007E3047">
        <w:rPr>
          <w:rFonts w:ascii="Times New Roman" w:eastAsia="Times New Roman" w:hAnsi="Times New Roman"/>
          <w:sz w:val="24"/>
          <w:szCs w:val="24"/>
        </w:rPr>
        <w:t xml:space="preserve">Contudo, diferente dos </w:t>
      </w:r>
      <w:r w:rsidR="00D2703C" w:rsidRPr="007E3047">
        <w:rPr>
          <w:rFonts w:ascii="Times New Roman" w:eastAsia="Times New Roman" w:hAnsi="Times New Roman"/>
          <w:sz w:val="24"/>
          <w:szCs w:val="24"/>
        </w:rPr>
        <w:t>países</w:t>
      </w:r>
      <w:r w:rsidR="00A52D5F" w:rsidRPr="007E3047">
        <w:rPr>
          <w:rFonts w:ascii="Times New Roman" w:eastAsia="Times New Roman" w:hAnsi="Times New Roman"/>
          <w:sz w:val="24"/>
          <w:szCs w:val="24"/>
        </w:rPr>
        <w:t xml:space="preserve"> demandados, </w:t>
      </w:r>
      <w:r w:rsidR="00442618" w:rsidRPr="007E3047">
        <w:rPr>
          <w:rFonts w:ascii="Times New Roman" w:eastAsia="Times New Roman" w:hAnsi="Times New Roman"/>
          <w:sz w:val="24"/>
          <w:szCs w:val="24"/>
        </w:rPr>
        <w:t xml:space="preserve">Cardenal tomou medidas internas para solucionar </w:t>
      </w:r>
      <w:r w:rsidR="00D2703C" w:rsidRPr="007E3047">
        <w:rPr>
          <w:rFonts w:ascii="Times New Roman" w:eastAsia="Times New Roman" w:hAnsi="Times New Roman"/>
          <w:sz w:val="24"/>
          <w:szCs w:val="24"/>
        </w:rPr>
        <w:t>os acontecimentos</w:t>
      </w:r>
      <w:r w:rsidR="00C51538" w:rsidRPr="007E3047">
        <w:rPr>
          <w:rFonts w:ascii="Times New Roman" w:eastAsia="Times New Roman" w:hAnsi="Times New Roman"/>
          <w:sz w:val="24"/>
          <w:szCs w:val="24"/>
        </w:rPr>
        <w:t xml:space="preserve"> </w:t>
      </w:r>
      <w:r w:rsidR="0056545F" w:rsidRPr="007E3047">
        <w:rPr>
          <w:rFonts w:ascii="Times New Roman" w:eastAsia="Times New Roman" w:hAnsi="Times New Roman"/>
          <w:sz w:val="24"/>
          <w:szCs w:val="24"/>
        </w:rPr>
        <w:t>da forma mais eficiente possível.</w:t>
      </w:r>
    </w:p>
    <w:p w:rsidR="00E57ED1" w:rsidRPr="007E3047" w:rsidRDefault="008C41DC" w:rsidP="005F2A2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Dessa forma, </w:t>
      </w:r>
      <w:r w:rsidR="00F83014" w:rsidRPr="007E3047">
        <w:rPr>
          <w:rFonts w:ascii="Times New Roman" w:eastAsia="Times New Roman" w:hAnsi="Times New Roman"/>
          <w:sz w:val="24"/>
          <w:szCs w:val="24"/>
        </w:rPr>
        <w:t>qualque</w:t>
      </w:r>
      <w:r w:rsidR="00B263F3" w:rsidRPr="007E3047">
        <w:rPr>
          <w:rFonts w:ascii="Times New Roman" w:eastAsia="Times New Roman" w:hAnsi="Times New Roman"/>
          <w:sz w:val="24"/>
          <w:szCs w:val="24"/>
        </w:rPr>
        <w:t>r argumento eventualmente usado</w:t>
      </w:r>
      <w:r w:rsidR="00F83014" w:rsidRPr="007E3047">
        <w:rPr>
          <w:rFonts w:ascii="Times New Roman" w:eastAsia="Times New Roman" w:hAnsi="Times New Roman"/>
          <w:sz w:val="24"/>
          <w:szCs w:val="24"/>
        </w:rPr>
        <w:t xml:space="preserve"> pelas vítimas </w:t>
      </w:r>
      <w:r w:rsidRPr="007E3047">
        <w:rPr>
          <w:rFonts w:ascii="Times New Roman" w:eastAsia="Times New Roman" w:hAnsi="Times New Roman"/>
          <w:sz w:val="24"/>
          <w:szCs w:val="24"/>
        </w:rPr>
        <w:t>acerca da suposta ineficiência dos recursos internos</w:t>
      </w:r>
      <w:r w:rsidR="007503DF" w:rsidRPr="007E3047">
        <w:rPr>
          <w:rFonts w:ascii="Times New Roman" w:eastAsia="Times New Roman" w:hAnsi="Times New Roman"/>
          <w:sz w:val="24"/>
          <w:szCs w:val="24"/>
        </w:rPr>
        <w:t>, prevista no art. 42.2 (b) da CADH,</w:t>
      </w:r>
      <w:r w:rsidR="0056545F" w:rsidRPr="007E3047">
        <w:rPr>
          <w:rFonts w:ascii="Times New Roman" w:eastAsia="Times New Roman" w:hAnsi="Times New Roman"/>
          <w:sz w:val="24"/>
          <w:szCs w:val="24"/>
        </w:rPr>
        <w:t xml:space="preserve"> deve ser rechaçado.</w:t>
      </w:r>
    </w:p>
    <w:p w:rsidR="007F0068" w:rsidRPr="007E3047" w:rsidRDefault="007F0068"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5.</w:t>
      </w:r>
      <w:r w:rsidR="006F5A2A" w:rsidRPr="007E3047">
        <w:rPr>
          <w:rFonts w:ascii="Times New Roman" w:eastAsia="Times New Roman" w:hAnsi="Times New Roman"/>
          <w:b/>
          <w:sz w:val="24"/>
          <w:szCs w:val="24"/>
        </w:rPr>
        <w:t>3</w:t>
      </w:r>
      <w:r w:rsidR="007702D7" w:rsidRPr="007E3047">
        <w:rPr>
          <w:rFonts w:ascii="Times New Roman" w:eastAsia="Times New Roman" w:hAnsi="Times New Roman"/>
          <w:b/>
          <w:sz w:val="24"/>
          <w:szCs w:val="24"/>
        </w:rPr>
        <w:t xml:space="preserve"> A regra da quarta i</w:t>
      </w:r>
      <w:r w:rsidRPr="007E3047">
        <w:rPr>
          <w:rFonts w:ascii="Times New Roman" w:eastAsia="Times New Roman" w:hAnsi="Times New Roman"/>
          <w:b/>
          <w:sz w:val="24"/>
          <w:szCs w:val="24"/>
        </w:rPr>
        <w:t xml:space="preserve">nstância </w:t>
      </w:r>
    </w:p>
    <w:p w:rsidR="007F0068" w:rsidRPr="007E3047" w:rsidRDefault="007F0068" w:rsidP="00F83014">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Annika</w:t>
      </w:r>
      <w:r w:rsidR="0056545F"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Bolt, em sua demanda perante a </w:t>
      </w:r>
      <w:r w:rsidR="001D7395" w:rsidRPr="007E3047">
        <w:rPr>
          <w:rFonts w:ascii="Times New Roman" w:eastAsia="Times New Roman" w:hAnsi="Times New Roman"/>
          <w:sz w:val="24"/>
          <w:szCs w:val="24"/>
        </w:rPr>
        <w:t>CIDH</w:t>
      </w:r>
      <w:r w:rsidRPr="007E3047">
        <w:rPr>
          <w:rFonts w:ascii="Times New Roman" w:eastAsia="Times New Roman" w:hAnsi="Times New Roman"/>
          <w:sz w:val="24"/>
          <w:szCs w:val="24"/>
        </w:rPr>
        <w:t>, alegou que os fatos não foram corretamente processados, pois não nomearam todos os oficiais envolvidos no crime; Lupita López aduziu que a Lei de Responsabilização, Fechamento e Reconciliação libertou o único acusado condenado; e Emily e Maximiliano Rossi afirmaram que os mandantes (ex-presidente Ferreira), bem como os autores materiais, não responderam pelo crime. Entretanto, tais alegações não merecem prosperar.</w:t>
      </w:r>
    </w:p>
    <w:p w:rsidR="00495A29" w:rsidRPr="007E3047" w:rsidRDefault="007F0068" w:rsidP="00C167E9">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Em 2008, a Comissão da Verdade e Esclarecimento selecionou o caso do sequestro como emblemático. Já nesta oportunidade, </w:t>
      </w:r>
      <w:r w:rsidR="00077123" w:rsidRPr="007E3047">
        <w:rPr>
          <w:rFonts w:ascii="Times New Roman" w:eastAsia="Times New Roman" w:hAnsi="Times New Roman"/>
          <w:sz w:val="24"/>
          <w:szCs w:val="24"/>
        </w:rPr>
        <w:t xml:space="preserve">Paulo </w:t>
      </w:r>
      <w:r w:rsidRPr="007E3047">
        <w:rPr>
          <w:rFonts w:ascii="Times New Roman" w:eastAsia="Times New Roman" w:hAnsi="Times New Roman"/>
          <w:sz w:val="24"/>
          <w:szCs w:val="24"/>
        </w:rPr>
        <w:t>Mukundi e</w:t>
      </w:r>
      <w:r w:rsidR="00495A29" w:rsidRPr="007E3047">
        <w:rPr>
          <w:rFonts w:ascii="Times New Roman" w:eastAsia="Times New Roman" w:hAnsi="Times New Roman"/>
          <w:sz w:val="24"/>
          <w:szCs w:val="24"/>
        </w:rPr>
        <w:t xml:space="preserve"> </w:t>
      </w:r>
      <w:r w:rsidR="00077123" w:rsidRPr="007E3047">
        <w:rPr>
          <w:rFonts w:ascii="Times New Roman" w:eastAsia="Times New Roman" w:hAnsi="Times New Roman"/>
          <w:sz w:val="24"/>
          <w:szCs w:val="24"/>
        </w:rPr>
        <w:t>Derek</w:t>
      </w:r>
      <w:r w:rsidR="00495A29"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Guadamuz prestaram declarações que foram de extrema valia para o conhecimento da verdade e, inclusive, </w:t>
      </w:r>
      <w:r w:rsidR="00495A29" w:rsidRPr="007E3047">
        <w:rPr>
          <w:rFonts w:ascii="Times New Roman" w:eastAsia="Times New Roman" w:hAnsi="Times New Roman"/>
          <w:sz w:val="24"/>
          <w:szCs w:val="24"/>
        </w:rPr>
        <w:t>declararam-se</w:t>
      </w:r>
      <w:r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lastRenderedPageBreak/>
        <w:t xml:space="preserve">responsáveis pelo sequestro. Na mesma ocasião, o ex-general </w:t>
      </w:r>
      <w:r w:rsidR="00495A29" w:rsidRPr="007E3047">
        <w:rPr>
          <w:rFonts w:ascii="Times New Roman" w:eastAsia="Times New Roman" w:hAnsi="Times New Roman"/>
          <w:sz w:val="24"/>
          <w:szCs w:val="24"/>
        </w:rPr>
        <w:t>João Otá</w:t>
      </w:r>
      <w:r w:rsidR="00051349" w:rsidRPr="007E3047">
        <w:rPr>
          <w:rFonts w:ascii="Times New Roman" w:eastAsia="Times New Roman" w:hAnsi="Times New Roman"/>
          <w:sz w:val="24"/>
          <w:szCs w:val="24"/>
        </w:rPr>
        <w:t xml:space="preserve">vio </w:t>
      </w:r>
      <w:r w:rsidRPr="007E3047">
        <w:rPr>
          <w:rFonts w:ascii="Times New Roman" w:eastAsia="Times New Roman" w:hAnsi="Times New Roman"/>
          <w:sz w:val="24"/>
          <w:szCs w:val="24"/>
        </w:rPr>
        <w:t xml:space="preserve">Pires também contribuiu consideravelmente para a investigação e admitiu </w:t>
      </w:r>
      <w:r w:rsidR="00495A29" w:rsidRPr="007E3047">
        <w:rPr>
          <w:rFonts w:ascii="Times New Roman" w:eastAsia="Times New Roman" w:hAnsi="Times New Roman"/>
          <w:sz w:val="24"/>
          <w:szCs w:val="24"/>
        </w:rPr>
        <w:t xml:space="preserve">sua </w:t>
      </w:r>
      <w:r w:rsidRPr="007E3047">
        <w:rPr>
          <w:rFonts w:ascii="Times New Roman" w:eastAsia="Times New Roman" w:hAnsi="Times New Roman"/>
          <w:sz w:val="24"/>
          <w:szCs w:val="24"/>
        </w:rPr>
        <w:t>responsabilidade pela tortura e morte de Lucrécia</w:t>
      </w:r>
      <w:r w:rsidR="00051349" w:rsidRPr="007E3047">
        <w:rPr>
          <w:rFonts w:ascii="Times New Roman" w:eastAsia="Times New Roman" w:hAnsi="Times New Roman"/>
          <w:sz w:val="24"/>
          <w:szCs w:val="24"/>
        </w:rPr>
        <w:t xml:space="preserve"> Rossi</w:t>
      </w:r>
      <w:r w:rsidRPr="007E3047">
        <w:rPr>
          <w:rFonts w:ascii="Times New Roman" w:eastAsia="Times New Roman" w:hAnsi="Times New Roman"/>
          <w:sz w:val="24"/>
          <w:szCs w:val="24"/>
        </w:rPr>
        <w:t xml:space="preserve">. </w:t>
      </w:r>
    </w:p>
    <w:p w:rsidR="00495A29" w:rsidRPr="007E3047" w:rsidRDefault="007F0068" w:rsidP="00C167E9">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Com essas informações, a Comissão de Alto Nível selecionou </w:t>
      </w:r>
      <w:r w:rsidR="00051349" w:rsidRPr="007E3047">
        <w:rPr>
          <w:rFonts w:ascii="Times New Roman" w:eastAsia="Times New Roman" w:hAnsi="Times New Roman"/>
          <w:sz w:val="24"/>
          <w:szCs w:val="24"/>
        </w:rPr>
        <w:t xml:space="preserve">Paulo </w:t>
      </w:r>
      <w:r w:rsidRPr="007E3047">
        <w:rPr>
          <w:rFonts w:ascii="Times New Roman" w:eastAsia="Times New Roman" w:hAnsi="Times New Roman"/>
          <w:sz w:val="24"/>
          <w:szCs w:val="24"/>
        </w:rPr>
        <w:t xml:space="preserve">Mukundi, </w:t>
      </w:r>
      <w:r w:rsidR="00051349" w:rsidRPr="007E3047">
        <w:rPr>
          <w:rFonts w:ascii="Times New Roman" w:eastAsia="Times New Roman" w:hAnsi="Times New Roman"/>
          <w:sz w:val="24"/>
          <w:szCs w:val="24"/>
        </w:rPr>
        <w:t xml:space="preserve">Derek </w:t>
      </w:r>
      <w:r w:rsidRPr="007E3047">
        <w:rPr>
          <w:rFonts w:ascii="Times New Roman" w:eastAsia="Times New Roman" w:hAnsi="Times New Roman"/>
          <w:sz w:val="24"/>
          <w:szCs w:val="24"/>
        </w:rPr>
        <w:t xml:space="preserve">Guadamuz e o ex-general </w:t>
      </w:r>
      <w:r w:rsidR="00495A29" w:rsidRPr="007E3047">
        <w:rPr>
          <w:rFonts w:ascii="Times New Roman" w:eastAsia="Times New Roman" w:hAnsi="Times New Roman"/>
          <w:sz w:val="24"/>
          <w:szCs w:val="24"/>
        </w:rPr>
        <w:t>João Otá</w:t>
      </w:r>
      <w:r w:rsidR="00051349" w:rsidRPr="007E3047">
        <w:rPr>
          <w:rFonts w:ascii="Times New Roman" w:eastAsia="Times New Roman" w:hAnsi="Times New Roman"/>
          <w:sz w:val="24"/>
          <w:szCs w:val="24"/>
        </w:rPr>
        <w:t xml:space="preserve">vio </w:t>
      </w:r>
      <w:r w:rsidRPr="007E3047">
        <w:rPr>
          <w:rFonts w:ascii="Times New Roman" w:eastAsia="Times New Roman" w:hAnsi="Times New Roman"/>
          <w:sz w:val="24"/>
          <w:szCs w:val="24"/>
        </w:rPr>
        <w:t>Pires como máximo responsáveis</w:t>
      </w:r>
      <w:r w:rsidR="00495A29" w:rsidRPr="007E3047">
        <w:rPr>
          <w:rFonts w:ascii="Times New Roman" w:eastAsia="Times New Roman" w:hAnsi="Times New Roman"/>
          <w:sz w:val="24"/>
          <w:szCs w:val="24"/>
        </w:rPr>
        <w:t xml:space="preserve"> pelos fatos</w:t>
      </w:r>
      <w:r w:rsidRPr="007E3047">
        <w:rPr>
          <w:rFonts w:ascii="Times New Roman" w:eastAsia="Times New Roman" w:hAnsi="Times New Roman"/>
          <w:sz w:val="24"/>
          <w:szCs w:val="24"/>
        </w:rPr>
        <w:t>, tornando</w:t>
      </w:r>
      <w:r w:rsidR="00495A29" w:rsidRPr="007E3047">
        <w:rPr>
          <w:rFonts w:ascii="Times New Roman" w:eastAsia="Times New Roman" w:hAnsi="Times New Roman"/>
          <w:sz w:val="24"/>
          <w:szCs w:val="24"/>
        </w:rPr>
        <w:t>-os</w:t>
      </w:r>
      <w:r w:rsidRPr="007E3047">
        <w:rPr>
          <w:rFonts w:ascii="Times New Roman" w:eastAsia="Times New Roman" w:hAnsi="Times New Roman"/>
          <w:sz w:val="24"/>
          <w:szCs w:val="24"/>
        </w:rPr>
        <w:t xml:space="preserve"> sujeitos de ação penal. O Tribunal Transicional Especializado condenou </w:t>
      </w:r>
      <w:r w:rsidR="00051349" w:rsidRPr="007E3047">
        <w:rPr>
          <w:rFonts w:ascii="Times New Roman" w:eastAsia="Times New Roman" w:hAnsi="Times New Roman"/>
          <w:sz w:val="24"/>
          <w:szCs w:val="24"/>
        </w:rPr>
        <w:t xml:space="preserve">Paulo </w:t>
      </w:r>
      <w:r w:rsidRPr="007E3047">
        <w:rPr>
          <w:rFonts w:ascii="Times New Roman" w:eastAsia="Times New Roman" w:hAnsi="Times New Roman"/>
          <w:sz w:val="24"/>
          <w:szCs w:val="24"/>
        </w:rPr>
        <w:t xml:space="preserve">Mukundi e o ex-general </w:t>
      </w:r>
      <w:r w:rsidR="00495A29" w:rsidRPr="007E3047">
        <w:rPr>
          <w:rFonts w:ascii="Times New Roman" w:eastAsia="Times New Roman" w:hAnsi="Times New Roman"/>
          <w:sz w:val="24"/>
          <w:szCs w:val="24"/>
        </w:rPr>
        <w:t>João Otá</w:t>
      </w:r>
      <w:r w:rsidR="00051349" w:rsidRPr="007E3047">
        <w:rPr>
          <w:rFonts w:ascii="Times New Roman" w:eastAsia="Times New Roman" w:hAnsi="Times New Roman"/>
          <w:sz w:val="24"/>
          <w:szCs w:val="24"/>
        </w:rPr>
        <w:t xml:space="preserve">vio </w:t>
      </w:r>
      <w:r w:rsidRPr="007E3047">
        <w:rPr>
          <w:rFonts w:ascii="Times New Roman" w:eastAsia="Times New Roman" w:hAnsi="Times New Roman"/>
          <w:sz w:val="24"/>
          <w:szCs w:val="24"/>
        </w:rPr>
        <w:t xml:space="preserve">Pires como </w:t>
      </w:r>
      <w:r w:rsidR="00682B4E" w:rsidRPr="007E3047">
        <w:rPr>
          <w:rFonts w:ascii="Times New Roman" w:eastAsia="Times New Roman" w:hAnsi="Times New Roman"/>
          <w:sz w:val="24"/>
          <w:szCs w:val="24"/>
        </w:rPr>
        <w:t xml:space="preserve">máximos responsáveis </w:t>
      </w:r>
      <w:r w:rsidR="00495A29" w:rsidRPr="007E3047">
        <w:rPr>
          <w:rFonts w:ascii="Times New Roman" w:eastAsia="Times New Roman" w:hAnsi="Times New Roman"/>
          <w:sz w:val="24"/>
          <w:szCs w:val="24"/>
        </w:rPr>
        <w:t>pelo sequestro</w:t>
      </w:r>
      <w:r w:rsidRPr="007E3047">
        <w:rPr>
          <w:rStyle w:val="FootnoteReference"/>
          <w:rFonts w:ascii="Times New Roman" w:hAnsi="Times New Roman"/>
          <w:sz w:val="24"/>
          <w:szCs w:val="24"/>
        </w:rPr>
        <w:footnoteReference w:id="17"/>
      </w:r>
      <w:r w:rsidR="00C71FA6" w:rsidRPr="007E3047">
        <w:rPr>
          <w:rFonts w:ascii="Times New Roman" w:eastAsia="Times New Roman" w:hAnsi="Times New Roman"/>
          <w:sz w:val="24"/>
          <w:szCs w:val="24"/>
        </w:rPr>
        <w:t>.</w:t>
      </w:r>
      <w:r w:rsidR="00495A29" w:rsidRPr="007E3047">
        <w:rPr>
          <w:rFonts w:ascii="Times New Roman" w:eastAsia="Times New Roman" w:hAnsi="Times New Roman"/>
          <w:sz w:val="24"/>
          <w:szCs w:val="24"/>
        </w:rPr>
        <w:t xml:space="preserve"> Em relação a </w:t>
      </w:r>
      <w:r w:rsidR="00EA3D6F" w:rsidRPr="007E3047">
        <w:rPr>
          <w:rFonts w:ascii="Times New Roman" w:eastAsia="Times New Roman" w:hAnsi="Times New Roman"/>
          <w:sz w:val="24"/>
          <w:szCs w:val="24"/>
        </w:rPr>
        <w:t xml:space="preserve">Derek </w:t>
      </w:r>
      <w:r w:rsidRPr="007E3047">
        <w:rPr>
          <w:rFonts w:ascii="Times New Roman" w:eastAsia="Times New Roman" w:hAnsi="Times New Roman"/>
          <w:sz w:val="24"/>
          <w:szCs w:val="24"/>
        </w:rPr>
        <w:t xml:space="preserve">Guadamuz, apesar de não ter sido verificada a sua ligação direta com o sequestro, acabou sendo condenado por outros padrões </w:t>
      </w:r>
      <w:r w:rsidRPr="007E3047">
        <w:rPr>
          <w:rFonts w:ascii="Times New Roman" w:eastAsia="Times New Roman" w:hAnsi="Times New Roman"/>
          <w:i/>
          <w:sz w:val="24"/>
          <w:szCs w:val="24"/>
        </w:rPr>
        <w:t>macrocriminais</w:t>
      </w:r>
      <w:r w:rsidRPr="007E3047">
        <w:rPr>
          <w:rFonts w:ascii="Times New Roman" w:eastAsia="Times New Roman" w:hAnsi="Times New Roman"/>
          <w:sz w:val="24"/>
          <w:szCs w:val="24"/>
        </w:rPr>
        <w:t xml:space="preserve">. </w:t>
      </w:r>
    </w:p>
    <w:p w:rsidR="007F0068" w:rsidRPr="007E3047" w:rsidRDefault="007F0068" w:rsidP="00C167E9">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Referente ao ex-presidente </w:t>
      </w:r>
      <w:r w:rsidR="00EA3D6F" w:rsidRPr="007E3047">
        <w:rPr>
          <w:rFonts w:ascii="Times New Roman" w:eastAsia="Times New Roman" w:hAnsi="Times New Roman"/>
          <w:sz w:val="24"/>
          <w:szCs w:val="24"/>
        </w:rPr>
        <w:t xml:space="preserve">Armando </w:t>
      </w:r>
      <w:r w:rsidRPr="007E3047">
        <w:rPr>
          <w:rFonts w:ascii="Times New Roman" w:eastAsia="Times New Roman" w:hAnsi="Times New Roman"/>
          <w:sz w:val="24"/>
          <w:szCs w:val="24"/>
        </w:rPr>
        <w:t>Ferreira</w:t>
      </w:r>
      <w:r w:rsidR="00C71FA6" w:rsidRPr="007E3047">
        <w:rPr>
          <w:rFonts w:ascii="Times New Roman" w:eastAsia="Times New Roman" w:hAnsi="Times New Roman"/>
          <w:sz w:val="24"/>
          <w:szCs w:val="24"/>
        </w:rPr>
        <w:t xml:space="preserve"> é</w:t>
      </w:r>
      <w:r w:rsidRPr="007E3047">
        <w:rPr>
          <w:rFonts w:ascii="Times New Roman" w:eastAsia="Times New Roman" w:hAnsi="Times New Roman"/>
          <w:sz w:val="24"/>
          <w:szCs w:val="24"/>
        </w:rPr>
        <w:t xml:space="preserve"> imperioso mencionar que a ação penal não culminou em um julgamento sobre a sua responsabilidade </w:t>
      </w:r>
      <w:r w:rsidR="00223F48" w:rsidRPr="007E3047">
        <w:rPr>
          <w:rFonts w:ascii="Times New Roman" w:eastAsia="Times New Roman" w:hAnsi="Times New Roman"/>
          <w:sz w:val="24"/>
          <w:szCs w:val="24"/>
        </w:rPr>
        <w:t>acerca dos</w:t>
      </w:r>
      <w:r w:rsidRPr="007E3047">
        <w:rPr>
          <w:rFonts w:ascii="Times New Roman" w:eastAsia="Times New Roman" w:hAnsi="Times New Roman"/>
          <w:sz w:val="24"/>
          <w:szCs w:val="24"/>
        </w:rPr>
        <w:t xml:space="preserve"> fatos, </w:t>
      </w:r>
      <w:r w:rsidR="00495A29" w:rsidRPr="007E3047">
        <w:rPr>
          <w:rFonts w:ascii="Times New Roman" w:eastAsia="Times New Roman" w:hAnsi="Times New Roman"/>
          <w:sz w:val="24"/>
          <w:szCs w:val="24"/>
        </w:rPr>
        <w:t>em razão</w:t>
      </w:r>
      <w:r w:rsidRPr="007E3047">
        <w:rPr>
          <w:rFonts w:ascii="Times New Roman" w:eastAsia="Times New Roman" w:hAnsi="Times New Roman"/>
          <w:sz w:val="24"/>
          <w:szCs w:val="24"/>
        </w:rPr>
        <w:t xml:space="preserve"> do mesmo ter falecido durante o processo. Tendo em vista que a ação penal possui caráter personalíssimo, impossível prossegui-la quando o acusado falece</w:t>
      </w:r>
      <w:r w:rsidR="00EA3D6F" w:rsidRPr="007E3047">
        <w:rPr>
          <w:rStyle w:val="FootnoteReference"/>
          <w:rFonts w:ascii="Times New Roman" w:eastAsia="Times New Roman" w:hAnsi="Times New Roman"/>
          <w:sz w:val="24"/>
          <w:szCs w:val="24"/>
        </w:rPr>
        <w:footnoteReference w:id="18"/>
      </w:r>
      <w:r w:rsidRPr="007E3047">
        <w:rPr>
          <w:rFonts w:ascii="Times New Roman" w:eastAsia="Times New Roman" w:hAnsi="Times New Roman"/>
          <w:sz w:val="24"/>
          <w:szCs w:val="24"/>
        </w:rPr>
        <w:t xml:space="preserve">. </w:t>
      </w:r>
    </w:p>
    <w:p w:rsidR="007F0068"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Como já mencionado anteriormente, os mecanismos internacionais são subsidiários aos mecanismos internos do Estado</w:t>
      </w:r>
      <w:r w:rsidR="00223F48" w:rsidRPr="007E3047">
        <w:rPr>
          <w:rStyle w:val="FootnoteReference"/>
          <w:rFonts w:ascii="Times New Roman" w:eastAsia="Times New Roman" w:hAnsi="Times New Roman"/>
          <w:sz w:val="24"/>
          <w:szCs w:val="24"/>
        </w:rPr>
        <w:footnoteReference w:id="19"/>
      </w:r>
      <w:r w:rsidRPr="007E3047">
        <w:rPr>
          <w:rFonts w:ascii="Times New Roman" w:eastAsia="Times New Roman" w:hAnsi="Times New Roman"/>
          <w:sz w:val="24"/>
          <w:szCs w:val="24"/>
        </w:rPr>
        <w:t>. Ou seja, a Corte</w:t>
      </w:r>
      <w:r w:rsidR="0044420D"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xml:space="preserve"> só poderá analisar o mérito de uma decisão prof</w:t>
      </w:r>
      <w:r w:rsidR="00AC1191" w:rsidRPr="007E3047">
        <w:rPr>
          <w:rFonts w:ascii="Times New Roman" w:eastAsia="Times New Roman" w:hAnsi="Times New Roman"/>
          <w:sz w:val="24"/>
          <w:szCs w:val="24"/>
        </w:rPr>
        <w:t>erida por um tribunal doméstico</w:t>
      </w:r>
      <w:r w:rsidRPr="007E3047">
        <w:rPr>
          <w:rFonts w:ascii="Times New Roman" w:eastAsia="Times New Roman" w:hAnsi="Times New Roman"/>
          <w:sz w:val="24"/>
          <w:szCs w:val="24"/>
        </w:rPr>
        <w:t xml:space="preserve"> quando o processamento do caso não respeitar os direitos e ob</w:t>
      </w:r>
      <w:r w:rsidR="00402B71" w:rsidRPr="007E3047">
        <w:rPr>
          <w:rFonts w:ascii="Times New Roman" w:eastAsia="Times New Roman" w:hAnsi="Times New Roman"/>
          <w:sz w:val="24"/>
          <w:szCs w:val="24"/>
        </w:rPr>
        <w:t>rigações constantes na C</w:t>
      </w:r>
      <w:r w:rsidR="00C354F9" w:rsidRPr="007E3047">
        <w:rPr>
          <w:rFonts w:ascii="Times New Roman" w:eastAsia="Times New Roman" w:hAnsi="Times New Roman"/>
          <w:sz w:val="24"/>
          <w:szCs w:val="24"/>
        </w:rPr>
        <w:t>A</w:t>
      </w:r>
      <w:r w:rsidR="00402B71" w:rsidRPr="007E3047">
        <w:rPr>
          <w:rFonts w:ascii="Times New Roman" w:eastAsia="Times New Roman" w:hAnsi="Times New Roman"/>
          <w:sz w:val="24"/>
          <w:szCs w:val="24"/>
        </w:rPr>
        <w:t>DH</w:t>
      </w:r>
      <w:r w:rsidR="00BD49D7" w:rsidRPr="007E3047">
        <w:rPr>
          <w:rStyle w:val="FootnoteReference"/>
          <w:rFonts w:ascii="Times New Roman" w:eastAsia="Times New Roman" w:hAnsi="Times New Roman"/>
          <w:sz w:val="24"/>
          <w:szCs w:val="24"/>
        </w:rPr>
        <w:footnoteReference w:id="20"/>
      </w:r>
      <w:r w:rsidR="00AC1191" w:rsidRPr="007E3047">
        <w:rPr>
          <w:rFonts w:ascii="Times New Roman" w:eastAsia="Times New Roman" w:hAnsi="Times New Roman"/>
          <w:sz w:val="24"/>
          <w:szCs w:val="24"/>
        </w:rPr>
        <w:t>.</w:t>
      </w:r>
    </w:p>
    <w:p w:rsidR="008241DA"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 xml:space="preserve">Sobre o tema, a </w:t>
      </w:r>
      <w:r w:rsidR="001D7395" w:rsidRPr="007E3047">
        <w:rPr>
          <w:rFonts w:ascii="Times New Roman" w:eastAsia="Times New Roman" w:hAnsi="Times New Roman"/>
          <w:sz w:val="24"/>
          <w:szCs w:val="24"/>
        </w:rPr>
        <w:t>CIDH</w:t>
      </w:r>
      <w:r w:rsidR="00CE44C5"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desenvolveu a “regra da quarta instância”</w:t>
      </w:r>
      <w:r w:rsidR="00322ADE" w:rsidRPr="007E3047">
        <w:rPr>
          <w:rStyle w:val="FootnoteReference"/>
          <w:rFonts w:ascii="Times New Roman" w:eastAsia="Times New Roman" w:hAnsi="Times New Roman"/>
          <w:sz w:val="24"/>
          <w:szCs w:val="24"/>
        </w:rPr>
        <w:footnoteReference w:id="21"/>
      </w:r>
      <w:r w:rsidRPr="007E3047">
        <w:rPr>
          <w:rFonts w:ascii="Times New Roman" w:eastAsia="Times New Roman" w:hAnsi="Times New Roman"/>
          <w:sz w:val="24"/>
          <w:szCs w:val="24"/>
        </w:rPr>
        <w:t>. Esta regra tem como base normativa o art. 46 (b) da C</w:t>
      </w:r>
      <w:r w:rsidR="00CE44C5" w:rsidRPr="007E3047">
        <w:rPr>
          <w:rFonts w:ascii="Times New Roman" w:eastAsia="Times New Roman" w:hAnsi="Times New Roman"/>
          <w:sz w:val="24"/>
          <w:szCs w:val="24"/>
        </w:rPr>
        <w:t>ADH</w:t>
      </w:r>
      <w:r w:rsidRPr="007E3047">
        <w:rPr>
          <w:rFonts w:ascii="Times New Roman" w:eastAsia="Times New Roman" w:hAnsi="Times New Roman"/>
          <w:sz w:val="24"/>
          <w:szCs w:val="24"/>
        </w:rPr>
        <w:t xml:space="preserve">, </w:t>
      </w:r>
      <w:r w:rsidR="00AC1191" w:rsidRPr="007E3047">
        <w:rPr>
          <w:rFonts w:ascii="Times New Roman" w:eastAsia="Times New Roman" w:hAnsi="Times New Roman"/>
          <w:sz w:val="24"/>
          <w:szCs w:val="24"/>
        </w:rPr>
        <w:t>que</w:t>
      </w:r>
      <w:r w:rsidRPr="007E3047">
        <w:rPr>
          <w:rFonts w:ascii="Times New Roman" w:eastAsia="Times New Roman" w:hAnsi="Times New Roman"/>
          <w:sz w:val="24"/>
          <w:szCs w:val="24"/>
        </w:rPr>
        <w:t xml:space="preserve"> trata da impossibilidade de conhecer demandas em que os fatos não “caracterizem violação dos direitos garantidos por esta Convenção”. Trata-se da proibição de revisar decisões proferidas por tribunais nacionais que</w:t>
      </w:r>
      <w:r w:rsidR="00AC1191"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supostamente</w:t>
      </w:r>
      <w:r w:rsidR="00AC1191"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cometeram algum erro no julgamento, mas</w:t>
      </w:r>
      <w:r w:rsidR="00AC1191" w:rsidRPr="007E3047">
        <w:rPr>
          <w:rFonts w:ascii="Times New Roman" w:eastAsia="Times New Roman" w:hAnsi="Times New Roman"/>
          <w:sz w:val="24"/>
          <w:szCs w:val="24"/>
        </w:rPr>
        <w:t xml:space="preserve"> que</w:t>
      </w:r>
      <w:r w:rsidRPr="007E3047">
        <w:rPr>
          <w:rFonts w:ascii="Times New Roman" w:eastAsia="Times New Roman" w:hAnsi="Times New Roman"/>
          <w:sz w:val="24"/>
          <w:szCs w:val="24"/>
        </w:rPr>
        <w:t xml:space="preserve"> respeitaram o devido processo legal e agi</w:t>
      </w:r>
      <w:r w:rsidR="00AC1191" w:rsidRPr="007E3047">
        <w:rPr>
          <w:rFonts w:ascii="Times New Roman" w:eastAsia="Times New Roman" w:hAnsi="Times New Roman"/>
          <w:sz w:val="24"/>
          <w:szCs w:val="24"/>
        </w:rPr>
        <w:t>ram dentro de suas competências</w:t>
      </w:r>
      <w:r w:rsidRPr="007E3047">
        <w:rPr>
          <w:rStyle w:val="FootnoteReference"/>
          <w:rFonts w:ascii="Times New Roman" w:hAnsi="Times New Roman"/>
          <w:sz w:val="24"/>
          <w:szCs w:val="24"/>
        </w:rPr>
        <w:footnoteReference w:id="22"/>
      </w:r>
      <w:r w:rsidR="00AC1191" w:rsidRPr="007E3047">
        <w:rPr>
          <w:rFonts w:ascii="Times New Roman" w:eastAsia="Times New Roman" w:hAnsi="Times New Roman"/>
          <w:sz w:val="24"/>
          <w:szCs w:val="24"/>
        </w:rPr>
        <w:t>.</w:t>
      </w:r>
    </w:p>
    <w:p w:rsidR="007F0068"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Para que est</w:t>
      </w:r>
      <w:r w:rsidR="00AC1191" w:rsidRPr="007E3047">
        <w:rPr>
          <w:rFonts w:ascii="Times New Roman" w:eastAsia="Times New Roman" w:hAnsi="Times New Roman"/>
          <w:sz w:val="24"/>
          <w:szCs w:val="24"/>
        </w:rPr>
        <w:t>e tipo de petição seja admitida</w:t>
      </w:r>
      <w:r w:rsidRPr="007E3047">
        <w:rPr>
          <w:rFonts w:ascii="Times New Roman" w:eastAsia="Times New Roman" w:hAnsi="Times New Roman"/>
          <w:sz w:val="24"/>
          <w:szCs w:val="24"/>
        </w:rPr>
        <w:t xml:space="preserve"> é necessário provar a existência de manifesta violação nos procedimentos internos, </w:t>
      </w:r>
      <w:r w:rsidR="00AC1191" w:rsidRPr="007E3047">
        <w:rPr>
          <w:rFonts w:ascii="Times New Roman" w:eastAsia="Times New Roman" w:hAnsi="Times New Roman"/>
          <w:sz w:val="24"/>
          <w:szCs w:val="24"/>
        </w:rPr>
        <w:t xml:space="preserve">ou seja, </w:t>
      </w:r>
      <w:r w:rsidRPr="007E3047">
        <w:rPr>
          <w:rFonts w:ascii="Times New Roman" w:eastAsia="Times New Roman" w:hAnsi="Times New Roman"/>
          <w:sz w:val="24"/>
          <w:szCs w:val="24"/>
        </w:rPr>
        <w:t>d</w:t>
      </w:r>
      <w:r w:rsidR="00BC3874" w:rsidRPr="007E3047">
        <w:rPr>
          <w:rFonts w:ascii="Times New Roman" w:eastAsia="Times New Roman" w:hAnsi="Times New Roman"/>
          <w:sz w:val="24"/>
          <w:szCs w:val="24"/>
        </w:rPr>
        <w:t>e um direito protegido pela C</w:t>
      </w:r>
      <w:r w:rsidR="00C354F9" w:rsidRPr="007E3047">
        <w:rPr>
          <w:rFonts w:ascii="Times New Roman" w:eastAsia="Times New Roman" w:hAnsi="Times New Roman"/>
          <w:sz w:val="24"/>
          <w:szCs w:val="24"/>
        </w:rPr>
        <w:t>A</w:t>
      </w:r>
      <w:r w:rsidR="00BC3874" w:rsidRPr="007E3047">
        <w:rPr>
          <w:rFonts w:ascii="Times New Roman" w:eastAsia="Times New Roman" w:hAnsi="Times New Roman"/>
          <w:sz w:val="24"/>
          <w:szCs w:val="24"/>
        </w:rPr>
        <w:t>DH</w:t>
      </w:r>
      <w:r w:rsidRPr="007E3047">
        <w:rPr>
          <w:rFonts w:ascii="Times New Roman" w:eastAsia="Times New Roman" w:hAnsi="Times New Roman"/>
          <w:sz w:val="24"/>
          <w:szCs w:val="24"/>
        </w:rPr>
        <w:t xml:space="preserve">. Ressalta-se: a violação deve </w:t>
      </w:r>
      <w:r w:rsidR="00AC1191" w:rsidRPr="007E3047">
        <w:rPr>
          <w:rFonts w:ascii="Times New Roman" w:eastAsia="Times New Roman" w:hAnsi="Times New Roman"/>
          <w:sz w:val="24"/>
          <w:szCs w:val="24"/>
        </w:rPr>
        <w:t>ser “manifestamente arbitrária”</w:t>
      </w:r>
      <w:r w:rsidRPr="007E3047">
        <w:rPr>
          <w:rStyle w:val="FootnoteReference"/>
          <w:rFonts w:ascii="Times New Roman" w:hAnsi="Times New Roman"/>
          <w:sz w:val="24"/>
          <w:szCs w:val="24"/>
        </w:rPr>
        <w:footnoteReference w:id="23"/>
      </w:r>
      <w:r w:rsidRPr="007E3047">
        <w:rPr>
          <w:rFonts w:ascii="Times New Roman" w:eastAsia="Times New Roman" w:hAnsi="Times New Roman"/>
          <w:sz w:val="24"/>
          <w:szCs w:val="24"/>
        </w:rPr>
        <w:t xml:space="preserve">. </w:t>
      </w:r>
    </w:p>
    <w:p w:rsidR="007F0068"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Conforme exposto, o caso do sequestro foi amplamente investigado pela Comissão da Verdade, resultando na id</w:t>
      </w:r>
      <w:r w:rsidR="00BA5EF3" w:rsidRPr="007E3047">
        <w:rPr>
          <w:rFonts w:ascii="Times New Roman" w:eastAsia="Times New Roman" w:hAnsi="Times New Roman"/>
          <w:sz w:val="24"/>
          <w:szCs w:val="24"/>
        </w:rPr>
        <w:t>entificação dos acusados. Estes</w:t>
      </w:r>
      <w:r w:rsidRPr="007E3047">
        <w:rPr>
          <w:rFonts w:ascii="Times New Roman" w:eastAsia="Times New Roman" w:hAnsi="Times New Roman"/>
          <w:sz w:val="24"/>
          <w:szCs w:val="24"/>
        </w:rPr>
        <w:t xml:space="preserve"> foram devidamente sujeitos </w:t>
      </w:r>
      <w:r w:rsidR="00AC1191" w:rsidRPr="007E3047">
        <w:rPr>
          <w:rFonts w:ascii="Times New Roman" w:eastAsia="Times New Roman" w:hAnsi="Times New Roman"/>
          <w:sz w:val="24"/>
          <w:szCs w:val="24"/>
        </w:rPr>
        <w:t>a</w:t>
      </w:r>
      <w:r w:rsidRPr="007E3047">
        <w:rPr>
          <w:rFonts w:ascii="Times New Roman" w:eastAsia="Times New Roman" w:hAnsi="Times New Roman"/>
          <w:sz w:val="24"/>
          <w:szCs w:val="24"/>
        </w:rPr>
        <w:t xml:space="preserve"> ação penal</w:t>
      </w:r>
      <w:r w:rsidR="00AC1191" w:rsidRPr="007E3047">
        <w:rPr>
          <w:rFonts w:ascii="Times New Roman" w:eastAsia="Times New Roman" w:hAnsi="Times New Roman"/>
          <w:sz w:val="24"/>
          <w:szCs w:val="24"/>
        </w:rPr>
        <w:t xml:space="preserve"> interna</w:t>
      </w:r>
      <w:r w:rsidRPr="007E3047">
        <w:rPr>
          <w:rFonts w:ascii="Times New Roman" w:eastAsia="Times New Roman" w:hAnsi="Times New Roman"/>
          <w:sz w:val="24"/>
          <w:szCs w:val="24"/>
        </w:rPr>
        <w:t xml:space="preserve"> interposta pelo Ministério Público e julgados, com respeito </w:t>
      </w:r>
      <w:r w:rsidR="00682B4E" w:rsidRPr="007E3047">
        <w:rPr>
          <w:rFonts w:ascii="Times New Roman" w:eastAsia="Times New Roman" w:hAnsi="Times New Roman"/>
          <w:sz w:val="24"/>
          <w:szCs w:val="24"/>
        </w:rPr>
        <w:t>a</w:t>
      </w:r>
      <w:r w:rsidRPr="007E3047">
        <w:rPr>
          <w:rFonts w:ascii="Times New Roman" w:eastAsia="Times New Roman" w:hAnsi="Times New Roman"/>
          <w:sz w:val="24"/>
          <w:szCs w:val="24"/>
        </w:rPr>
        <w:t xml:space="preserve"> todas as garantias judiciais, pelo Tribunal Transicional Especializado. A revisão desta condenação, como requerem os peticionários, seria uma clara v</w:t>
      </w:r>
      <w:r w:rsidR="00E477C3" w:rsidRPr="007E3047">
        <w:rPr>
          <w:rFonts w:ascii="Times New Roman" w:eastAsia="Times New Roman" w:hAnsi="Times New Roman"/>
          <w:sz w:val="24"/>
          <w:szCs w:val="24"/>
        </w:rPr>
        <w:t>iolação ao art. 46 (b) da C</w:t>
      </w:r>
      <w:r w:rsidR="00C354F9" w:rsidRPr="007E3047">
        <w:rPr>
          <w:rFonts w:ascii="Times New Roman" w:eastAsia="Times New Roman" w:hAnsi="Times New Roman"/>
          <w:sz w:val="24"/>
          <w:szCs w:val="24"/>
        </w:rPr>
        <w:t>A</w:t>
      </w:r>
      <w:r w:rsidR="00E477C3" w:rsidRPr="007E3047">
        <w:rPr>
          <w:rFonts w:ascii="Times New Roman" w:eastAsia="Times New Roman" w:hAnsi="Times New Roman"/>
          <w:sz w:val="24"/>
          <w:szCs w:val="24"/>
        </w:rPr>
        <w:t>DH</w:t>
      </w:r>
      <w:r w:rsidR="0068468A" w:rsidRPr="007E3047">
        <w:rPr>
          <w:rFonts w:ascii="Times New Roman" w:eastAsia="Times New Roman" w:hAnsi="Times New Roman"/>
          <w:sz w:val="24"/>
          <w:szCs w:val="24"/>
        </w:rPr>
        <w:t xml:space="preserve"> e à soberania do Estado.</w:t>
      </w:r>
    </w:p>
    <w:p w:rsidR="007702D7" w:rsidRPr="007E3047" w:rsidRDefault="007702D7" w:rsidP="00237F5E">
      <w:pPr>
        <w:spacing w:after="0" w:line="480" w:lineRule="auto"/>
        <w:ind w:firstLine="708"/>
        <w:jc w:val="both"/>
        <w:rPr>
          <w:rFonts w:ascii="Times New Roman" w:eastAsia="Times New Roman" w:hAnsi="Times New Roman"/>
          <w:sz w:val="24"/>
          <w:szCs w:val="24"/>
        </w:rPr>
      </w:pPr>
    </w:p>
    <w:p w:rsidR="005750A8" w:rsidRPr="007E3047" w:rsidRDefault="00087BF5" w:rsidP="00B54E53">
      <w:pPr>
        <w:pStyle w:val="Heading1"/>
        <w:spacing w:before="0" w:line="480" w:lineRule="auto"/>
        <w:jc w:val="both"/>
        <w:rPr>
          <w:rFonts w:ascii="Times New Roman" w:hAnsi="Times New Roman"/>
          <w:b w:val="0"/>
          <w:caps/>
          <w:color w:val="auto"/>
          <w:sz w:val="24"/>
          <w:szCs w:val="24"/>
        </w:rPr>
      </w:pPr>
      <w:bookmarkStart w:id="73" w:name="_Toc288478141"/>
      <w:bookmarkStart w:id="74" w:name="_Toc289097826"/>
      <w:bookmarkStart w:id="75" w:name="_Toc289097982"/>
      <w:bookmarkStart w:id="76" w:name="_Toc289098279"/>
      <w:bookmarkStart w:id="77" w:name="_Toc414915698"/>
      <w:bookmarkStart w:id="78" w:name="_Toc414915819"/>
      <w:r w:rsidRPr="007E3047">
        <w:rPr>
          <w:rFonts w:ascii="Times New Roman" w:hAnsi="Times New Roman"/>
          <w:caps/>
          <w:color w:val="auto"/>
          <w:sz w:val="24"/>
          <w:szCs w:val="24"/>
        </w:rPr>
        <w:t>6</w:t>
      </w:r>
      <w:r w:rsidR="005750A8" w:rsidRPr="007E3047">
        <w:rPr>
          <w:rFonts w:ascii="Times New Roman" w:hAnsi="Times New Roman"/>
          <w:caps/>
          <w:color w:val="auto"/>
          <w:sz w:val="24"/>
          <w:szCs w:val="24"/>
        </w:rPr>
        <w:t>. Do Mérito</w:t>
      </w:r>
      <w:bookmarkEnd w:id="73"/>
      <w:bookmarkEnd w:id="74"/>
      <w:bookmarkEnd w:id="75"/>
      <w:bookmarkEnd w:id="76"/>
      <w:bookmarkEnd w:id="77"/>
      <w:bookmarkEnd w:id="78"/>
    </w:p>
    <w:bookmarkEnd w:id="2"/>
    <w:p w:rsidR="00857A4A"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6.1. Introdução</w:t>
      </w:r>
    </w:p>
    <w:p w:rsidR="00087BF5"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6.1.1. O</w:t>
      </w:r>
      <w:r w:rsidR="00087BF5" w:rsidRPr="007E3047">
        <w:rPr>
          <w:rFonts w:ascii="Times New Roman" w:eastAsia="Times New Roman" w:hAnsi="Times New Roman"/>
          <w:b/>
          <w:sz w:val="24"/>
          <w:szCs w:val="24"/>
        </w:rPr>
        <w:t xml:space="preserve"> cenário latino americano</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De acordo com os ensinamentos de Kosik, um fenômeno social não pode ser analisado isoladamente, sendo apenas possível com</w:t>
      </w:r>
      <w:r w:rsidR="00341070" w:rsidRPr="007E3047">
        <w:rPr>
          <w:rFonts w:ascii="Times New Roman" w:eastAsia="Times New Roman" w:hAnsi="Times New Roman"/>
          <w:sz w:val="24"/>
          <w:szCs w:val="24"/>
        </w:rPr>
        <w:t>preendê-lo a partir de seu todo</w:t>
      </w:r>
      <w:r w:rsidRPr="007E3047">
        <w:rPr>
          <w:rStyle w:val="FootnoteReference"/>
          <w:rFonts w:ascii="Times New Roman" w:hAnsi="Times New Roman"/>
          <w:sz w:val="24"/>
          <w:szCs w:val="24"/>
        </w:rPr>
        <w:footnoteReference w:id="24"/>
      </w:r>
      <w:r w:rsidR="00341070" w:rsidRPr="007E3047">
        <w:rPr>
          <w:rFonts w:ascii="Times New Roman" w:eastAsia="Times New Roman" w:hAnsi="Times New Roman"/>
          <w:sz w:val="24"/>
          <w:szCs w:val="24"/>
        </w:rPr>
        <w:t>. Partindo dess</w:t>
      </w:r>
      <w:r w:rsidRPr="007E3047">
        <w:rPr>
          <w:rFonts w:ascii="Times New Roman" w:eastAsia="Times New Roman" w:hAnsi="Times New Roman"/>
          <w:sz w:val="24"/>
          <w:szCs w:val="24"/>
        </w:rPr>
        <w:t xml:space="preserve">e </w:t>
      </w:r>
      <w:r w:rsidRPr="007E3047">
        <w:rPr>
          <w:rFonts w:ascii="Times New Roman" w:eastAsia="Times New Roman" w:hAnsi="Times New Roman"/>
          <w:sz w:val="24"/>
          <w:szCs w:val="24"/>
        </w:rPr>
        <w:lastRenderedPageBreak/>
        <w:t xml:space="preserve">pressuposto, torna-se necessário fazer uma breve contextualização, que tem por objetivo elucidar alguns aspectos históricos importantes para a compreensão do caso. </w:t>
      </w:r>
    </w:p>
    <w:p w:rsidR="00190A8E"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Pobreza, subdesenvolvimento e déficit social são problemas da América Latina</w:t>
      </w:r>
      <w:r w:rsidR="00190A8E"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conhecidos notoriamente desde a exploração iniciada no século XV pelos portugueses e espanhóis na época das colônias. Mesmo após a independência das regiões, a estrutura imperialista no âmbito internacional não deixou de existir. Séculos mais tarde</w:t>
      </w:r>
      <w:r w:rsidR="00190A8E"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as potências eram outras, mas </w:t>
      </w:r>
      <w:r w:rsidR="00190A8E" w:rsidRPr="007E3047">
        <w:rPr>
          <w:rFonts w:ascii="Times New Roman" w:eastAsia="Times New Roman" w:hAnsi="Times New Roman"/>
          <w:sz w:val="24"/>
          <w:szCs w:val="24"/>
        </w:rPr>
        <w:t>o controle econômico e político continuavam</w:t>
      </w:r>
      <w:r w:rsidRPr="007E3047">
        <w:rPr>
          <w:rFonts w:ascii="Times New Roman" w:eastAsia="Times New Roman" w:hAnsi="Times New Roman"/>
          <w:sz w:val="24"/>
          <w:szCs w:val="24"/>
        </w:rPr>
        <w:t xml:space="preserve"> presente. Foi assim com o Brasil, Argentina, Uruguai, Chile, Peru, Cardenal, entre outros países do continente que passaram por regimes de exceção</w:t>
      </w:r>
      <w:r w:rsidR="00190A8E"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a</w:t>
      </w:r>
      <w:r w:rsidR="00C34384"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partir</w:t>
      </w:r>
      <w:r w:rsidR="00190A8E"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da década de 50 até o final do século XX.</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 Eduardo Galeano afirma em sua obra “Veias Abertas da América Latina”</w:t>
      </w:r>
      <w:r w:rsidRPr="007E3047">
        <w:rPr>
          <w:rStyle w:val="FootnoteReference"/>
          <w:rFonts w:ascii="Times New Roman" w:hAnsi="Times New Roman"/>
          <w:sz w:val="24"/>
          <w:szCs w:val="24"/>
        </w:rPr>
        <w:footnoteReference w:id="25"/>
      </w:r>
      <w:r w:rsidR="00190A8E"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que os golpes militares surgiram no início da Guerra Fria com o apoio dos Estados Unidos, tendo como pretexto o combate ao comunismo. Essa tendência excluiu as massas de qualquer participação política e favoreceu a permanência dos ditadores no poder, os quais defendiam o interesse da elite tradicional e aristocrática e criminalizavam seus opositores. </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 primeira intervenção aconteceu na Guatemala, quando os militares derrubaram o então presidente, Jacobo</w:t>
      </w:r>
      <w:r w:rsidR="00C34384"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Arbenz, em 1954. No mesmo ano, o general Alfredo Stroessner comandou um golpe no Paraguai. Em 1964 é a vez do Brasil ser vítima do golpe militar</w:t>
      </w:r>
      <w:r w:rsidR="00C34384" w:rsidRPr="007E3047">
        <w:rPr>
          <w:rFonts w:ascii="Times New Roman" w:eastAsia="Times New Roman" w:hAnsi="Times New Roman"/>
          <w:sz w:val="24"/>
          <w:szCs w:val="24"/>
        </w:rPr>
        <w:t xml:space="preserve"> depondo o então </w:t>
      </w:r>
      <w:r w:rsidR="00C34384" w:rsidRPr="007E3047">
        <w:rPr>
          <w:rFonts w:ascii="Times New Roman" w:eastAsia="Times New Roman" w:hAnsi="Times New Roman"/>
          <w:sz w:val="24"/>
          <w:szCs w:val="24"/>
        </w:rPr>
        <w:lastRenderedPageBreak/>
        <w:t>presidente João Goulart. E</w:t>
      </w:r>
      <w:r w:rsidRPr="007E3047">
        <w:rPr>
          <w:rFonts w:ascii="Times New Roman" w:eastAsia="Times New Roman" w:hAnsi="Times New Roman"/>
          <w:sz w:val="24"/>
          <w:szCs w:val="24"/>
        </w:rPr>
        <w:t xml:space="preserve">m 1966, </w:t>
      </w:r>
      <w:r w:rsidR="004439D1" w:rsidRPr="007E3047">
        <w:rPr>
          <w:rFonts w:ascii="Times New Roman" w:eastAsia="Times New Roman" w:hAnsi="Times New Roman"/>
          <w:sz w:val="24"/>
          <w:szCs w:val="24"/>
        </w:rPr>
        <w:t>foi a</w:t>
      </w:r>
      <w:r w:rsidRPr="007E3047">
        <w:rPr>
          <w:rFonts w:ascii="Times New Roman" w:eastAsia="Times New Roman" w:hAnsi="Times New Roman"/>
          <w:sz w:val="24"/>
          <w:szCs w:val="24"/>
        </w:rPr>
        <w:t xml:space="preserve"> Argentina</w:t>
      </w:r>
      <w:r w:rsidR="004439D1" w:rsidRPr="007E3047">
        <w:rPr>
          <w:rFonts w:ascii="Times New Roman" w:eastAsia="Times New Roman" w:hAnsi="Times New Roman"/>
          <w:sz w:val="24"/>
          <w:szCs w:val="24"/>
        </w:rPr>
        <w:t xml:space="preserve"> </w:t>
      </w:r>
      <w:r w:rsidR="00F76FC0" w:rsidRPr="007E3047">
        <w:rPr>
          <w:rFonts w:ascii="Times New Roman" w:eastAsia="Times New Roman" w:hAnsi="Times New Roman"/>
          <w:sz w:val="24"/>
          <w:szCs w:val="24"/>
        </w:rPr>
        <w:t>e</w:t>
      </w:r>
      <w:r w:rsidR="00C34384" w:rsidRPr="007E3047">
        <w:rPr>
          <w:rFonts w:ascii="Times New Roman" w:eastAsia="Times New Roman" w:hAnsi="Times New Roman"/>
          <w:sz w:val="24"/>
          <w:szCs w:val="24"/>
        </w:rPr>
        <w:t xml:space="preserve"> em</w:t>
      </w:r>
      <w:r w:rsidR="00F76FC0" w:rsidRPr="007E3047">
        <w:rPr>
          <w:rFonts w:ascii="Times New Roman" w:eastAsia="Times New Roman" w:hAnsi="Times New Roman"/>
          <w:sz w:val="24"/>
          <w:szCs w:val="24"/>
        </w:rPr>
        <w:t xml:space="preserve"> </w:t>
      </w:r>
      <w:r w:rsidR="00C34384" w:rsidRPr="007E3047">
        <w:rPr>
          <w:rFonts w:ascii="Times New Roman" w:eastAsia="Times New Roman" w:hAnsi="Times New Roman"/>
          <w:sz w:val="24"/>
          <w:szCs w:val="24"/>
        </w:rPr>
        <w:t xml:space="preserve">1973, no </w:t>
      </w:r>
      <w:r w:rsidRPr="007E3047">
        <w:rPr>
          <w:rFonts w:ascii="Times New Roman" w:eastAsia="Times New Roman" w:hAnsi="Times New Roman"/>
          <w:sz w:val="24"/>
          <w:szCs w:val="24"/>
        </w:rPr>
        <w:t>Chile</w:t>
      </w:r>
      <w:r w:rsidR="00C34384"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o presidente Salvador Allende se suicida e o general Augusto Pinochet assume o poder</w:t>
      </w:r>
      <w:r w:rsidR="00EF5B8F" w:rsidRPr="007E3047">
        <w:rPr>
          <w:rStyle w:val="FootnoteReference"/>
          <w:rFonts w:ascii="Times New Roman" w:eastAsia="Times New Roman" w:hAnsi="Times New Roman"/>
          <w:sz w:val="24"/>
          <w:szCs w:val="24"/>
        </w:rPr>
        <w:footnoteReference w:id="26"/>
      </w:r>
      <w:r w:rsidRPr="007E3047">
        <w:rPr>
          <w:rFonts w:ascii="Times New Roman" w:eastAsia="Times New Roman" w:hAnsi="Times New Roman"/>
          <w:sz w:val="24"/>
          <w:szCs w:val="24"/>
        </w:rPr>
        <w:t xml:space="preserve">. </w:t>
      </w:r>
    </w:p>
    <w:p w:rsidR="00087BF5" w:rsidRPr="007E3047" w:rsidRDefault="00F76FC0"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É neste contexto continental que se</w:t>
      </w:r>
      <w:r w:rsidR="00087BF5" w:rsidRPr="007E3047">
        <w:rPr>
          <w:rFonts w:ascii="Times New Roman" w:eastAsia="Times New Roman" w:hAnsi="Times New Roman"/>
          <w:sz w:val="24"/>
          <w:szCs w:val="24"/>
        </w:rPr>
        <w:t xml:space="preserve"> instala o regime de exceção em Cardenal. A desigualdade social se intensifica, visto a escassez de políticas voltadas à distribuição de renda. Destaca-se que o viés aristocrático dos regimes ditatoriais agravaram a marginalização da população carente e o enfoque integracionista segregou ainda mais a população indígena. </w:t>
      </w:r>
      <w:r w:rsidRPr="007E3047">
        <w:rPr>
          <w:rFonts w:ascii="Times New Roman" w:eastAsia="Times New Roman" w:hAnsi="Times New Roman"/>
          <w:sz w:val="24"/>
          <w:szCs w:val="24"/>
        </w:rPr>
        <w:t xml:space="preserve">Reestabelecida </w:t>
      </w:r>
      <w:r w:rsidR="00087BF5" w:rsidRPr="007E3047">
        <w:rPr>
          <w:rFonts w:ascii="Times New Roman" w:eastAsia="Times New Roman" w:hAnsi="Times New Roman"/>
          <w:sz w:val="24"/>
          <w:szCs w:val="24"/>
        </w:rPr>
        <w:t>a democracia, o país sofreu mais um golpe no início dos anos 2000</w:t>
      </w:r>
      <w:r w:rsidRPr="007E3047">
        <w:rPr>
          <w:rFonts w:ascii="Times New Roman" w:eastAsia="Times New Roman" w:hAnsi="Times New Roman"/>
          <w:sz w:val="24"/>
          <w:szCs w:val="24"/>
        </w:rPr>
        <w:t xml:space="preserve"> pelo</w:t>
      </w:r>
      <w:r w:rsidR="00087BF5" w:rsidRPr="007E3047">
        <w:rPr>
          <w:rFonts w:ascii="Times New Roman" w:eastAsia="Times New Roman" w:hAnsi="Times New Roman"/>
          <w:sz w:val="24"/>
          <w:szCs w:val="24"/>
        </w:rPr>
        <w:t xml:space="preserve"> então presidente</w:t>
      </w:r>
      <w:r w:rsidR="00507C12" w:rsidRPr="007E3047">
        <w:rPr>
          <w:rFonts w:ascii="Times New Roman" w:eastAsia="Times New Roman" w:hAnsi="Times New Roman"/>
          <w:sz w:val="24"/>
          <w:szCs w:val="24"/>
        </w:rPr>
        <w:t xml:space="preserve"> Armando</w:t>
      </w:r>
      <w:r w:rsidR="00087BF5" w:rsidRPr="007E3047">
        <w:rPr>
          <w:rFonts w:ascii="Times New Roman" w:eastAsia="Times New Roman" w:hAnsi="Times New Roman"/>
          <w:sz w:val="24"/>
          <w:szCs w:val="24"/>
        </w:rPr>
        <w:t xml:space="preserve"> Ferreira</w:t>
      </w:r>
      <w:r w:rsidRPr="007E3047">
        <w:rPr>
          <w:rFonts w:ascii="Times New Roman" w:eastAsia="Times New Roman" w:hAnsi="Times New Roman"/>
          <w:sz w:val="24"/>
          <w:szCs w:val="24"/>
        </w:rPr>
        <w:t>.</w:t>
      </w:r>
      <w:r w:rsidR="00C34384" w:rsidRPr="007E3047">
        <w:rPr>
          <w:rFonts w:ascii="Times New Roman" w:eastAsia="Times New Roman" w:hAnsi="Times New Roman"/>
          <w:sz w:val="24"/>
          <w:szCs w:val="24"/>
        </w:rPr>
        <w:t xml:space="preserve"> </w:t>
      </w:r>
      <w:r w:rsidR="00087BF5" w:rsidRPr="007E3047">
        <w:rPr>
          <w:rFonts w:ascii="Times New Roman" w:eastAsia="Times New Roman" w:hAnsi="Times New Roman"/>
          <w:sz w:val="24"/>
          <w:szCs w:val="24"/>
        </w:rPr>
        <w:t xml:space="preserve">Apesar do discurso de desenvolvimento econômico dos militares, o regime ditatorial causou um grande retrocesso na economia dos países, gerando (mais) empobrecimento das populações. </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Osvaldo Coggiola destaca que as taxas de desemprego chegaram a oscilar entre 25% e 50% em países como Chile, Argentina e Bolívia. Diante dessa crise, os “Estados Unidos e o empresariado local favoreceram os regimes democratizantes como um recurso de emergência perante a falência</w:t>
      </w:r>
      <w:r w:rsidR="00C34384" w:rsidRPr="007E3047">
        <w:rPr>
          <w:rFonts w:ascii="Times New Roman" w:eastAsia="Times New Roman" w:hAnsi="Times New Roman"/>
          <w:sz w:val="24"/>
          <w:szCs w:val="24"/>
        </w:rPr>
        <w:t xml:space="preserve"> dos regimes militares”, ainda </w:t>
      </w:r>
      <w:r w:rsidRPr="007E3047">
        <w:rPr>
          <w:rFonts w:ascii="Times New Roman" w:eastAsia="Times New Roman" w:hAnsi="Times New Roman"/>
          <w:sz w:val="24"/>
          <w:szCs w:val="24"/>
        </w:rPr>
        <w:t xml:space="preserve">que a transição do regime não </w:t>
      </w:r>
      <w:r w:rsidR="00C34384" w:rsidRPr="007E3047">
        <w:rPr>
          <w:rFonts w:ascii="Times New Roman" w:eastAsia="Times New Roman" w:hAnsi="Times New Roman"/>
          <w:sz w:val="24"/>
          <w:szCs w:val="24"/>
        </w:rPr>
        <w:t xml:space="preserve">tenha consistido </w:t>
      </w:r>
      <w:r w:rsidRPr="007E3047">
        <w:rPr>
          <w:rFonts w:ascii="Times New Roman" w:eastAsia="Times New Roman" w:hAnsi="Times New Roman"/>
          <w:sz w:val="24"/>
          <w:szCs w:val="24"/>
        </w:rPr>
        <w:t xml:space="preserve">“verdadeiramente a implantação de uma democracia política, mas a fachada constitucional para um conjunto de instituições que tinham sua origem na ditadura militar” </w:t>
      </w:r>
      <w:r w:rsidRPr="007E3047">
        <w:rPr>
          <w:rStyle w:val="FootnoteReference"/>
          <w:rFonts w:ascii="Times New Roman" w:hAnsi="Times New Roman"/>
          <w:sz w:val="24"/>
          <w:szCs w:val="24"/>
        </w:rPr>
        <w:footnoteReference w:id="27"/>
      </w:r>
      <w:r w:rsidRPr="007E3047">
        <w:rPr>
          <w:rFonts w:ascii="Times New Roman" w:eastAsia="Times New Roman" w:hAnsi="Times New Roman"/>
          <w:sz w:val="24"/>
          <w:szCs w:val="24"/>
        </w:rPr>
        <w:t xml:space="preserve">. </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Na grande maior</w:t>
      </w:r>
      <w:r w:rsidR="00C34384" w:rsidRPr="007E3047">
        <w:rPr>
          <w:rFonts w:ascii="Times New Roman" w:eastAsia="Times New Roman" w:hAnsi="Times New Roman"/>
          <w:sz w:val="24"/>
          <w:szCs w:val="24"/>
        </w:rPr>
        <w:t>ia dos países latino-americanos</w:t>
      </w:r>
      <w:r w:rsidRPr="007E3047">
        <w:rPr>
          <w:rFonts w:ascii="Times New Roman" w:eastAsia="Times New Roman" w:hAnsi="Times New Roman"/>
          <w:sz w:val="24"/>
          <w:szCs w:val="24"/>
        </w:rPr>
        <w:t xml:space="preserve"> a transição ocorreu por meio de leis de anistia, sem investigação, processamento e puniç</w:t>
      </w:r>
      <w:r w:rsidR="00C34384" w:rsidRPr="007E3047">
        <w:rPr>
          <w:rFonts w:ascii="Times New Roman" w:eastAsia="Times New Roman" w:hAnsi="Times New Roman"/>
          <w:sz w:val="24"/>
          <w:szCs w:val="24"/>
        </w:rPr>
        <w:t>ão dos violadores, bem como</w:t>
      </w:r>
      <w:r w:rsidRPr="007E3047">
        <w:rPr>
          <w:rFonts w:ascii="Times New Roman" w:eastAsia="Times New Roman" w:hAnsi="Times New Roman"/>
          <w:sz w:val="24"/>
          <w:szCs w:val="24"/>
        </w:rPr>
        <w:t xml:space="preserve"> sem o esclarecimento da verdade. Pode</w:t>
      </w:r>
      <w:r w:rsidR="00C34384" w:rsidRPr="007E3047">
        <w:rPr>
          <w:rFonts w:ascii="Times New Roman" w:eastAsia="Times New Roman" w:hAnsi="Times New Roman"/>
          <w:sz w:val="24"/>
          <w:szCs w:val="24"/>
        </w:rPr>
        <w:t>m ser citados</w:t>
      </w:r>
      <w:r w:rsidRPr="007E3047">
        <w:rPr>
          <w:rFonts w:ascii="Times New Roman" w:eastAsia="Times New Roman" w:hAnsi="Times New Roman"/>
          <w:sz w:val="24"/>
          <w:szCs w:val="24"/>
        </w:rPr>
        <w:t xml:space="preserve"> os seguintes casos: Uruguai (Lei de Caducidade da </w:t>
      </w:r>
      <w:r w:rsidRPr="007E3047">
        <w:rPr>
          <w:rFonts w:ascii="Times New Roman" w:eastAsia="Times New Roman" w:hAnsi="Times New Roman"/>
          <w:sz w:val="24"/>
          <w:szCs w:val="24"/>
        </w:rPr>
        <w:lastRenderedPageBreak/>
        <w:t>Pretensão Punitiva do Estado n</w:t>
      </w:r>
      <w:r w:rsidRPr="007E3047">
        <w:rPr>
          <w:rFonts w:ascii="Times New Roman" w:eastAsia="Times New Roman" w:hAnsi="Times New Roman"/>
          <w:sz w:val="24"/>
          <w:szCs w:val="24"/>
          <w:vertAlign w:val="superscript"/>
        </w:rPr>
        <w:t>o</w:t>
      </w:r>
      <w:r w:rsidRPr="007E3047">
        <w:rPr>
          <w:rFonts w:ascii="Times New Roman" w:eastAsia="Times New Roman" w:hAnsi="Times New Roman"/>
          <w:sz w:val="24"/>
          <w:szCs w:val="24"/>
        </w:rPr>
        <w:t xml:space="preserve"> 15.848/86), Brasil (Lei de Anistia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Pr="007E3047">
        <w:rPr>
          <w:rFonts w:ascii="Times New Roman" w:eastAsia="Times New Roman" w:hAnsi="Times New Roman"/>
          <w:sz w:val="24"/>
          <w:szCs w:val="24"/>
        </w:rPr>
        <w:t>6.683/79), Peru (Leis de Anistia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Pr="007E3047">
        <w:rPr>
          <w:rFonts w:ascii="Times New Roman" w:eastAsia="Times New Roman" w:hAnsi="Times New Roman"/>
          <w:sz w:val="24"/>
          <w:szCs w:val="24"/>
        </w:rPr>
        <w:t>26.479/95 e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Pr="007E3047">
        <w:rPr>
          <w:rFonts w:ascii="Times New Roman" w:eastAsia="Times New Roman" w:hAnsi="Times New Roman"/>
          <w:sz w:val="24"/>
          <w:szCs w:val="24"/>
        </w:rPr>
        <w:t>26.492/95) e Chile (Lei de Anistia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004B3261" w:rsidRPr="007E3047">
        <w:rPr>
          <w:rFonts w:ascii="Times New Roman" w:eastAsia="Times New Roman" w:hAnsi="Times New Roman"/>
          <w:sz w:val="24"/>
          <w:szCs w:val="24"/>
        </w:rPr>
        <w:t xml:space="preserve">2.191/78) </w:t>
      </w:r>
      <w:r w:rsidR="000D5F0B" w:rsidRPr="007E3047">
        <w:rPr>
          <w:rStyle w:val="FootnoteReference"/>
          <w:rFonts w:ascii="Times New Roman" w:eastAsia="Times New Roman" w:hAnsi="Times New Roman"/>
          <w:sz w:val="24"/>
          <w:szCs w:val="24"/>
        </w:rPr>
        <w:footnoteReference w:id="28"/>
      </w:r>
      <w:r w:rsidR="004B3261" w:rsidRPr="007E3047">
        <w:rPr>
          <w:rFonts w:ascii="Times New Roman" w:eastAsia="Times New Roman" w:hAnsi="Times New Roman"/>
          <w:sz w:val="24"/>
          <w:szCs w:val="24"/>
        </w:rPr>
        <w:t xml:space="preserve">. </w:t>
      </w:r>
    </w:p>
    <w:p w:rsidR="00087BF5" w:rsidRPr="007E3047" w:rsidRDefault="00087BF5" w:rsidP="0033679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Já Cardenal, apesar ser o segundo país mais pobre do continente americano e o mais desigual em termos de distribuição de renda e concentração de terra</w:t>
      </w:r>
      <w:r w:rsidR="0086140A" w:rsidRPr="007E3047">
        <w:rPr>
          <w:rStyle w:val="FootnoteReference"/>
          <w:rFonts w:ascii="Times New Roman" w:eastAsia="Times New Roman" w:hAnsi="Times New Roman"/>
          <w:sz w:val="24"/>
          <w:szCs w:val="24"/>
        </w:rPr>
        <w:footnoteReference w:id="29"/>
      </w:r>
      <w:r w:rsidRPr="007E3047">
        <w:rPr>
          <w:rFonts w:ascii="Times New Roman" w:eastAsia="Times New Roman" w:hAnsi="Times New Roman"/>
          <w:sz w:val="24"/>
          <w:szCs w:val="24"/>
        </w:rPr>
        <w:t>,</w:t>
      </w:r>
      <w:r w:rsidR="00336796" w:rsidRPr="007E3047">
        <w:rPr>
          <w:rFonts w:ascii="Times New Roman" w:eastAsia="Times New Roman" w:hAnsi="Times New Roman"/>
          <w:sz w:val="24"/>
          <w:szCs w:val="24"/>
        </w:rPr>
        <w:t xml:space="preserve"> tendo um PIB inferior ao Haiti</w:t>
      </w:r>
      <w:r w:rsidRPr="007E3047">
        <w:rPr>
          <w:rStyle w:val="FootnoteReference"/>
          <w:rFonts w:ascii="Times New Roman" w:hAnsi="Times New Roman"/>
          <w:sz w:val="24"/>
          <w:szCs w:val="24"/>
        </w:rPr>
        <w:footnoteReference w:id="30"/>
      </w:r>
      <w:r w:rsidRPr="007E3047">
        <w:rPr>
          <w:rFonts w:ascii="Times New Roman" w:eastAsia="Times New Roman" w:hAnsi="Times New Roman"/>
          <w:sz w:val="24"/>
          <w:szCs w:val="24"/>
        </w:rPr>
        <w:t xml:space="preserve">, foi o único Estado a desenvolver medidas conforme </w:t>
      </w:r>
      <w:r w:rsidR="00336796" w:rsidRPr="007E3047">
        <w:rPr>
          <w:rFonts w:ascii="Times New Roman" w:eastAsia="Times New Roman" w:hAnsi="Times New Roman"/>
          <w:sz w:val="24"/>
          <w:szCs w:val="24"/>
        </w:rPr>
        <w:t xml:space="preserve">requer uma eficiente justiça de transição </w:t>
      </w:r>
      <w:r w:rsidRPr="007E3047">
        <w:rPr>
          <w:rFonts w:ascii="Times New Roman" w:eastAsia="Times New Roman" w:hAnsi="Times New Roman"/>
          <w:sz w:val="24"/>
          <w:szCs w:val="24"/>
        </w:rPr>
        <w:t xml:space="preserve">para o processo de paz e </w:t>
      </w:r>
      <w:r w:rsidR="00336796" w:rsidRPr="007E3047">
        <w:rPr>
          <w:rFonts w:ascii="Times New Roman" w:eastAsia="Times New Roman" w:hAnsi="Times New Roman"/>
          <w:sz w:val="24"/>
          <w:szCs w:val="24"/>
        </w:rPr>
        <w:t>(re)</w:t>
      </w:r>
      <w:r w:rsidRPr="007E3047">
        <w:rPr>
          <w:rFonts w:ascii="Times New Roman" w:eastAsia="Times New Roman" w:hAnsi="Times New Roman"/>
          <w:sz w:val="24"/>
          <w:szCs w:val="24"/>
        </w:rPr>
        <w:t>democratização</w:t>
      </w:r>
      <w:r w:rsidR="00A75F27" w:rsidRPr="007E3047">
        <w:rPr>
          <w:rFonts w:ascii="Times New Roman" w:eastAsia="Times New Roman" w:hAnsi="Times New Roman"/>
          <w:sz w:val="24"/>
          <w:szCs w:val="24"/>
        </w:rPr>
        <w:t xml:space="preserve">. </w:t>
      </w:r>
      <w:r w:rsidR="00336796" w:rsidRPr="007E3047">
        <w:rPr>
          <w:rFonts w:ascii="Times New Roman" w:eastAsia="Times New Roman" w:hAnsi="Times New Roman"/>
          <w:sz w:val="24"/>
          <w:szCs w:val="24"/>
        </w:rPr>
        <w:t>Foram instituídas</w:t>
      </w:r>
      <w:r w:rsidR="00A75F27" w:rsidRPr="007E3047">
        <w:rPr>
          <w:rFonts w:ascii="Times New Roman" w:eastAsia="Times New Roman" w:hAnsi="Times New Roman"/>
          <w:sz w:val="24"/>
          <w:szCs w:val="24"/>
        </w:rPr>
        <w:t xml:space="preserve"> comissões, tribunal especializado</w:t>
      </w:r>
      <w:r w:rsidRPr="007E3047">
        <w:rPr>
          <w:rFonts w:ascii="Times New Roman" w:eastAsia="Times New Roman" w:hAnsi="Times New Roman"/>
          <w:sz w:val="24"/>
          <w:szCs w:val="24"/>
        </w:rPr>
        <w:t>, políticas de reparação às vítimas e</w:t>
      </w:r>
      <w:r w:rsidR="00336796" w:rsidRPr="007E3047">
        <w:rPr>
          <w:rFonts w:ascii="Times New Roman" w:eastAsia="Times New Roman" w:hAnsi="Times New Roman"/>
          <w:sz w:val="24"/>
          <w:szCs w:val="24"/>
        </w:rPr>
        <w:t xml:space="preserve"> sendo pautado</w:t>
      </w:r>
      <w:r w:rsidRPr="007E3047">
        <w:rPr>
          <w:rFonts w:ascii="Times New Roman" w:eastAsia="Times New Roman" w:hAnsi="Times New Roman"/>
          <w:sz w:val="24"/>
          <w:szCs w:val="24"/>
        </w:rPr>
        <w:t>, em todos os momentos, pelo diálogo, resultando na aprovação e satisfação da maioria da população</w:t>
      </w:r>
      <w:r w:rsidR="00402959" w:rsidRPr="007E3047">
        <w:rPr>
          <w:rStyle w:val="FootnoteReference"/>
          <w:rFonts w:ascii="Times New Roman" w:eastAsia="Times New Roman" w:hAnsi="Times New Roman"/>
          <w:sz w:val="24"/>
          <w:szCs w:val="24"/>
        </w:rPr>
        <w:footnoteReference w:id="31"/>
      </w:r>
      <w:r w:rsidRPr="007E3047">
        <w:rPr>
          <w:rFonts w:ascii="Times New Roman" w:eastAsia="Times New Roman" w:hAnsi="Times New Roman"/>
          <w:sz w:val="24"/>
          <w:szCs w:val="24"/>
        </w:rPr>
        <w:t xml:space="preserve">. Destaca-se que as medidas implantadas foram elogiadas por estudiosos da matéria e, inclusive, obteve a aprovação da Promotoria </w:t>
      </w:r>
      <w:r w:rsidR="00F76FC0" w:rsidRPr="007E3047">
        <w:rPr>
          <w:rFonts w:ascii="Times New Roman" w:eastAsia="Times New Roman" w:hAnsi="Times New Roman"/>
          <w:sz w:val="24"/>
          <w:szCs w:val="24"/>
        </w:rPr>
        <w:t>do Tribunal</w:t>
      </w:r>
      <w:r w:rsidRPr="007E3047">
        <w:rPr>
          <w:rFonts w:ascii="Times New Roman" w:eastAsia="Times New Roman" w:hAnsi="Times New Roman"/>
          <w:sz w:val="24"/>
          <w:szCs w:val="24"/>
        </w:rPr>
        <w:t xml:space="preserve"> Penal Internacional, que vinha acompanhando o processo e se absteve de apresentar o caso perante </w:t>
      </w:r>
      <w:r w:rsidR="00815137" w:rsidRPr="007E3047">
        <w:rPr>
          <w:rFonts w:ascii="Times New Roman" w:eastAsia="Times New Roman" w:hAnsi="Times New Roman"/>
          <w:sz w:val="24"/>
          <w:szCs w:val="24"/>
        </w:rPr>
        <w:t>o TPI</w:t>
      </w:r>
      <w:r w:rsidRPr="007E3047">
        <w:rPr>
          <w:rStyle w:val="FootnoteReference"/>
          <w:rFonts w:ascii="Times New Roman" w:hAnsi="Times New Roman"/>
          <w:sz w:val="24"/>
          <w:szCs w:val="24"/>
        </w:rPr>
        <w:footnoteReference w:id="32"/>
      </w:r>
      <w:r w:rsidRPr="007E3047">
        <w:rPr>
          <w:rFonts w:ascii="Times New Roman" w:eastAsia="Times New Roman" w:hAnsi="Times New Roman"/>
          <w:sz w:val="24"/>
          <w:szCs w:val="24"/>
        </w:rPr>
        <w:t>.</w:t>
      </w:r>
    </w:p>
    <w:p w:rsidR="00857A4A" w:rsidRPr="007E3047" w:rsidRDefault="00857A4A" w:rsidP="00857A4A">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6.1.2. Justiça de Transição</w:t>
      </w:r>
    </w:p>
    <w:p w:rsidR="00857A4A" w:rsidRPr="007E3047" w:rsidRDefault="00857A4A" w:rsidP="00857A4A">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Os fatos que trouxeram o presente caso à Corte IDH ocorreram em um momento isolado na história de Cardenal, com características comuns a tantos outros regimes ditatoriais na América Latina e que fizeram surgir o que se chama de Justiça de Transição. Assim, faz-se necessário em um primeiro momento definir o que vem a ser tal instituto.</w:t>
      </w:r>
    </w:p>
    <w:p w:rsidR="00857A4A" w:rsidRPr="007E3047" w:rsidRDefault="00857A4A" w:rsidP="00A416B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Justiça de Transição é um conceito relativamente novo que se refere a </w:t>
      </w:r>
      <w:r w:rsidR="00FC69C1" w:rsidRPr="007E3047">
        <w:rPr>
          <w:rFonts w:ascii="Times New Roman" w:eastAsia="Times New Roman" w:hAnsi="Times New Roman"/>
          <w:sz w:val="24"/>
          <w:szCs w:val="24"/>
        </w:rPr>
        <w:t>como uma sociedade e/ou E</w:t>
      </w:r>
      <w:r w:rsidRPr="007E3047">
        <w:rPr>
          <w:rFonts w:ascii="Times New Roman" w:eastAsia="Times New Roman" w:hAnsi="Times New Roman"/>
          <w:sz w:val="24"/>
          <w:szCs w:val="24"/>
        </w:rPr>
        <w:t xml:space="preserve">stados devem lidar </w:t>
      </w:r>
      <w:r w:rsidR="00AB25C8" w:rsidRPr="007E3047">
        <w:rPr>
          <w:rFonts w:ascii="Times New Roman" w:eastAsia="Times New Roman" w:hAnsi="Times New Roman"/>
          <w:sz w:val="24"/>
          <w:szCs w:val="24"/>
        </w:rPr>
        <w:t>com o legado da violência</w:t>
      </w:r>
      <w:r w:rsidRPr="007E3047">
        <w:rPr>
          <w:rFonts w:ascii="Times New Roman" w:eastAsia="Times New Roman" w:hAnsi="Times New Roman"/>
          <w:sz w:val="24"/>
          <w:szCs w:val="24"/>
        </w:rPr>
        <w:t xml:space="preserve"> ou de violações de direitos </w:t>
      </w:r>
      <w:r w:rsidRPr="007E3047">
        <w:rPr>
          <w:rFonts w:ascii="Times New Roman" w:eastAsia="Times New Roman" w:hAnsi="Times New Roman"/>
          <w:sz w:val="24"/>
          <w:szCs w:val="24"/>
        </w:rPr>
        <w:lastRenderedPageBreak/>
        <w:t>humanos após um período de opressão, tais como: um período de conflito armado, guerra civil, violações em massa, genocídio, terrorismo de Estado e outras</w:t>
      </w:r>
      <w:r w:rsidR="00AB25C8" w:rsidRPr="007E3047">
        <w:rPr>
          <w:rFonts w:ascii="Times New Roman" w:eastAsia="Times New Roman" w:hAnsi="Times New Roman"/>
          <w:sz w:val="24"/>
          <w:szCs w:val="24"/>
        </w:rPr>
        <w:t xml:space="preserve"> formas graves de trauma social</w:t>
      </w:r>
      <w:r w:rsidRPr="007E3047">
        <w:rPr>
          <w:rStyle w:val="FootnoteReference"/>
          <w:rFonts w:ascii="Times New Roman" w:eastAsia="Times New Roman" w:hAnsi="Times New Roman"/>
          <w:sz w:val="24"/>
          <w:szCs w:val="24"/>
        </w:rPr>
        <w:footnoteReference w:id="33"/>
      </w:r>
      <w:r w:rsidRPr="007E3047">
        <w:rPr>
          <w:rStyle w:val="FootnoteReference"/>
          <w:rFonts w:ascii="Times New Roman" w:eastAsia="Times New Roman" w:hAnsi="Times New Roman"/>
          <w:sz w:val="24"/>
          <w:szCs w:val="24"/>
          <w:vertAlign w:val="baseline"/>
        </w:rPr>
        <w:t>.</w:t>
      </w:r>
    </w:p>
    <w:p w:rsidR="00C71FA6" w:rsidRPr="007E3047" w:rsidRDefault="00857A4A" w:rsidP="00B54E53">
      <w:p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ab/>
        <w:t>A categoria é compreendida como marco teórico para lidar com atrocidades do passado, sendo parte de um processo que deve encaminhar uma transformação política, como a mudança de um regime autoritário ou repressivo</w:t>
      </w:r>
      <w:r w:rsidR="00AE4EDD"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para um r</w:t>
      </w:r>
      <w:r w:rsidR="007E2E84" w:rsidRPr="007E3047">
        <w:rPr>
          <w:rFonts w:ascii="Times New Roman" w:eastAsia="Times New Roman" w:hAnsi="Times New Roman"/>
          <w:sz w:val="24"/>
          <w:szCs w:val="24"/>
        </w:rPr>
        <w:t>egime democrático</w:t>
      </w:r>
      <w:r w:rsidR="00A729CA" w:rsidRPr="007E3047">
        <w:rPr>
          <w:rFonts w:ascii="Times New Roman" w:eastAsia="Times New Roman" w:hAnsi="Times New Roman"/>
          <w:sz w:val="24"/>
          <w:szCs w:val="24"/>
        </w:rPr>
        <w:t xml:space="preserve"> ou eleito. Podendo ser também a </w:t>
      </w:r>
      <w:r w:rsidRPr="007E3047">
        <w:rPr>
          <w:rFonts w:ascii="Times New Roman" w:eastAsia="Times New Roman" w:hAnsi="Times New Roman"/>
          <w:sz w:val="24"/>
          <w:szCs w:val="24"/>
        </w:rPr>
        <w:t>transição de uma situação de conflito para uma estrutura</w:t>
      </w:r>
      <w:r w:rsidR="007E2E84" w:rsidRPr="007E3047">
        <w:rPr>
          <w:rFonts w:ascii="Times New Roman" w:eastAsia="Times New Roman" w:hAnsi="Times New Roman"/>
          <w:sz w:val="24"/>
          <w:szCs w:val="24"/>
        </w:rPr>
        <w:t xml:space="preserve"> social de paz e</w:t>
      </w:r>
      <w:r w:rsidR="00954719" w:rsidRPr="007E3047">
        <w:rPr>
          <w:rFonts w:ascii="Times New Roman" w:eastAsia="Times New Roman" w:hAnsi="Times New Roman"/>
          <w:sz w:val="24"/>
          <w:szCs w:val="24"/>
        </w:rPr>
        <w:t xml:space="preserve"> estabilidade.</w:t>
      </w:r>
    </w:p>
    <w:p w:rsidR="00AE7431"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6.3</w:t>
      </w:r>
      <w:r w:rsidR="000B314D" w:rsidRPr="007E3047">
        <w:rPr>
          <w:rFonts w:ascii="Times New Roman" w:eastAsia="Times New Roman" w:hAnsi="Times New Roman"/>
          <w:b/>
          <w:sz w:val="24"/>
          <w:szCs w:val="24"/>
        </w:rPr>
        <w:t xml:space="preserve"> Da não violação dos art</w:t>
      </w:r>
      <w:r w:rsidR="00F0286D" w:rsidRPr="007E3047">
        <w:rPr>
          <w:rFonts w:ascii="Times New Roman" w:eastAsia="Times New Roman" w:hAnsi="Times New Roman"/>
          <w:b/>
          <w:sz w:val="24"/>
          <w:szCs w:val="24"/>
        </w:rPr>
        <w:t>s</w:t>
      </w:r>
      <w:r w:rsidR="000B314D" w:rsidRPr="007E3047">
        <w:rPr>
          <w:rFonts w:ascii="Times New Roman" w:eastAsia="Times New Roman" w:hAnsi="Times New Roman"/>
          <w:b/>
          <w:sz w:val="24"/>
          <w:szCs w:val="24"/>
        </w:rPr>
        <w:t>.</w:t>
      </w:r>
      <w:r w:rsidR="00F0286D" w:rsidRPr="007E3047">
        <w:rPr>
          <w:rFonts w:ascii="Times New Roman" w:eastAsia="Times New Roman" w:hAnsi="Times New Roman"/>
          <w:b/>
          <w:sz w:val="24"/>
          <w:szCs w:val="24"/>
        </w:rPr>
        <w:t xml:space="preserve"> 2</w:t>
      </w:r>
      <w:r w:rsidR="00523878"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(dever de adotar disposições de direito interno)</w:t>
      </w:r>
      <w:r w:rsidR="00F0286D" w:rsidRPr="007E3047">
        <w:rPr>
          <w:rFonts w:ascii="Times New Roman" w:eastAsia="Times New Roman" w:hAnsi="Times New Roman"/>
          <w:b/>
          <w:sz w:val="24"/>
          <w:szCs w:val="24"/>
        </w:rPr>
        <w:t>,</w:t>
      </w:r>
      <w:r w:rsidR="00AE7431" w:rsidRPr="007E3047">
        <w:rPr>
          <w:rFonts w:ascii="Times New Roman" w:eastAsia="Times New Roman" w:hAnsi="Times New Roman"/>
          <w:b/>
          <w:sz w:val="24"/>
          <w:szCs w:val="24"/>
        </w:rPr>
        <w:t xml:space="preserve"> 8 </w:t>
      </w:r>
      <w:r w:rsidR="000E7912" w:rsidRPr="007E3047">
        <w:rPr>
          <w:rFonts w:ascii="Times New Roman" w:eastAsia="Times New Roman" w:hAnsi="Times New Roman"/>
          <w:b/>
          <w:sz w:val="24"/>
          <w:szCs w:val="24"/>
        </w:rPr>
        <w:t xml:space="preserve">(garantias judiciais) </w:t>
      </w:r>
      <w:r w:rsidR="00F0286D" w:rsidRPr="007E3047">
        <w:rPr>
          <w:rFonts w:ascii="Times New Roman" w:eastAsia="Times New Roman" w:hAnsi="Times New Roman"/>
          <w:b/>
          <w:sz w:val="24"/>
          <w:szCs w:val="24"/>
        </w:rPr>
        <w:t>e</w:t>
      </w:r>
      <w:r w:rsidR="00AE7431" w:rsidRPr="007E3047">
        <w:rPr>
          <w:rFonts w:ascii="Times New Roman" w:eastAsia="Times New Roman" w:hAnsi="Times New Roman"/>
          <w:b/>
          <w:sz w:val="24"/>
          <w:szCs w:val="24"/>
        </w:rPr>
        <w:t xml:space="preserve"> 25</w:t>
      </w:r>
      <w:r w:rsidR="00523878"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 xml:space="preserve">(proteção judicial) </w:t>
      </w:r>
      <w:r w:rsidR="00F0286D" w:rsidRPr="007E3047">
        <w:rPr>
          <w:rFonts w:ascii="Times New Roman" w:eastAsia="Times New Roman" w:hAnsi="Times New Roman"/>
          <w:b/>
          <w:sz w:val="24"/>
          <w:szCs w:val="24"/>
        </w:rPr>
        <w:t>c/c 1.1</w:t>
      </w:r>
      <w:r w:rsidR="006F5C06"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w:t>
      </w:r>
      <w:r w:rsidR="00707F5D" w:rsidRPr="007E3047">
        <w:rPr>
          <w:rFonts w:ascii="Times New Roman" w:eastAsia="Times New Roman" w:hAnsi="Times New Roman"/>
          <w:b/>
          <w:sz w:val="24"/>
          <w:szCs w:val="24"/>
        </w:rPr>
        <w:t>obrigação</w:t>
      </w:r>
      <w:r w:rsidR="000E7912" w:rsidRPr="007E3047">
        <w:rPr>
          <w:rFonts w:ascii="Times New Roman" w:eastAsia="Times New Roman" w:hAnsi="Times New Roman"/>
          <w:b/>
          <w:sz w:val="24"/>
          <w:szCs w:val="24"/>
        </w:rPr>
        <w:t xml:space="preserve"> de adotar disposições de direito interno)</w:t>
      </w:r>
    </w:p>
    <w:p w:rsidR="00AE7431"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6.3.1</w:t>
      </w:r>
      <w:r w:rsidR="006F5C06" w:rsidRPr="007E3047">
        <w:rPr>
          <w:rFonts w:ascii="Times New Roman" w:eastAsia="Times New Roman" w:hAnsi="Times New Roman"/>
          <w:b/>
          <w:sz w:val="24"/>
          <w:szCs w:val="24"/>
        </w:rPr>
        <w:t xml:space="preserve"> </w:t>
      </w:r>
      <w:r w:rsidR="00F0286D" w:rsidRPr="007E3047">
        <w:rPr>
          <w:rFonts w:ascii="Times New Roman" w:eastAsia="Times New Roman" w:hAnsi="Times New Roman"/>
          <w:b/>
          <w:sz w:val="24"/>
          <w:szCs w:val="24"/>
        </w:rPr>
        <w:t>Da não violação do a</w:t>
      </w:r>
      <w:r w:rsidR="000B314D" w:rsidRPr="007E3047">
        <w:rPr>
          <w:rFonts w:ascii="Times New Roman" w:eastAsia="Times New Roman" w:hAnsi="Times New Roman"/>
          <w:b/>
          <w:sz w:val="24"/>
          <w:szCs w:val="24"/>
        </w:rPr>
        <w:t>rt.</w:t>
      </w:r>
      <w:r w:rsidR="00AE7431" w:rsidRPr="007E3047">
        <w:rPr>
          <w:rFonts w:ascii="Times New Roman" w:eastAsia="Times New Roman" w:hAnsi="Times New Roman"/>
          <w:b/>
          <w:sz w:val="24"/>
          <w:szCs w:val="24"/>
        </w:rPr>
        <w:t xml:space="preserve"> 2</w:t>
      </w:r>
      <w:r w:rsidR="006F5C06"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(dever de adotar disposições de direito interno)</w:t>
      </w:r>
      <w:r w:rsidR="006F5C06" w:rsidRPr="007E3047">
        <w:rPr>
          <w:rFonts w:ascii="Times New Roman" w:eastAsia="Times New Roman" w:hAnsi="Times New Roman"/>
          <w:b/>
          <w:sz w:val="24"/>
          <w:szCs w:val="24"/>
        </w:rPr>
        <w:t xml:space="preserve"> </w:t>
      </w:r>
      <w:r w:rsidR="00F0286D" w:rsidRPr="007E3047">
        <w:rPr>
          <w:rFonts w:ascii="Times New Roman" w:eastAsia="Times New Roman" w:hAnsi="Times New Roman"/>
          <w:b/>
          <w:sz w:val="24"/>
          <w:szCs w:val="24"/>
        </w:rPr>
        <w:t xml:space="preserve">c/c 1.1 </w:t>
      </w:r>
      <w:r w:rsidR="000E7912" w:rsidRPr="007E3047">
        <w:rPr>
          <w:rFonts w:ascii="Times New Roman" w:hAnsi="Times New Roman"/>
          <w:b/>
          <w:color w:val="000000"/>
          <w:sz w:val="24"/>
          <w:szCs w:val="24"/>
        </w:rPr>
        <w:t>(</w:t>
      </w:r>
      <w:r w:rsidR="00707F5D" w:rsidRPr="007E3047">
        <w:rPr>
          <w:rFonts w:ascii="Times New Roman" w:eastAsia="Times New Roman" w:hAnsi="Times New Roman"/>
          <w:b/>
          <w:sz w:val="24"/>
          <w:szCs w:val="24"/>
        </w:rPr>
        <w:t>obrigação</w:t>
      </w:r>
      <w:r w:rsidR="000E7912" w:rsidRPr="007E3047">
        <w:rPr>
          <w:rFonts w:ascii="Times New Roman" w:hAnsi="Times New Roman"/>
          <w:b/>
          <w:color w:val="000000"/>
          <w:sz w:val="24"/>
          <w:szCs w:val="24"/>
        </w:rPr>
        <w:t xml:space="preserve"> de respeitar os direitos)</w:t>
      </w:r>
    </w:p>
    <w:p w:rsidR="00AE7431" w:rsidRPr="007E3047" w:rsidRDefault="00AE7431" w:rsidP="00DA4FBF">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Segundo o entendimento da Corte IDH, o dever geral inserido no art. 2 da CADH implica na adoção de medidas de duas vertentes: por um lado obriga a supressão de normas e práticas de qualquer natureza que violem as garantias previstas na </w:t>
      </w:r>
      <w:r w:rsidR="00E74421" w:rsidRPr="007E3047">
        <w:rPr>
          <w:rFonts w:ascii="Times New Roman" w:eastAsia="Times New Roman" w:hAnsi="Times New Roman"/>
          <w:sz w:val="24"/>
          <w:szCs w:val="24"/>
        </w:rPr>
        <w:t>CADH e, por outro lado, obriga a</w:t>
      </w:r>
      <w:r w:rsidRPr="007E3047">
        <w:rPr>
          <w:rFonts w:ascii="Times New Roman" w:eastAsia="Times New Roman" w:hAnsi="Times New Roman"/>
          <w:sz w:val="24"/>
          <w:szCs w:val="24"/>
        </w:rPr>
        <w:t xml:space="preserve"> expedição de novas normas e o desenvolvimento de práticas condizentes à efetiva observação das ditas garantias</w:t>
      </w:r>
      <w:r w:rsidR="009B1351" w:rsidRPr="007E3047">
        <w:rPr>
          <w:rStyle w:val="FootnoteReference"/>
          <w:rFonts w:ascii="Times New Roman" w:eastAsia="Times New Roman" w:hAnsi="Times New Roman"/>
          <w:sz w:val="24"/>
          <w:szCs w:val="24"/>
        </w:rPr>
        <w:footnoteReference w:id="34"/>
      </w:r>
      <w:r w:rsidRPr="007E3047">
        <w:rPr>
          <w:rFonts w:ascii="Times New Roman" w:eastAsia="Times New Roman" w:hAnsi="Times New Roman"/>
          <w:sz w:val="24"/>
          <w:szCs w:val="24"/>
        </w:rPr>
        <w:t xml:space="preserve">. Atualmente existe o reconhecimento pela comunidade internacional de que os direitos humanos devem ser protegidos pelo direito interno dos Estados, com base numa </w:t>
      </w:r>
      <w:r w:rsidRPr="007E3047">
        <w:rPr>
          <w:rFonts w:ascii="Times New Roman" w:eastAsia="Times New Roman" w:hAnsi="Times New Roman"/>
          <w:sz w:val="24"/>
          <w:szCs w:val="24"/>
        </w:rPr>
        <w:lastRenderedPageBreak/>
        <w:t>Constituição que os consagre, proteja, promova e pondere com outros direitos e inter</w:t>
      </w:r>
      <w:r w:rsidR="006F5C06" w:rsidRPr="007E3047">
        <w:rPr>
          <w:rFonts w:ascii="Times New Roman" w:eastAsia="Times New Roman" w:hAnsi="Times New Roman"/>
          <w:sz w:val="24"/>
          <w:szCs w:val="24"/>
        </w:rPr>
        <w:t>esses da comunidade e do Estado</w:t>
      </w:r>
      <w:r w:rsidRPr="007E3047">
        <w:rPr>
          <w:rStyle w:val="FootnoteReference"/>
          <w:rFonts w:ascii="Times New Roman" w:eastAsia="Times New Roman" w:hAnsi="Times New Roman"/>
          <w:sz w:val="24"/>
          <w:szCs w:val="24"/>
        </w:rPr>
        <w:footnoteReference w:id="35"/>
      </w:r>
      <w:r w:rsidRPr="007E3047">
        <w:rPr>
          <w:rFonts w:ascii="Times New Roman" w:eastAsia="Times New Roman" w:hAnsi="Times New Roman"/>
          <w:sz w:val="24"/>
          <w:szCs w:val="24"/>
        </w:rPr>
        <w:t>.</w:t>
      </w:r>
    </w:p>
    <w:p w:rsidR="00AE7431" w:rsidRPr="007E3047" w:rsidRDefault="00AE7431" w:rsidP="00C84D9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Alega</w:t>
      </w:r>
      <w:r w:rsidR="00857A4A" w:rsidRPr="007E3047">
        <w:rPr>
          <w:rFonts w:ascii="Times New Roman" w:eastAsia="Times New Roman" w:hAnsi="Times New Roman"/>
          <w:sz w:val="24"/>
          <w:szCs w:val="24"/>
        </w:rPr>
        <w:t xml:space="preserve">m </w:t>
      </w:r>
      <w:r w:rsidR="00370E6D" w:rsidRPr="007E3047">
        <w:rPr>
          <w:rFonts w:ascii="Times New Roman" w:eastAsia="Times New Roman" w:hAnsi="Times New Roman"/>
          <w:sz w:val="24"/>
          <w:szCs w:val="24"/>
        </w:rPr>
        <w:t>as supostas vítimas</w:t>
      </w:r>
      <w:r w:rsidR="00AB25C8"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que o Estado violou o art. 2 sob </w:t>
      </w:r>
      <w:r w:rsidR="00370E6D" w:rsidRPr="007E3047">
        <w:rPr>
          <w:rFonts w:ascii="Times New Roman" w:eastAsia="Times New Roman" w:hAnsi="Times New Roman"/>
          <w:sz w:val="24"/>
          <w:szCs w:val="24"/>
        </w:rPr>
        <w:t xml:space="preserve">o </w:t>
      </w:r>
      <w:r w:rsidR="00431447" w:rsidRPr="007E3047">
        <w:rPr>
          <w:rFonts w:ascii="Times New Roman" w:eastAsia="Times New Roman" w:hAnsi="Times New Roman"/>
          <w:sz w:val="24"/>
          <w:szCs w:val="24"/>
        </w:rPr>
        <w:t>argumento</w:t>
      </w:r>
      <w:r w:rsidRPr="007E3047">
        <w:rPr>
          <w:rFonts w:ascii="Times New Roman" w:eastAsia="Times New Roman" w:hAnsi="Times New Roman"/>
          <w:sz w:val="24"/>
          <w:szCs w:val="24"/>
        </w:rPr>
        <w:t xml:space="preserve"> da </w:t>
      </w:r>
      <w:r w:rsidR="0043132D" w:rsidRPr="007E3047">
        <w:rPr>
          <w:rFonts w:ascii="Times New Roman" w:eastAsia="Times New Roman" w:hAnsi="Times New Roman"/>
          <w:sz w:val="24"/>
          <w:szCs w:val="24"/>
        </w:rPr>
        <w:t>vig</w:t>
      </w:r>
      <w:r w:rsidR="008B529E" w:rsidRPr="007E3047">
        <w:rPr>
          <w:rFonts w:ascii="Times New Roman" w:eastAsia="Times New Roman" w:hAnsi="Times New Roman"/>
          <w:sz w:val="24"/>
          <w:szCs w:val="24"/>
        </w:rPr>
        <w:t>ência da Lei de Responsabilização, Fechamento e Reconciliação</w:t>
      </w:r>
      <w:r w:rsidRPr="007E3047">
        <w:rPr>
          <w:rFonts w:ascii="Times New Roman" w:eastAsia="Times New Roman" w:hAnsi="Times New Roman"/>
          <w:sz w:val="24"/>
          <w:szCs w:val="24"/>
        </w:rPr>
        <w:t>.</w:t>
      </w:r>
    </w:p>
    <w:p w:rsidR="00431447" w:rsidRPr="007E3047" w:rsidRDefault="00FB1C07" w:rsidP="0029161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Atrav</w:t>
      </w:r>
      <w:r w:rsidR="00847AB4" w:rsidRPr="007E3047">
        <w:rPr>
          <w:rFonts w:ascii="Times New Roman" w:eastAsia="Times New Roman" w:hAnsi="Times New Roman"/>
          <w:sz w:val="24"/>
          <w:szCs w:val="24"/>
        </w:rPr>
        <w:t xml:space="preserve">és da referida lei, </w:t>
      </w:r>
      <w:r w:rsidR="0087383C" w:rsidRPr="007E3047">
        <w:rPr>
          <w:rFonts w:ascii="Times New Roman" w:eastAsia="Times New Roman" w:hAnsi="Times New Roman"/>
          <w:sz w:val="24"/>
          <w:szCs w:val="24"/>
        </w:rPr>
        <w:t xml:space="preserve">Cardenal implementou </w:t>
      </w:r>
      <w:r w:rsidR="00431447" w:rsidRPr="007E3047">
        <w:rPr>
          <w:rFonts w:ascii="Times New Roman" w:eastAsia="Times New Roman" w:hAnsi="Times New Roman"/>
          <w:sz w:val="24"/>
          <w:szCs w:val="24"/>
        </w:rPr>
        <w:t xml:space="preserve">os objetivos </w:t>
      </w:r>
      <w:r w:rsidR="0087383C" w:rsidRPr="007E3047">
        <w:rPr>
          <w:rFonts w:ascii="Times New Roman" w:eastAsia="Times New Roman" w:hAnsi="Times New Roman"/>
          <w:sz w:val="24"/>
          <w:szCs w:val="24"/>
        </w:rPr>
        <w:t>característicos de um processo de transição</w:t>
      </w:r>
      <w:r w:rsidR="00431447" w:rsidRPr="007E3047">
        <w:rPr>
          <w:rFonts w:ascii="Times New Roman" w:eastAsia="Times New Roman" w:hAnsi="Times New Roman"/>
          <w:sz w:val="24"/>
          <w:szCs w:val="24"/>
        </w:rPr>
        <w:t>, que podem ser agrupados da seguinte maneira:</w:t>
      </w:r>
    </w:p>
    <w:p w:rsidR="00431447" w:rsidRPr="007E3047" w:rsidRDefault="00431447" w:rsidP="00431447">
      <w:pPr>
        <w:pStyle w:val="ListParagraph"/>
        <w:numPr>
          <w:ilvl w:val="0"/>
          <w:numId w:val="6"/>
        </w:num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Diferenciar e distanciar o novo regime das práticas do anterior, no intento de construir um futuro mais democrático e pacífico </w:t>
      </w:r>
      <w:r w:rsidRPr="007E3047">
        <w:rPr>
          <w:rStyle w:val="FootnoteReference"/>
          <w:rFonts w:ascii="Times New Roman" w:eastAsia="Times New Roman" w:hAnsi="Times New Roman"/>
          <w:sz w:val="24"/>
          <w:szCs w:val="24"/>
        </w:rPr>
        <w:footnoteReference w:id="36"/>
      </w:r>
      <w:r w:rsidR="00644990" w:rsidRPr="007E3047">
        <w:rPr>
          <w:rFonts w:ascii="Times New Roman" w:eastAsia="Times New Roman" w:hAnsi="Times New Roman"/>
          <w:sz w:val="24"/>
          <w:szCs w:val="24"/>
        </w:rPr>
        <w:t>.</w:t>
      </w:r>
    </w:p>
    <w:p w:rsidR="0087383C" w:rsidRPr="007E3047" w:rsidRDefault="00431447" w:rsidP="0087383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Neste tópico </w:t>
      </w:r>
      <w:r w:rsidR="0087383C" w:rsidRPr="007E3047">
        <w:rPr>
          <w:rFonts w:ascii="Times New Roman" w:eastAsia="Times New Roman" w:hAnsi="Times New Roman"/>
          <w:sz w:val="24"/>
          <w:szCs w:val="24"/>
        </w:rPr>
        <w:t>houve uma reforma constitucional, que foi discutida pela maioria da</w:t>
      </w:r>
      <w:r w:rsidR="00736FBD" w:rsidRPr="007E3047">
        <w:rPr>
          <w:rFonts w:ascii="Times New Roman" w:eastAsia="Times New Roman" w:hAnsi="Times New Roman"/>
          <w:sz w:val="24"/>
          <w:szCs w:val="24"/>
        </w:rPr>
        <w:t xml:space="preserve"> população e por ela referendada</w:t>
      </w:r>
      <w:r w:rsidR="000905A0" w:rsidRPr="007E3047">
        <w:rPr>
          <w:rStyle w:val="FootnoteReference"/>
          <w:rFonts w:ascii="Times New Roman" w:eastAsia="Times New Roman" w:hAnsi="Times New Roman"/>
          <w:sz w:val="24"/>
          <w:szCs w:val="24"/>
        </w:rPr>
        <w:footnoteReference w:id="37"/>
      </w:r>
      <w:r w:rsidR="0087383C" w:rsidRPr="007E3047">
        <w:rPr>
          <w:rFonts w:ascii="Times New Roman" w:eastAsia="Times New Roman" w:hAnsi="Times New Roman"/>
          <w:sz w:val="24"/>
          <w:szCs w:val="24"/>
        </w:rPr>
        <w:t xml:space="preserve">. A nova Constituição deu uma abrangência particular à diversidade </w:t>
      </w:r>
      <w:r w:rsidR="0052581E" w:rsidRPr="007E3047">
        <w:rPr>
          <w:rFonts w:ascii="Times New Roman" w:eastAsia="Times New Roman" w:hAnsi="Times New Roman"/>
          <w:sz w:val="24"/>
          <w:szCs w:val="24"/>
        </w:rPr>
        <w:t>étnica</w:t>
      </w:r>
      <w:r w:rsidR="0087383C" w:rsidRPr="007E3047">
        <w:rPr>
          <w:rFonts w:ascii="Times New Roman" w:eastAsia="Times New Roman" w:hAnsi="Times New Roman"/>
          <w:sz w:val="24"/>
          <w:szCs w:val="24"/>
        </w:rPr>
        <w:t xml:space="preserve"> e à a</w:t>
      </w:r>
      <w:r w:rsidR="00024B02" w:rsidRPr="007E3047">
        <w:rPr>
          <w:rFonts w:ascii="Times New Roman" w:eastAsia="Times New Roman" w:hAnsi="Times New Roman"/>
          <w:sz w:val="24"/>
          <w:szCs w:val="24"/>
        </w:rPr>
        <w:t>utonomia das comunidades indígenas</w:t>
      </w:r>
      <w:r w:rsidR="006F21B3" w:rsidRPr="007E3047">
        <w:rPr>
          <w:rFonts w:ascii="Times New Roman" w:eastAsia="Times New Roman" w:hAnsi="Times New Roman"/>
          <w:sz w:val="24"/>
          <w:szCs w:val="24"/>
        </w:rPr>
        <w:t xml:space="preserve">, além de </w:t>
      </w:r>
      <w:r w:rsidR="00C74E7A" w:rsidRPr="007E3047">
        <w:rPr>
          <w:rFonts w:ascii="Times New Roman" w:eastAsia="Times New Roman" w:hAnsi="Times New Roman"/>
          <w:sz w:val="24"/>
          <w:szCs w:val="24"/>
        </w:rPr>
        <w:t xml:space="preserve">modificar o modelo de relação entre o Estado </w:t>
      </w:r>
      <w:r w:rsidR="004C50B8" w:rsidRPr="007E3047">
        <w:rPr>
          <w:rFonts w:ascii="Times New Roman" w:eastAsia="Times New Roman" w:hAnsi="Times New Roman"/>
          <w:sz w:val="24"/>
          <w:szCs w:val="24"/>
        </w:rPr>
        <w:t>e a economia, com o fim de d</w:t>
      </w:r>
      <w:r w:rsidR="006D221E" w:rsidRPr="007E3047">
        <w:rPr>
          <w:rFonts w:ascii="Times New Roman" w:eastAsia="Times New Roman" w:hAnsi="Times New Roman"/>
          <w:sz w:val="24"/>
          <w:szCs w:val="24"/>
        </w:rPr>
        <w:t>iminuir a desigualdade social.</w:t>
      </w:r>
    </w:p>
    <w:p w:rsidR="00431447" w:rsidRPr="007E3047" w:rsidRDefault="00431447" w:rsidP="00431447">
      <w:pPr>
        <w:pStyle w:val="ListParagraph"/>
        <w:numPr>
          <w:ilvl w:val="0"/>
          <w:numId w:val="6"/>
        </w:num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Fornecer reparações às vítimas, revelar a verdade sobre crimes do passado, reformar as instituições perpetradoras do abuso, processar os agentes responsáveis e promover a reconciliação </w:t>
      </w:r>
      <w:r w:rsidRPr="007E3047">
        <w:rPr>
          <w:rStyle w:val="FootnoteReference"/>
          <w:rFonts w:ascii="Times New Roman" w:eastAsia="Times New Roman" w:hAnsi="Times New Roman"/>
          <w:sz w:val="24"/>
          <w:szCs w:val="24"/>
        </w:rPr>
        <w:footnoteReference w:id="38"/>
      </w:r>
      <w:r w:rsidR="00433B80" w:rsidRPr="007E3047">
        <w:rPr>
          <w:rFonts w:ascii="Times New Roman" w:eastAsia="Times New Roman" w:hAnsi="Times New Roman"/>
          <w:sz w:val="24"/>
          <w:szCs w:val="24"/>
        </w:rPr>
        <w:t>.</w:t>
      </w:r>
    </w:p>
    <w:p w:rsidR="00E21843" w:rsidRPr="007E3047" w:rsidRDefault="00E21843" w:rsidP="000A4578">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Em seus precedentes a Corte IDH, determinou que as </w:t>
      </w:r>
      <w:r w:rsidR="00D22167" w:rsidRPr="007E3047">
        <w:rPr>
          <w:rFonts w:ascii="Times New Roman" w:eastAsia="Times New Roman" w:hAnsi="Times New Roman"/>
          <w:sz w:val="24"/>
          <w:szCs w:val="24"/>
        </w:rPr>
        <w:t>leis de indenizações</w:t>
      </w:r>
      <w:r w:rsidRPr="007E3047">
        <w:rPr>
          <w:rFonts w:ascii="Times New Roman" w:eastAsia="Times New Roman" w:hAnsi="Times New Roman"/>
          <w:sz w:val="24"/>
          <w:szCs w:val="24"/>
        </w:rPr>
        <w:t xml:space="preserve"> devem definir de forma explícita quais sãos os danos</w:t>
      </w:r>
      <w:r w:rsidR="000A4578" w:rsidRPr="007E3047">
        <w:rPr>
          <w:rFonts w:ascii="Times New Roman" w:eastAsia="Times New Roman" w:hAnsi="Times New Roman"/>
          <w:sz w:val="24"/>
          <w:szCs w:val="24"/>
        </w:rPr>
        <w:t xml:space="preserve"> por elas</w:t>
      </w:r>
      <w:r w:rsidRPr="007E3047">
        <w:rPr>
          <w:rFonts w:ascii="Times New Roman" w:eastAsia="Times New Roman" w:hAnsi="Times New Roman"/>
          <w:sz w:val="24"/>
          <w:szCs w:val="24"/>
        </w:rPr>
        <w:t xml:space="preserve"> compreendidos e diferenciarem</w:t>
      </w:r>
      <w:r w:rsidR="000A4578" w:rsidRPr="007E3047">
        <w:rPr>
          <w:rFonts w:ascii="Times New Roman" w:eastAsia="Times New Roman" w:hAnsi="Times New Roman"/>
          <w:sz w:val="24"/>
          <w:szCs w:val="24"/>
        </w:rPr>
        <w:t>os mate</w:t>
      </w:r>
      <w:r w:rsidRPr="007E3047">
        <w:rPr>
          <w:rFonts w:ascii="Times New Roman" w:eastAsia="Times New Roman" w:hAnsi="Times New Roman"/>
          <w:sz w:val="24"/>
          <w:szCs w:val="24"/>
        </w:rPr>
        <w:t xml:space="preserve">riais </w:t>
      </w:r>
      <w:r w:rsidR="000A4578" w:rsidRPr="007E3047">
        <w:rPr>
          <w:rFonts w:ascii="Times New Roman" w:eastAsia="Times New Roman" w:hAnsi="Times New Roman"/>
          <w:sz w:val="24"/>
          <w:szCs w:val="24"/>
        </w:rPr>
        <w:t>dos</w:t>
      </w:r>
      <w:r w:rsidRPr="007E3047">
        <w:rPr>
          <w:rFonts w:ascii="Times New Roman" w:eastAsia="Times New Roman" w:hAnsi="Times New Roman"/>
          <w:sz w:val="24"/>
          <w:szCs w:val="24"/>
        </w:rPr>
        <w:t xml:space="preserve"> imateriais. </w:t>
      </w:r>
      <w:r w:rsidR="00D22167" w:rsidRPr="007E3047">
        <w:rPr>
          <w:rFonts w:ascii="Times New Roman" w:eastAsia="Times New Roman" w:hAnsi="Times New Roman"/>
          <w:sz w:val="24"/>
          <w:szCs w:val="24"/>
        </w:rPr>
        <w:t xml:space="preserve">Destaca-se que a indenização </w:t>
      </w:r>
      <w:r w:rsidR="000A4578" w:rsidRPr="007E3047">
        <w:rPr>
          <w:rFonts w:ascii="Times New Roman" w:eastAsia="Times New Roman" w:hAnsi="Times New Roman"/>
          <w:sz w:val="24"/>
          <w:szCs w:val="24"/>
        </w:rPr>
        <w:t xml:space="preserve">pecuniária </w:t>
      </w:r>
      <w:r w:rsidR="00D22167" w:rsidRPr="007E3047">
        <w:rPr>
          <w:rFonts w:ascii="Times New Roman" w:eastAsia="Times New Roman" w:hAnsi="Times New Roman"/>
          <w:sz w:val="24"/>
          <w:szCs w:val="24"/>
        </w:rPr>
        <w:t xml:space="preserve">é apenas uma dentre as várias medidas de </w:t>
      </w:r>
      <w:r w:rsidR="00D22167" w:rsidRPr="007E3047">
        <w:rPr>
          <w:rFonts w:ascii="Times New Roman" w:eastAsia="Times New Roman" w:hAnsi="Times New Roman"/>
          <w:sz w:val="24"/>
          <w:szCs w:val="24"/>
        </w:rPr>
        <w:lastRenderedPageBreak/>
        <w:t>reparação consideradas pela Corte IDH</w:t>
      </w:r>
      <w:r w:rsidR="00D22167" w:rsidRPr="007E3047">
        <w:rPr>
          <w:rStyle w:val="FootnoteReference"/>
          <w:rFonts w:ascii="Times New Roman" w:eastAsia="Times New Roman" w:hAnsi="Times New Roman"/>
          <w:sz w:val="24"/>
          <w:szCs w:val="24"/>
        </w:rPr>
        <w:footnoteReference w:id="39"/>
      </w:r>
      <w:r w:rsidR="00D22167" w:rsidRPr="007E3047">
        <w:rPr>
          <w:rFonts w:ascii="Times New Roman" w:eastAsia="Times New Roman" w:hAnsi="Times New Roman"/>
          <w:sz w:val="24"/>
          <w:szCs w:val="24"/>
        </w:rPr>
        <w:t>. No caso La Cantuta vs. Peru, foi determinado que uma reparação integral deve partir</w:t>
      </w:r>
      <w:r w:rsidR="000A4578" w:rsidRPr="007E3047">
        <w:rPr>
          <w:rFonts w:ascii="Times New Roman" w:eastAsia="Times New Roman" w:hAnsi="Times New Roman"/>
          <w:sz w:val="24"/>
          <w:szCs w:val="24"/>
        </w:rPr>
        <w:t xml:space="preserve"> ainda</w:t>
      </w:r>
      <w:r w:rsidR="00D22167" w:rsidRPr="007E3047">
        <w:rPr>
          <w:rFonts w:ascii="Times New Roman" w:eastAsia="Times New Roman" w:hAnsi="Times New Roman"/>
          <w:sz w:val="24"/>
          <w:szCs w:val="24"/>
        </w:rPr>
        <w:t xml:space="preserve"> de um reconhecimento público por parte do Estado, bem como dar atenção à saúde física e mental, bolsas de estudos e a</w:t>
      </w:r>
      <w:r w:rsidR="00AB25C8" w:rsidRPr="007E3047">
        <w:rPr>
          <w:rFonts w:ascii="Times New Roman" w:eastAsia="Times New Roman" w:hAnsi="Times New Roman"/>
          <w:sz w:val="24"/>
          <w:szCs w:val="24"/>
        </w:rPr>
        <w:t xml:space="preserve"> criação de espaços de memória</w:t>
      </w:r>
      <w:r w:rsidR="00D22167" w:rsidRPr="007E3047">
        <w:rPr>
          <w:rStyle w:val="FootnoteReference"/>
          <w:rFonts w:ascii="Times New Roman" w:eastAsia="Times New Roman" w:hAnsi="Times New Roman"/>
          <w:sz w:val="24"/>
          <w:szCs w:val="24"/>
        </w:rPr>
        <w:footnoteReference w:id="40"/>
      </w:r>
      <w:r w:rsidR="00224CA4" w:rsidRPr="007E3047">
        <w:rPr>
          <w:rFonts w:ascii="Times New Roman" w:eastAsia="Times New Roman" w:hAnsi="Times New Roman"/>
          <w:sz w:val="24"/>
          <w:szCs w:val="24"/>
        </w:rPr>
        <w:t>.</w:t>
      </w:r>
    </w:p>
    <w:p w:rsidR="000A4578" w:rsidRPr="007E3047" w:rsidRDefault="00AB25C8" w:rsidP="000A4578">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Em Cardenal</w:t>
      </w:r>
      <w:r w:rsidR="000A4578" w:rsidRPr="007E3047">
        <w:rPr>
          <w:rFonts w:ascii="Times New Roman" w:eastAsia="Times New Roman" w:hAnsi="Times New Roman"/>
          <w:sz w:val="24"/>
          <w:szCs w:val="24"/>
        </w:rPr>
        <w:t xml:space="preserve"> buscou-se a reparação monetária através de medidas compreendidas de acordo com o orçamento do Estado. Lembrando que o país é um dos mais pobres da América Latina.</w:t>
      </w:r>
      <w:r w:rsidRPr="007E3047">
        <w:rPr>
          <w:rFonts w:ascii="Times New Roman" w:eastAsia="Times New Roman" w:hAnsi="Times New Roman"/>
          <w:sz w:val="24"/>
          <w:szCs w:val="24"/>
        </w:rPr>
        <w:t xml:space="preserve"> </w:t>
      </w:r>
    </w:p>
    <w:p w:rsidR="00756D42" w:rsidRPr="007E3047" w:rsidRDefault="000A4578" w:rsidP="00756D42">
      <w:pPr>
        <w:spacing w:after="0" w:line="480" w:lineRule="auto"/>
        <w:ind w:firstLine="708"/>
        <w:jc w:val="both"/>
        <w:rPr>
          <w:rFonts w:ascii="Times New Roman" w:eastAsia="Arial" w:hAnsi="Times New Roman"/>
          <w:sz w:val="24"/>
          <w:szCs w:val="24"/>
        </w:rPr>
      </w:pPr>
      <w:r w:rsidRPr="007E3047">
        <w:rPr>
          <w:rFonts w:ascii="Times New Roman" w:eastAsia="Times New Roman" w:hAnsi="Times New Roman"/>
          <w:sz w:val="24"/>
          <w:szCs w:val="24"/>
        </w:rPr>
        <w:t xml:space="preserve">Tais indenizações passaram </w:t>
      </w:r>
      <w:r w:rsidR="00E21843" w:rsidRPr="007E3047">
        <w:rPr>
          <w:rFonts w:ascii="Times New Roman" w:eastAsia="Times New Roman" w:hAnsi="Times New Roman"/>
          <w:sz w:val="24"/>
          <w:szCs w:val="24"/>
        </w:rPr>
        <w:t xml:space="preserve">por uma análise da Comissão da Verdade e Esclarecimento em relação aos danos sofridos pelas vítimas, sendo pagas através de uma política de compensação individual e coletiva que </w:t>
      </w:r>
      <w:r w:rsidRPr="007E3047">
        <w:rPr>
          <w:rFonts w:ascii="Times New Roman" w:eastAsia="Times New Roman" w:hAnsi="Times New Roman"/>
          <w:sz w:val="24"/>
          <w:szCs w:val="24"/>
        </w:rPr>
        <w:t>re</w:t>
      </w:r>
      <w:r w:rsidR="00E21843" w:rsidRPr="007E3047">
        <w:rPr>
          <w:rFonts w:ascii="Times New Roman" w:eastAsia="Times New Roman" w:hAnsi="Times New Roman"/>
          <w:sz w:val="24"/>
          <w:szCs w:val="24"/>
        </w:rPr>
        <w:t>conhecia os componentes de restituição, indenização, satisfação, reabilitação e garantia de não repetição</w:t>
      </w:r>
      <w:r w:rsidR="006F67A5" w:rsidRPr="007E3047">
        <w:rPr>
          <w:rStyle w:val="FootnoteReference"/>
          <w:rFonts w:ascii="Times New Roman" w:eastAsia="Times New Roman" w:hAnsi="Times New Roman"/>
          <w:sz w:val="24"/>
          <w:szCs w:val="24"/>
        </w:rPr>
        <w:footnoteReference w:id="41"/>
      </w:r>
      <w:r w:rsidR="00E21843" w:rsidRPr="007E3047">
        <w:rPr>
          <w:rFonts w:ascii="Times New Roman" w:eastAsia="Times New Roman" w:hAnsi="Times New Roman"/>
          <w:sz w:val="24"/>
          <w:szCs w:val="24"/>
        </w:rPr>
        <w:t xml:space="preserve">. </w:t>
      </w:r>
      <w:r w:rsidR="006F67A5" w:rsidRPr="007E3047">
        <w:rPr>
          <w:rFonts w:ascii="Times New Roman" w:eastAsia="Times New Roman" w:hAnsi="Times New Roman"/>
          <w:sz w:val="24"/>
          <w:szCs w:val="24"/>
        </w:rPr>
        <w:t>Parte destas foram concedidas em benefícios como créditos educativos para estudos universitários, subsidio para compra de moradia, melhoria de casa rural, seguro médico, dentre outros</w:t>
      </w:r>
      <w:r w:rsidR="00AB25C8" w:rsidRPr="007E3047">
        <w:rPr>
          <w:rFonts w:ascii="Times New Roman" w:eastAsia="Times New Roman" w:hAnsi="Times New Roman"/>
          <w:sz w:val="24"/>
          <w:szCs w:val="24"/>
        </w:rPr>
        <w:t xml:space="preserve"> modos</w:t>
      </w:r>
      <w:r w:rsidR="00756D42" w:rsidRPr="007E3047">
        <w:rPr>
          <w:rFonts w:ascii="Times New Roman" w:eastAsia="Times New Roman" w:hAnsi="Times New Roman"/>
          <w:sz w:val="24"/>
          <w:szCs w:val="24"/>
        </w:rPr>
        <w:t xml:space="preserve">.  O Governo ainda </w:t>
      </w:r>
      <w:r w:rsidR="00756D42" w:rsidRPr="007E3047">
        <w:rPr>
          <w:rFonts w:ascii="Times New Roman" w:eastAsia="Arial" w:hAnsi="Times New Roman"/>
          <w:sz w:val="24"/>
          <w:szCs w:val="24"/>
        </w:rPr>
        <w:t>ofereceu o auxílio de psicólogos às vítimas e fez eventos públicos de desagravo.</w:t>
      </w:r>
    </w:p>
    <w:p w:rsidR="006F67A5" w:rsidRPr="007E3047" w:rsidRDefault="00756D42" w:rsidP="006F67A5">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No caso</w:t>
      </w:r>
      <w:r w:rsidR="003E63DB" w:rsidRPr="007E3047">
        <w:rPr>
          <w:rFonts w:ascii="Times New Roman" w:eastAsia="Arial" w:hAnsi="Times New Roman"/>
          <w:sz w:val="24"/>
          <w:szCs w:val="24"/>
        </w:rPr>
        <w:t xml:space="preserve"> emblemático</w:t>
      </w:r>
      <w:r w:rsidRPr="007E3047">
        <w:rPr>
          <w:rFonts w:ascii="Times New Roman" w:eastAsia="Arial" w:hAnsi="Times New Roman"/>
          <w:sz w:val="24"/>
          <w:szCs w:val="24"/>
        </w:rPr>
        <w:t xml:space="preserve"> do sequestro, a escola em que as crianças</w:t>
      </w:r>
      <w:r w:rsidR="006F67A5" w:rsidRPr="007E3047">
        <w:rPr>
          <w:rFonts w:ascii="Times New Roman" w:eastAsia="Arial" w:hAnsi="Times New Roman"/>
          <w:sz w:val="24"/>
          <w:szCs w:val="24"/>
        </w:rPr>
        <w:t xml:space="preserve"> estudavam foi considerada pela política de reparações coletivas e utilizada para um programa que </w:t>
      </w:r>
      <w:r w:rsidR="003E63DB" w:rsidRPr="007E3047">
        <w:rPr>
          <w:rFonts w:ascii="Times New Roman" w:eastAsia="Arial" w:hAnsi="Times New Roman"/>
          <w:sz w:val="24"/>
          <w:szCs w:val="24"/>
        </w:rPr>
        <w:t xml:space="preserve">a </w:t>
      </w:r>
      <w:r w:rsidR="006F67A5" w:rsidRPr="007E3047">
        <w:rPr>
          <w:rFonts w:ascii="Times New Roman" w:eastAsia="Arial" w:hAnsi="Times New Roman"/>
          <w:sz w:val="24"/>
          <w:szCs w:val="24"/>
        </w:rPr>
        <w:t>promovia como cenário de paz, convivência e reconciliação</w:t>
      </w:r>
      <w:r w:rsidR="003E63DB" w:rsidRPr="007E3047">
        <w:rPr>
          <w:rFonts w:ascii="Times New Roman" w:eastAsia="Arial" w:hAnsi="Times New Roman"/>
          <w:sz w:val="24"/>
          <w:szCs w:val="24"/>
        </w:rPr>
        <w:t xml:space="preserve">. Este programa recebeu </w:t>
      </w:r>
      <w:r w:rsidR="006F67A5" w:rsidRPr="007E3047">
        <w:rPr>
          <w:rFonts w:ascii="Times New Roman" w:eastAsia="Arial" w:hAnsi="Times New Roman"/>
          <w:sz w:val="24"/>
          <w:szCs w:val="24"/>
        </w:rPr>
        <w:t>o Prêmio Ibero-Americano da Paz</w:t>
      </w:r>
      <w:r w:rsidR="003E63DB" w:rsidRPr="007E3047">
        <w:rPr>
          <w:rFonts w:ascii="Times New Roman" w:eastAsia="Arial" w:hAnsi="Times New Roman"/>
          <w:sz w:val="24"/>
          <w:szCs w:val="24"/>
        </w:rPr>
        <w:t xml:space="preserve"> em 2013</w:t>
      </w:r>
      <w:r w:rsidR="006F67A5" w:rsidRPr="007E3047">
        <w:rPr>
          <w:rFonts w:ascii="Times New Roman" w:eastAsia="Arial" w:hAnsi="Times New Roman"/>
          <w:sz w:val="24"/>
          <w:szCs w:val="24"/>
        </w:rPr>
        <w:t>.</w:t>
      </w:r>
    </w:p>
    <w:p w:rsidR="002422DE" w:rsidRPr="007E3047" w:rsidRDefault="00E95287" w:rsidP="0087383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Quanto à revelação e ao esclarecimento</w:t>
      </w:r>
      <w:r w:rsidR="004B3A21"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d</w:t>
      </w:r>
      <w:r w:rsidR="006F67A5" w:rsidRPr="007E3047">
        <w:rPr>
          <w:rFonts w:ascii="Times New Roman" w:eastAsia="Times New Roman" w:hAnsi="Times New Roman"/>
          <w:sz w:val="24"/>
          <w:szCs w:val="24"/>
        </w:rPr>
        <w:t>a verdade,</w:t>
      </w:r>
      <w:r w:rsidR="002422DE" w:rsidRPr="007E3047">
        <w:rPr>
          <w:rFonts w:ascii="Times New Roman" w:eastAsia="Times New Roman" w:hAnsi="Times New Roman"/>
          <w:sz w:val="24"/>
          <w:szCs w:val="24"/>
        </w:rPr>
        <w:t xml:space="preserve"> uma comissão </w:t>
      </w:r>
      <w:r w:rsidR="006F67A5" w:rsidRPr="007E3047">
        <w:rPr>
          <w:rFonts w:ascii="Times New Roman" w:eastAsia="Times New Roman" w:hAnsi="Times New Roman"/>
          <w:sz w:val="24"/>
          <w:szCs w:val="24"/>
        </w:rPr>
        <w:t>com este objetivo</w:t>
      </w:r>
      <w:r w:rsidR="002422DE" w:rsidRPr="007E3047">
        <w:rPr>
          <w:rFonts w:ascii="Times New Roman" w:eastAsia="Times New Roman" w:hAnsi="Times New Roman"/>
          <w:sz w:val="24"/>
          <w:szCs w:val="24"/>
        </w:rPr>
        <w:t xml:space="preserve"> é medida imperativa nas decisões da Corte IDH em casos análogos</w:t>
      </w:r>
      <w:r w:rsidR="00B85892" w:rsidRPr="007E3047">
        <w:rPr>
          <w:rStyle w:val="FootnoteReference"/>
          <w:rFonts w:ascii="Times New Roman" w:eastAsia="Times New Roman" w:hAnsi="Times New Roman"/>
          <w:sz w:val="24"/>
          <w:szCs w:val="24"/>
        </w:rPr>
        <w:footnoteReference w:id="42"/>
      </w:r>
      <w:r w:rsidR="00752A3B" w:rsidRPr="007E3047">
        <w:rPr>
          <w:rFonts w:ascii="Times New Roman" w:eastAsia="Times New Roman" w:hAnsi="Times New Roman"/>
          <w:sz w:val="24"/>
          <w:szCs w:val="24"/>
        </w:rPr>
        <w:t>, como</w:t>
      </w:r>
      <w:r w:rsidR="004B3A21" w:rsidRPr="007E3047">
        <w:rPr>
          <w:rFonts w:ascii="Times New Roman" w:eastAsia="Times New Roman" w:hAnsi="Times New Roman"/>
          <w:sz w:val="24"/>
          <w:szCs w:val="24"/>
        </w:rPr>
        <w:t>,</w:t>
      </w:r>
      <w:r w:rsidR="00752A3B" w:rsidRPr="007E3047">
        <w:rPr>
          <w:rFonts w:ascii="Times New Roman" w:eastAsia="Times New Roman" w:hAnsi="Times New Roman"/>
          <w:sz w:val="24"/>
          <w:szCs w:val="24"/>
        </w:rPr>
        <w:t xml:space="preserve"> por exemplo,</w:t>
      </w:r>
      <w:r w:rsidR="004B3A21" w:rsidRPr="007E3047">
        <w:rPr>
          <w:rFonts w:ascii="Times New Roman" w:eastAsia="Times New Roman" w:hAnsi="Times New Roman"/>
          <w:sz w:val="24"/>
          <w:szCs w:val="24"/>
        </w:rPr>
        <w:t xml:space="preserve"> o</w:t>
      </w:r>
      <w:r w:rsidR="00752A3B" w:rsidRPr="007E3047">
        <w:rPr>
          <w:rFonts w:ascii="Times New Roman" w:eastAsia="Times New Roman" w:hAnsi="Times New Roman"/>
          <w:sz w:val="24"/>
          <w:szCs w:val="24"/>
        </w:rPr>
        <w:t xml:space="preserve"> caso</w:t>
      </w:r>
      <w:r w:rsidR="001A3A1D" w:rsidRPr="007E3047">
        <w:rPr>
          <w:rFonts w:ascii="Times New Roman" w:eastAsia="Times New Roman" w:hAnsi="Times New Roman"/>
          <w:sz w:val="24"/>
          <w:szCs w:val="24"/>
        </w:rPr>
        <w:t xml:space="preserve"> Gomes Lund e outros vs. Brasil. </w:t>
      </w:r>
      <w:r w:rsidR="006F67A5" w:rsidRPr="007E3047">
        <w:rPr>
          <w:rFonts w:ascii="Times New Roman" w:eastAsia="Times New Roman" w:hAnsi="Times New Roman"/>
          <w:sz w:val="24"/>
          <w:szCs w:val="24"/>
        </w:rPr>
        <w:t>Esta</w:t>
      </w:r>
      <w:r w:rsidR="005E7A72" w:rsidRPr="007E3047">
        <w:rPr>
          <w:rFonts w:ascii="Times New Roman" w:eastAsia="Times New Roman" w:hAnsi="Times New Roman"/>
          <w:sz w:val="24"/>
          <w:szCs w:val="24"/>
        </w:rPr>
        <w:t xml:space="preserve"> comissão</w:t>
      </w:r>
      <w:r w:rsidR="00752A3B" w:rsidRPr="007E3047">
        <w:rPr>
          <w:rFonts w:ascii="Times New Roman" w:eastAsia="Times New Roman" w:hAnsi="Times New Roman"/>
          <w:sz w:val="24"/>
          <w:szCs w:val="24"/>
        </w:rPr>
        <w:t xml:space="preserve"> deve ser uma instituição que cumpra com os </w:t>
      </w:r>
      <w:r w:rsidR="00752A3B" w:rsidRPr="007E3047">
        <w:rPr>
          <w:rFonts w:ascii="Times New Roman" w:eastAsia="Times New Roman" w:hAnsi="Times New Roman"/>
          <w:sz w:val="24"/>
          <w:szCs w:val="24"/>
        </w:rPr>
        <w:lastRenderedPageBreak/>
        <w:t xml:space="preserve">parâmetros internacionais de autonomia, </w:t>
      </w:r>
      <w:r w:rsidR="00E15A04" w:rsidRPr="007E3047">
        <w:rPr>
          <w:rFonts w:ascii="Times New Roman" w:eastAsia="Times New Roman" w:hAnsi="Times New Roman"/>
          <w:sz w:val="24"/>
          <w:szCs w:val="24"/>
        </w:rPr>
        <w:t>independência e consulta pública para s</w:t>
      </w:r>
      <w:r w:rsidR="001D64D6" w:rsidRPr="007E3047">
        <w:rPr>
          <w:rFonts w:ascii="Times New Roman" w:eastAsia="Times New Roman" w:hAnsi="Times New Roman"/>
          <w:sz w:val="24"/>
          <w:szCs w:val="24"/>
        </w:rPr>
        <w:t>ua integração, e que seja dotada</w:t>
      </w:r>
      <w:r w:rsidR="00E15A04" w:rsidRPr="007E3047">
        <w:rPr>
          <w:rFonts w:ascii="Times New Roman" w:eastAsia="Times New Roman" w:hAnsi="Times New Roman"/>
          <w:sz w:val="24"/>
          <w:szCs w:val="24"/>
        </w:rPr>
        <w:t xml:space="preserve"> de r</w:t>
      </w:r>
      <w:r w:rsidR="004B3A21" w:rsidRPr="007E3047">
        <w:rPr>
          <w:rFonts w:ascii="Times New Roman" w:eastAsia="Times New Roman" w:hAnsi="Times New Roman"/>
          <w:sz w:val="24"/>
          <w:szCs w:val="24"/>
        </w:rPr>
        <w:t>ecursos e atribuições adequadas</w:t>
      </w:r>
      <w:r w:rsidR="00E15A04" w:rsidRPr="007E3047">
        <w:rPr>
          <w:rStyle w:val="FootnoteReference"/>
          <w:rFonts w:ascii="Times New Roman" w:eastAsia="Times New Roman" w:hAnsi="Times New Roman"/>
          <w:sz w:val="24"/>
          <w:szCs w:val="24"/>
        </w:rPr>
        <w:footnoteReference w:id="43"/>
      </w:r>
      <w:r w:rsidR="00CC093C" w:rsidRPr="007E3047">
        <w:rPr>
          <w:rFonts w:ascii="Times New Roman" w:eastAsia="Times New Roman" w:hAnsi="Times New Roman"/>
          <w:sz w:val="24"/>
          <w:szCs w:val="24"/>
        </w:rPr>
        <w:t>.</w:t>
      </w:r>
    </w:p>
    <w:p w:rsidR="0087383C" w:rsidRPr="007E3047" w:rsidRDefault="00CF08D9" w:rsidP="00CF08D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A </w:t>
      </w:r>
      <w:r w:rsidR="006F67A5" w:rsidRPr="007E3047">
        <w:rPr>
          <w:rFonts w:ascii="Times New Roman" w:eastAsia="Times New Roman" w:hAnsi="Times New Roman"/>
          <w:sz w:val="24"/>
          <w:szCs w:val="24"/>
        </w:rPr>
        <w:t>comissão criada por Cardenal é</w:t>
      </w:r>
      <w:r w:rsidRPr="007E3047">
        <w:rPr>
          <w:rFonts w:ascii="Times New Roman" w:eastAsia="Times New Roman" w:hAnsi="Times New Roman"/>
          <w:sz w:val="24"/>
          <w:szCs w:val="24"/>
        </w:rPr>
        <w:t xml:space="preserve"> composta por </w:t>
      </w:r>
      <w:r w:rsidR="0087383C" w:rsidRPr="007E3047">
        <w:rPr>
          <w:rFonts w:ascii="Times New Roman" w:eastAsia="Times New Roman" w:hAnsi="Times New Roman"/>
          <w:sz w:val="24"/>
          <w:szCs w:val="24"/>
        </w:rPr>
        <w:t>03</w:t>
      </w:r>
      <w:r w:rsidR="00346555" w:rsidRPr="007E3047">
        <w:rPr>
          <w:rFonts w:ascii="Times New Roman" w:eastAsia="Times New Roman" w:hAnsi="Times New Roman"/>
          <w:sz w:val="24"/>
          <w:szCs w:val="24"/>
        </w:rPr>
        <w:t xml:space="preserve"> (três)</w:t>
      </w:r>
      <w:r w:rsidR="0087383C" w:rsidRPr="007E3047">
        <w:rPr>
          <w:rFonts w:ascii="Times New Roman" w:eastAsia="Times New Roman" w:hAnsi="Times New Roman"/>
          <w:sz w:val="24"/>
          <w:szCs w:val="24"/>
        </w:rPr>
        <w:t xml:space="preserve"> integrantes designados pelo Secretário Geral da ONU</w:t>
      </w:r>
      <w:r w:rsidR="004B3A21" w:rsidRPr="007E3047">
        <w:rPr>
          <w:rFonts w:ascii="Times New Roman" w:eastAsia="Times New Roman" w:hAnsi="Times New Roman"/>
          <w:sz w:val="24"/>
          <w:szCs w:val="24"/>
        </w:rPr>
        <w:t xml:space="preserve"> </w:t>
      </w:r>
      <w:r w:rsidR="00E95287" w:rsidRPr="007E3047">
        <w:rPr>
          <w:rFonts w:ascii="Times New Roman" w:eastAsia="Times New Roman" w:hAnsi="Times New Roman"/>
          <w:sz w:val="24"/>
          <w:szCs w:val="24"/>
        </w:rPr>
        <w:t xml:space="preserve">e </w:t>
      </w:r>
      <w:r w:rsidR="0087383C" w:rsidRPr="007E3047">
        <w:rPr>
          <w:rFonts w:ascii="Times New Roman" w:eastAsia="Times New Roman" w:hAnsi="Times New Roman"/>
          <w:sz w:val="24"/>
          <w:szCs w:val="24"/>
        </w:rPr>
        <w:t>outros 04</w:t>
      </w:r>
      <w:r w:rsidR="004B3A21" w:rsidRPr="007E3047">
        <w:rPr>
          <w:rFonts w:ascii="Times New Roman" w:eastAsia="Times New Roman" w:hAnsi="Times New Roman"/>
          <w:sz w:val="24"/>
          <w:szCs w:val="24"/>
        </w:rPr>
        <w:t xml:space="preserve"> </w:t>
      </w:r>
      <w:r w:rsidR="00E95287" w:rsidRPr="007E3047">
        <w:rPr>
          <w:rFonts w:ascii="Times New Roman" w:eastAsia="Times New Roman" w:hAnsi="Times New Roman"/>
          <w:sz w:val="24"/>
          <w:szCs w:val="24"/>
        </w:rPr>
        <w:t xml:space="preserve">(quatro) </w:t>
      </w:r>
      <w:r w:rsidR="005A5864" w:rsidRPr="007E3047">
        <w:rPr>
          <w:rFonts w:ascii="Times New Roman" w:eastAsia="Times New Roman" w:hAnsi="Times New Roman"/>
          <w:sz w:val="24"/>
          <w:szCs w:val="24"/>
        </w:rPr>
        <w:t>selecionados pela</w:t>
      </w:r>
      <w:r w:rsidR="0087383C" w:rsidRPr="007E3047">
        <w:rPr>
          <w:rFonts w:ascii="Times New Roman" w:eastAsia="Times New Roman" w:hAnsi="Times New Roman"/>
          <w:sz w:val="24"/>
          <w:szCs w:val="24"/>
        </w:rPr>
        <w:t xml:space="preserve"> Presidente</w:t>
      </w:r>
      <w:r w:rsidR="00E745BD" w:rsidRPr="007E3047">
        <w:rPr>
          <w:rFonts w:ascii="Times New Roman" w:eastAsia="Times New Roman" w:hAnsi="Times New Roman"/>
          <w:sz w:val="24"/>
          <w:szCs w:val="24"/>
        </w:rPr>
        <w:t>,</w:t>
      </w:r>
      <w:r w:rsidR="004B3A21" w:rsidRPr="007E3047">
        <w:rPr>
          <w:rFonts w:ascii="Times New Roman" w:eastAsia="Times New Roman" w:hAnsi="Times New Roman"/>
          <w:sz w:val="24"/>
          <w:szCs w:val="24"/>
        </w:rPr>
        <w:t xml:space="preserve"> </w:t>
      </w:r>
      <w:r w:rsidR="00E95287" w:rsidRPr="007E3047">
        <w:rPr>
          <w:rFonts w:ascii="Times New Roman" w:eastAsia="Times New Roman" w:hAnsi="Times New Roman"/>
          <w:sz w:val="24"/>
          <w:szCs w:val="24"/>
        </w:rPr>
        <w:t>devido ao</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 xml:space="preserve">conhecimento de temas relacionados aos direitos humanos e conflitos. Foi ainda escolhida uma autoridade da Comunidade Boneca, uma mulher nomeada pelas organizações das vítimas, um professor de história </w:t>
      </w:r>
      <w:r w:rsidR="00E95287" w:rsidRPr="007E3047">
        <w:rPr>
          <w:rFonts w:ascii="Times New Roman" w:eastAsia="Times New Roman" w:hAnsi="Times New Roman"/>
          <w:sz w:val="24"/>
          <w:szCs w:val="24"/>
        </w:rPr>
        <w:t>com</w:t>
      </w:r>
      <w:r w:rsidR="0087383C" w:rsidRPr="007E3047">
        <w:rPr>
          <w:rFonts w:ascii="Times New Roman" w:eastAsia="Times New Roman" w:hAnsi="Times New Roman"/>
          <w:sz w:val="24"/>
          <w:szCs w:val="24"/>
        </w:rPr>
        <w:t xml:space="preserve"> amplo conhecimento acadêmico</w:t>
      </w:r>
      <w:r w:rsidR="004B3A21" w:rsidRPr="007E3047">
        <w:rPr>
          <w:rFonts w:ascii="Times New Roman" w:eastAsia="Times New Roman" w:hAnsi="Times New Roman"/>
          <w:sz w:val="24"/>
          <w:szCs w:val="24"/>
        </w:rPr>
        <w:t xml:space="preserve"> no tema</w:t>
      </w:r>
      <w:r w:rsidR="0087383C" w:rsidRPr="007E3047">
        <w:rPr>
          <w:rFonts w:ascii="Times New Roman" w:eastAsia="Times New Roman" w:hAnsi="Times New Roman"/>
          <w:sz w:val="24"/>
          <w:szCs w:val="24"/>
        </w:rPr>
        <w:t>, um militar reformado e o Secretário Geral</w:t>
      </w:r>
      <w:r w:rsidR="00E95287" w:rsidRPr="007E3047">
        <w:rPr>
          <w:rFonts w:ascii="Times New Roman" w:eastAsia="Times New Roman" w:hAnsi="Times New Roman"/>
          <w:sz w:val="24"/>
          <w:szCs w:val="24"/>
        </w:rPr>
        <w:t xml:space="preserve"> da ONU</w:t>
      </w:r>
      <w:r w:rsidR="0087383C" w:rsidRPr="007E3047">
        <w:rPr>
          <w:rFonts w:ascii="Times New Roman" w:eastAsia="Times New Roman" w:hAnsi="Times New Roman"/>
          <w:sz w:val="24"/>
          <w:szCs w:val="24"/>
        </w:rPr>
        <w:t xml:space="preserve"> ainda nomeou três ex-relatoras das Nações Unidas com mandatos temáticos e geográficos.</w:t>
      </w:r>
    </w:p>
    <w:p w:rsidR="0087383C" w:rsidRPr="007E3047" w:rsidRDefault="00602B69" w:rsidP="0087383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Diante desta composição, é possível constatar que t</w:t>
      </w:r>
      <w:r w:rsidR="0087383C" w:rsidRPr="007E3047">
        <w:rPr>
          <w:rFonts w:ascii="Times New Roman" w:eastAsia="Times New Roman" w:hAnsi="Times New Roman"/>
          <w:sz w:val="24"/>
          <w:szCs w:val="24"/>
        </w:rPr>
        <w:t>odos aqueles que tiveram maior envolvimento no conflito armado, possuem um representante na Comissão da Verda</w:t>
      </w:r>
      <w:r w:rsidR="0089220A" w:rsidRPr="007E3047">
        <w:rPr>
          <w:rFonts w:ascii="Times New Roman" w:eastAsia="Times New Roman" w:hAnsi="Times New Roman"/>
          <w:sz w:val="24"/>
          <w:szCs w:val="24"/>
        </w:rPr>
        <w:t>de e Esclarecimento, conferindo legitimidade à instituição</w:t>
      </w:r>
      <w:r w:rsidR="003A5667" w:rsidRPr="007E3047">
        <w:rPr>
          <w:rFonts w:ascii="Times New Roman" w:eastAsia="Times New Roman" w:hAnsi="Times New Roman"/>
          <w:sz w:val="24"/>
          <w:szCs w:val="24"/>
        </w:rPr>
        <w:t xml:space="preserve"> para aclarar os fatos do passado</w:t>
      </w:r>
      <w:r w:rsidR="0089220A" w:rsidRPr="007E3047">
        <w:rPr>
          <w:rFonts w:ascii="Times New Roman" w:eastAsia="Times New Roman" w:hAnsi="Times New Roman"/>
          <w:sz w:val="24"/>
          <w:szCs w:val="24"/>
        </w:rPr>
        <w:t>.</w:t>
      </w:r>
    </w:p>
    <w:p w:rsidR="008E18B8" w:rsidRPr="007E3047" w:rsidRDefault="006F67A5" w:rsidP="006F67A5">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Outro elemento transicional é o de reformar ou dissolver as instituições que estavam c</w:t>
      </w:r>
      <w:r w:rsidR="004B3A21" w:rsidRPr="007E3047">
        <w:rPr>
          <w:rFonts w:ascii="Times New Roman" w:eastAsia="Arial" w:hAnsi="Times New Roman"/>
          <w:sz w:val="24"/>
          <w:szCs w:val="24"/>
        </w:rPr>
        <w:t>onectadas às práticas abusivas.</w:t>
      </w:r>
    </w:p>
    <w:p w:rsidR="001C07E2" w:rsidRPr="007E3047" w:rsidRDefault="007C7E35" w:rsidP="006F67A5">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A jurisdição penal militar</w:t>
      </w:r>
      <w:r w:rsidR="00693FE6" w:rsidRPr="007E3047">
        <w:rPr>
          <w:rFonts w:ascii="Times New Roman" w:eastAsia="Arial" w:hAnsi="Times New Roman"/>
          <w:sz w:val="24"/>
          <w:szCs w:val="24"/>
        </w:rPr>
        <w:t xml:space="preserve"> de Cardenal</w:t>
      </w:r>
      <w:r w:rsidRPr="007E3047">
        <w:rPr>
          <w:rFonts w:ascii="Times New Roman" w:eastAsia="Arial" w:hAnsi="Times New Roman"/>
          <w:sz w:val="24"/>
          <w:szCs w:val="24"/>
        </w:rPr>
        <w:t xml:space="preserve"> teve seu alcance restringido e excepcionalizado</w:t>
      </w:r>
      <w:r w:rsidR="004B3A21" w:rsidRPr="007E3047">
        <w:rPr>
          <w:rFonts w:ascii="Times New Roman" w:eastAsia="Arial" w:hAnsi="Times New Roman"/>
          <w:sz w:val="24"/>
          <w:szCs w:val="24"/>
        </w:rPr>
        <w:t>, sendo a</w:t>
      </w:r>
      <w:r w:rsidR="000A38BE" w:rsidRPr="007E3047">
        <w:rPr>
          <w:rFonts w:ascii="Times New Roman" w:eastAsia="Arial" w:hAnsi="Times New Roman"/>
          <w:sz w:val="24"/>
          <w:szCs w:val="24"/>
        </w:rPr>
        <w:t xml:space="preserve"> ela encaminhados</w:t>
      </w:r>
      <w:r w:rsidR="008A753C" w:rsidRPr="007E3047">
        <w:rPr>
          <w:rFonts w:ascii="Times New Roman" w:eastAsia="Arial" w:hAnsi="Times New Roman"/>
          <w:sz w:val="24"/>
          <w:szCs w:val="24"/>
        </w:rPr>
        <w:t xml:space="preserve"> casos de proteção de interesses jurídicos especiais</w:t>
      </w:r>
      <w:r w:rsidR="00F200C0" w:rsidRPr="007E3047">
        <w:rPr>
          <w:rFonts w:ascii="Times New Roman" w:eastAsia="Arial" w:hAnsi="Times New Roman"/>
          <w:sz w:val="24"/>
          <w:szCs w:val="24"/>
        </w:rPr>
        <w:t>,</w:t>
      </w:r>
      <w:r w:rsidR="008A753C" w:rsidRPr="007E3047">
        <w:rPr>
          <w:rFonts w:ascii="Times New Roman" w:eastAsia="Arial" w:hAnsi="Times New Roman"/>
          <w:sz w:val="24"/>
          <w:szCs w:val="24"/>
        </w:rPr>
        <w:t xml:space="preserve"> vinculados a funções que a lei designa às forças militares</w:t>
      </w:r>
      <w:r w:rsidR="00886D3B" w:rsidRPr="007E3047">
        <w:rPr>
          <w:rStyle w:val="FootnoteReference"/>
          <w:rFonts w:ascii="Times New Roman" w:eastAsia="Arial" w:hAnsi="Times New Roman"/>
          <w:sz w:val="24"/>
          <w:szCs w:val="24"/>
        </w:rPr>
        <w:footnoteReference w:id="44"/>
      </w:r>
      <w:r w:rsidR="008A753C" w:rsidRPr="007E3047">
        <w:rPr>
          <w:rFonts w:ascii="Times New Roman" w:eastAsia="Arial" w:hAnsi="Times New Roman"/>
          <w:sz w:val="24"/>
          <w:szCs w:val="24"/>
        </w:rPr>
        <w:t>.</w:t>
      </w:r>
    </w:p>
    <w:p w:rsidR="008D145E" w:rsidRPr="007E3047" w:rsidRDefault="00F937A4" w:rsidP="006F67A5">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Quanto ao processamento dos responsáveis, </w:t>
      </w:r>
      <w:r w:rsidR="00135B53" w:rsidRPr="007E3047">
        <w:rPr>
          <w:rFonts w:ascii="Times New Roman" w:eastAsia="Times New Roman" w:hAnsi="Times New Roman"/>
          <w:sz w:val="24"/>
          <w:szCs w:val="24"/>
        </w:rPr>
        <w:t>a Lei de Responsabilização, Fechamento e Reconciliação</w:t>
      </w:r>
      <w:r w:rsidR="004B3A21" w:rsidRPr="007E3047">
        <w:rPr>
          <w:rFonts w:ascii="Times New Roman" w:eastAsia="Times New Roman" w:hAnsi="Times New Roman"/>
          <w:sz w:val="24"/>
          <w:szCs w:val="24"/>
        </w:rPr>
        <w:t xml:space="preserve"> </w:t>
      </w:r>
      <w:r w:rsidR="005B3BE4" w:rsidRPr="007E3047">
        <w:rPr>
          <w:rFonts w:ascii="Times New Roman" w:eastAsia="Times New Roman" w:hAnsi="Times New Roman"/>
          <w:sz w:val="24"/>
          <w:szCs w:val="24"/>
        </w:rPr>
        <w:t>estipulou</w:t>
      </w:r>
      <w:r w:rsidRPr="007E3047">
        <w:rPr>
          <w:rFonts w:ascii="Times New Roman" w:eastAsia="Times New Roman" w:hAnsi="Times New Roman"/>
          <w:sz w:val="24"/>
          <w:szCs w:val="24"/>
        </w:rPr>
        <w:t xml:space="preserve"> medidas conforme</w:t>
      </w:r>
      <w:r w:rsidR="008D145E" w:rsidRPr="007E3047">
        <w:rPr>
          <w:rFonts w:ascii="Times New Roman" w:eastAsia="Times New Roman" w:hAnsi="Times New Roman"/>
          <w:sz w:val="24"/>
          <w:szCs w:val="24"/>
        </w:rPr>
        <w:t xml:space="preserve"> os imperativos internacionais.</w:t>
      </w:r>
    </w:p>
    <w:p w:rsidR="0087383C" w:rsidRPr="007E3047" w:rsidRDefault="00436C1F" w:rsidP="006F67A5">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No caso Gomes Lund e outros </w:t>
      </w:r>
      <w:r w:rsidR="0087383C" w:rsidRPr="007E3047">
        <w:rPr>
          <w:rFonts w:ascii="Times New Roman" w:eastAsia="Times New Roman" w:hAnsi="Times New Roman"/>
          <w:sz w:val="24"/>
          <w:szCs w:val="24"/>
        </w:rPr>
        <w:t xml:space="preserve">a </w:t>
      </w:r>
      <w:r w:rsidR="00CA3B3C" w:rsidRPr="007E3047">
        <w:rPr>
          <w:rFonts w:ascii="Times New Roman" w:eastAsia="Times New Roman" w:hAnsi="Times New Roman"/>
          <w:sz w:val="24"/>
          <w:szCs w:val="24"/>
        </w:rPr>
        <w:t xml:space="preserve">Corte IDH </w:t>
      </w:r>
      <w:r w:rsidR="0087383C" w:rsidRPr="007E3047">
        <w:rPr>
          <w:rFonts w:ascii="Times New Roman" w:eastAsia="Times New Roman" w:hAnsi="Times New Roman"/>
          <w:sz w:val="24"/>
          <w:szCs w:val="24"/>
        </w:rPr>
        <w:t xml:space="preserve">determinou ao Brasil que realizasse investigações pertinentes com relação aos acontecimentos, levando-se em conta o padrão de </w:t>
      </w:r>
      <w:r w:rsidR="0087383C" w:rsidRPr="007E3047">
        <w:rPr>
          <w:rFonts w:ascii="Times New Roman" w:eastAsia="Times New Roman" w:hAnsi="Times New Roman"/>
          <w:sz w:val="24"/>
          <w:szCs w:val="24"/>
        </w:rPr>
        <w:lastRenderedPageBreak/>
        <w:t>violações de direitos humanos existente na época, a fim de que o processo e as investigações fossem conduzidos de acordo com a complexidade dos fatos e do contexto em que ocorreram</w:t>
      </w:r>
      <w:r w:rsidR="0087383C" w:rsidRPr="007E3047">
        <w:rPr>
          <w:rStyle w:val="FootnoteReference"/>
          <w:rFonts w:ascii="Times New Roman" w:eastAsia="Times New Roman" w:hAnsi="Times New Roman"/>
          <w:sz w:val="24"/>
          <w:szCs w:val="24"/>
        </w:rPr>
        <w:footnoteReference w:id="45"/>
      </w:r>
      <w:r w:rsidR="0087383C" w:rsidRPr="007E3047">
        <w:rPr>
          <w:rFonts w:ascii="Times New Roman" w:eastAsia="Times New Roman" w:hAnsi="Times New Roman"/>
          <w:sz w:val="24"/>
          <w:szCs w:val="24"/>
        </w:rPr>
        <w:t>. Co</w:t>
      </w:r>
      <w:r w:rsidR="004B3A21" w:rsidRPr="007E3047">
        <w:rPr>
          <w:rFonts w:ascii="Times New Roman" w:eastAsia="Times New Roman" w:hAnsi="Times New Roman"/>
          <w:sz w:val="24"/>
          <w:szCs w:val="24"/>
        </w:rPr>
        <w:t xml:space="preserve">nsiderando este entendimento, </w:t>
      </w:r>
      <w:r w:rsidR="0087383C" w:rsidRPr="007E3047">
        <w:rPr>
          <w:rFonts w:ascii="Times New Roman" w:eastAsia="Times New Roman" w:hAnsi="Times New Roman"/>
          <w:sz w:val="24"/>
          <w:szCs w:val="24"/>
        </w:rPr>
        <w:t>Cardenal adotou no direito processual</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a forma de julgamento que o TPI utiliza para processamento de seus casos,</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que consiste em buscar os máximos responsáveis, definidos com base em três critérios: nível de liderança (</w:t>
      </w:r>
      <w:r w:rsidR="0087383C" w:rsidRPr="007E3047">
        <w:rPr>
          <w:rFonts w:ascii="Times New Roman" w:eastAsia="Times New Roman" w:hAnsi="Times New Roman"/>
          <w:i/>
          <w:sz w:val="24"/>
          <w:szCs w:val="24"/>
        </w:rPr>
        <w:t>de jure e de facto</w:t>
      </w:r>
      <w:r w:rsidR="00EA1591" w:rsidRPr="007E3047">
        <w:rPr>
          <w:rFonts w:ascii="Times New Roman" w:eastAsia="Times New Roman" w:hAnsi="Times New Roman"/>
          <w:sz w:val="24"/>
          <w:szCs w:val="24"/>
        </w:rPr>
        <w:t>),</w:t>
      </w:r>
      <w:r w:rsidR="0087383C" w:rsidRPr="007E3047">
        <w:rPr>
          <w:rFonts w:ascii="Times New Roman" w:eastAsia="Times New Roman" w:hAnsi="Times New Roman"/>
          <w:sz w:val="24"/>
          <w:szCs w:val="24"/>
        </w:rPr>
        <w:t xml:space="preserve"> grau de responsabilidade e; posição de domínio e capacidade de domínio efetivo</w:t>
      </w:r>
      <w:r w:rsidR="0087383C" w:rsidRPr="007E3047">
        <w:rPr>
          <w:rStyle w:val="FootnoteReference"/>
          <w:rFonts w:ascii="Times New Roman" w:eastAsia="Times New Roman" w:hAnsi="Times New Roman"/>
          <w:sz w:val="24"/>
          <w:szCs w:val="24"/>
        </w:rPr>
        <w:footnoteReference w:id="46"/>
      </w:r>
      <w:r w:rsidR="00EA159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enquanto o direito material,</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o Estado o definiu através</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das condutas que a Corte IDH entende como violadoras dos direitos previstos na CADH</w:t>
      </w:r>
      <w:r w:rsidR="0087383C" w:rsidRPr="007E3047">
        <w:rPr>
          <w:rStyle w:val="FootnoteReference"/>
          <w:rFonts w:ascii="Times New Roman" w:eastAsia="Times New Roman" w:hAnsi="Times New Roman"/>
          <w:sz w:val="24"/>
          <w:szCs w:val="24"/>
        </w:rPr>
        <w:footnoteReference w:id="47"/>
      </w:r>
      <w:r w:rsidR="0087383C" w:rsidRPr="007E3047">
        <w:rPr>
          <w:rFonts w:ascii="Times New Roman" w:eastAsia="Times New Roman" w:hAnsi="Times New Roman"/>
          <w:sz w:val="24"/>
          <w:szCs w:val="24"/>
        </w:rPr>
        <w:t>.</w:t>
      </w:r>
    </w:p>
    <w:p w:rsidR="00027D5D" w:rsidRPr="007E3047" w:rsidRDefault="00027D5D" w:rsidP="00A416BC">
      <w:pPr>
        <w:pStyle w:val="ListParagraph"/>
        <w:numPr>
          <w:ilvl w:val="0"/>
          <w:numId w:val="6"/>
        </w:num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Promover iniciativas de paz, reconciliação e democracia, restaurando o Estado de Direito.</w:t>
      </w:r>
    </w:p>
    <w:p w:rsidR="00045C13" w:rsidRPr="007E3047" w:rsidRDefault="004F724B" w:rsidP="00045C13">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Como medida de reconciliação e paz, o Estado reconheceu a autonomia do povo Boneca, tornando Cardenal uma república plurinacional.</w:t>
      </w:r>
      <w:r w:rsidR="004B3A21"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Implementou um programa específico de titulação de terras, sendo algumas já entregues e</w:t>
      </w:r>
      <w:r w:rsidR="00523878"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em outros casos, busca-se um processo de expropriação ou compra direta de prédios para sua adjudicação</w:t>
      </w:r>
      <w:r w:rsidR="004400F6" w:rsidRPr="007E3047">
        <w:rPr>
          <w:rFonts w:ascii="Times New Roman" w:eastAsia="Times New Roman" w:hAnsi="Times New Roman"/>
          <w:sz w:val="24"/>
          <w:szCs w:val="24"/>
        </w:rPr>
        <w:t>, em consonância com o art. 21 da CADH que protege a estreita vinculação dos povos indígenas com suas terras, bem como com os recursos naturais dos territórios ancestrais e os elementos incorpóreos que deles emanam</w:t>
      </w:r>
      <w:r w:rsidR="005C26A9" w:rsidRPr="007E3047">
        <w:rPr>
          <w:rStyle w:val="FootnoteReference"/>
          <w:rFonts w:ascii="Times New Roman" w:eastAsia="Times New Roman" w:hAnsi="Times New Roman"/>
          <w:sz w:val="24"/>
          <w:szCs w:val="24"/>
        </w:rPr>
        <w:footnoteReference w:id="48"/>
      </w:r>
      <w:r w:rsidRPr="007E3047">
        <w:rPr>
          <w:rFonts w:ascii="Times New Roman" w:eastAsia="Times New Roman" w:hAnsi="Times New Roman"/>
          <w:sz w:val="24"/>
          <w:szCs w:val="24"/>
        </w:rPr>
        <w:t>.</w:t>
      </w:r>
    </w:p>
    <w:p w:rsidR="00045C13" w:rsidRPr="007E3047" w:rsidRDefault="00045C13" w:rsidP="00045C13">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Todas as medidas </w:t>
      </w:r>
      <w:r w:rsidR="00652124" w:rsidRPr="007E3047">
        <w:rPr>
          <w:rFonts w:ascii="Times New Roman" w:eastAsia="Times New Roman" w:hAnsi="Times New Roman"/>
          <w:sz w:val="24"/>
          <w:szCs w:val="24"/>
        </w:rPr>
        <w:t xml:space="preserve">implementadas foram decorrentes da Lei de Responsabilização, Fechamento </w:t>
      </w:r>
      <w:r w:rsidR="00074EF9" w:rsidRPr="007E3047">
        <w:rPr>
          <w:rFonts w:ascii="Times New Roman" w:eastAsia="Times New Roman" w:hAnsi="Times New Roman"/>
          <w:sz w:val="24"/>
          <w:szCs w:val="24"/>
        </w:rPr>
        <w:t>e Reconciliaç</w:t>
      </w:r>
      <w:r w:rsidR="00AE2142" w:rsidRPr="007E3047">
        <w:rPr>
          <w:rFonts w:ascii="Times New Roman" w:eastAsia="Times New Roman" w:hAnsi="Times New Roman"/>
          <w:sz w:val="24"/>
          <w:szCs w:val="24"/>
        </w:rPr>
        <w:t>ão</w:t>
      </w:r>
      <w:r w:rsidR="00DD0120" w:rsidRPr="007E3047">
        <w:rPr>
          <w:rFonts w:ascii="Times New Roman" w:eastAsia="Times New Roman" w:hAnsi="Times New Roman"/>
          <w:sz w:val="24"/>
          <w:szCs w:val="24"/>
        </w:rPr>
        <w:t>,</w:t>
      </w:r>
      <w:r w:rsidR="00342FCC" w:rsidRPr="007E3047">
        <w:rPr>
          <w:rFonts w:ascii="Times New Roman" w:eastAsia="Times New Roman" w:hAnsi="Times New Roman"/>
          <w:sz w:val="24"/>
          <w:szCs w:val="24"/>
        </w:rPr>
        <w:t xml:space="preserve"> demonstrando assim que esta está em completa compatibilidade com as disposições contidas na CADH. </w:t>
      </w:r>
    </w:p>
    <w:p w:rsidR="00AE7431" w:rsidRPr="007E3047" w:rsidRDefault="00C71FA6" w:rsidP="0087383C">
      <w:pPr>
        <w:spacing w:after="0" w:line="480" w:lineRule="auto"/>
        <w:jc w:val="both"/>
        <w:rPr>
          <w:rFonts w:ascii="Times New Roman" w:eastAsia="Arial" w:hAnsi="Times New Roman"/>
          <w:b/>
          <w:sz w:val="24"/>
          <w:szCs w:val="24"/>
        </w:rPr>
      </w:pPr>
      <w:r w:rsidRPr="007E3047">
        <w:rPr>
          <w:rFonts w:ascii="Times New Roman" w:eastAsia="Arial" w:hAnsi="Times New Roman"/>
          <w:b/>
          <w:sz w:val="24"/>
          <w:szCs w:val="24"/>
        </w:rPr>
        <w:t>6.2</w:t>
      </w:r>
      <w:r w:rsidR="00AE7431" w:rsidRPr="007E3047">
        <w:rPr>
          <w:rFonts w:ascii="Times New Roman" w:eastAsia="Arial" w:hAnsi="Times New Roman"/>
          <w:b/>
          <w:sz w:val="24"/>
          <w:szCs w:val="24"/>
        </w:rPr>
        <w:t>.3</w:t>
      </w:r>
      <w:r w:rsidR="008D35A9" w:rsidRPr="007E3047">
        <w:rPr>
          <w:rFonts w:ascii="Times New Roman" w:eastAsia="Arial" w:hAnsi="Times New Roman"/>
          <w:b/>
          <w:sz w:val="24"/>
          <w:szCs w:val="24"/>
        </w:rPr>
        <w:t xml:space="preserve"> Da não violação dos</w:t>
      </w:r>
      <w:r w:rsidR="00523878" w:rsidRPr="007E3047">
        <w:rPr>
          <w:rFonts w:ascii="Times New Roman" w:eastAsia="Arial" w:hAnsi="Times New Roman"/>
          <w:b/>
          <w:sz w:val="24"/>
          <w:szCs w:val="24"/>
        </w:rPr>
        <w:t xml:space="preserve"> </w:t>
      </w:r>
      <w:r w:rsidR="008D35A9" w:rsidRPr="007E3047">
        <w:rPr>
          <w:rFonts w:ascii="Times New Roman" w:eastAsia="Arial" w:hAnsi="Times New Roman"/>
          <w:b/>
          <w:sz w:val="24"/>
          <w:szCs w:val="24"/>
        </w:rPr>
        <w:t>a</w:t>
      </w:r>
      <w:r w:rsidR="0067708B" w:rsidRPr="007E3047">
        <w:rPr>
          <w:rFonts w:ascii="Times New Roman" w:eastAsia="Arial" w:hAnsi="Times New Roman"/>
          <w:b/>
          <w:sz w:val="24"/>
          <w:szCs w:val="24"/>
        </w:rPr>
        <w:t>rt</w:t>
      </w:r>
      <w:r w:rsidR="008D35A9" w:rsidRPr="007E3047">
        <w:rPr>
          <w:rFonts w:ascii="Times New Roman" w:eastAsia="Arial" w:hAnsi="Times New Roman"/>
          <w:b/>
          <w:sz w:val="24"/>
          <w:szCs w:val="24"/>
        </w:rPr>
        <w:t>s</w:t>
      </w:r>
      <w:r w:rsidR="0067708B" w:rsidRPr="007E3047">
        <w:rPr>
          <w:rFonts w:ascii="Times New Roman" w:eastAsia="Arial" w:hAnsi="Times New Roman"/>
          <w:b/>
          <w:sz w:val="24"/>
          <w:szCs w:val="24"/>
        </w:rPr>
        <w:t>.</w:t>
      </w:r>
      <w:r w:rsidR="00AE7431" w:rsidRPr="007E3047">
        <w:rPr>
          <w:rFonts w:ascii="Times New Roman" w:eastAsia="Arial" w:hAnsi="Times New Roman"/>
          <w:b/>
          <w:sz w:val="24"/>
          <w:szCs w:val="24"/>
        </w:rPr>
        <w:t xml:space="preserve"> 8 (garantias judiciais) e 25 (proteção judicial)</w:t>
      </w:r>
      <w:r w:rsidR="002332DD" w:rsidRPr="007E3047">
        <w:rPr>
          <w:rFonts w:ascii="Times New Roman" w:eastAsia="Arial" w:hAnsi="Times New Roman"/>
          <w:b/>
          <w:sz w:val="24"/>
          <w:szCs w:val="24"/>
        </w:rPr>
        <w:t xml:space="preserve"> c/c 1.1</w:t>
      </w:r>
      <w:r w:rsidR="00523878" w:rsidRPr="007E3047">
        <w:rPr>
          <w:rFonts w:ascii="Times New Roman" w:eastAsia="Arial" w:hAnsi="Times New Roman"/>
          <w:b/>
          <w:sz w:val="24"/>
          <w:szCs w:val="24"/>
        </w:rPr>
        <w:t xml:space="preserve"> </w:t>
      </w:r>
      <w:r w:rsidR="000E7912" w:rsidRPr="007E3047">
        <w:rPr>
          <w:rFonts w:ascii="Times New Roman" w:hAnsi="Times New Roman"/>
          <w:b/>
          <w:color w:val="000000"/>
          <w:sz w:val="24"/>
          <w:szCs w:val="24"/>
        </w:rPr>
        <w:t>(</w:t>
      </w:r>
      <w:r w:rsidR="00012FE1" w:rsidRPr="007E3047">
        <w:rPr>
          <w:rFonts w:ascii="Times New Roman" w:eastAsia="Times New Roman" w:hAnsi="Times New Roman"/>
          <w:b/>
          <w:sz w:val="24"/>
          <w:szCs w:val="24"/>
        </w:rPr>
        <w:t>obrigação</w:t>
      </w:r>
      <w:r w:rsidR="000E7912" w:rsidRPr="007E3047">
        <w:rPr>
          <w:rFonts w:ascii="Times New Roman" w:hAnsi="Times New Roman"/>
          <w:b/>
          <w:color w:val="000000"/>
          <w:sz w:val="24"/>
          <w:szCs w:val="24"/>
        </w:rPr>
        <w:t xml:space="preserve"> de respeitar os direitos)</w:t>
      </w:r>
    </w:p>
    <w:p w:rsidR="00AE7431" w:rsidRPr="007E3047" w:rsidRDefault="00AE7431" w:rsidP="00DA4FBF">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lastRenderedPageBreak/>
        <w:t>Ao longo dos anos de exercício de sua jurisdição, a Corte IDH consolidou o entendimento do julgamento co</w:t>
      </w:r>
      <w:r w:rsidR="00523878" w:rsidRPr="007E3047">
        <w:rPr>
          <w:rFonts w:ascii="Times New Roman" w:eastAsia="Arial" w:hAnsi="Times New Roman"/>
          <w:sz w:val="24"/>
          <w:szCs w:val="24"/>
        </w:rPr>
        <w:t>njunto dos arts. 8 e 25 da CADH</w:t>
      </w:r>
      <w:r w:rsidRPr="007E3047">
        <w:rPr>
          <w:rStyle w:val="FootnoteReference"/>
          <w:rFonts w:ascii="Times New Roman" w:eastAsia="Arial" w:hAnsi="Times New Roman"/>
          <w:sz w:val="24"/>
          <w:szCs w:val="24"/>
        </w:rPr>
        <w:footnoteReference w:id="49"/>
      </w:r>
      <w:r w:rsidR="00DA4FBF" w:rsidRPr="007E3047">
        <w:rPr>
          <w:rFonts w:ascii="Times New Roman" w:eastAsia="Arial" w:hAnsi="Times New Roman"/>
          <w:sz w:val="24"/>
          <w:szCs w:val="24"/>
        </w:rPr>
        <w:t>. O ex-j</w:t>
      </w:r>
      <w:r w:rsidRPr="007E3047">
        <w:rPr>
          <w:rFonts w:ascii="Times New Roman" w:eastAsia="Arial" w:hAnsi="Times New Roman"/>
          <w:sz w:val="24"/>
          <w:szCs w:val="24"/>
        </w:rPr>
        <w:t xml:space="preserve">uiz </w:t>
      </w:r>
      <w:r w:rsidR="00DA4FBF" w:rsidRPr="007E3047">
        <w:rPr>
          <w:rFonts w:ascii="Times New Roman" w:eastAsia="Arial" w:hAnsi="Times New Roman"/>
          <w:sz w:val="24"/>
          <w:szCs w:val="24"/>
        </w:rPr>
        <w:t xml:space="preserve">Antônio </w:t>
      </w:r>
      <w:r w:rsidRPr="007E3047">
        <w:rPr>
          <w:rFonts w:ascii="Times New Roman" w:eastAsia="Arial" w:hAnsi="Times New Roman"/>
          <w:sz w:val="24"/>
          <w:szCs w:val="24"/>
        </w:rPr>
        <w:t>Augusto Cançado Trindade prolatou em seu voto dissidente</w:t>
      </w:r>
      <w:r w:rsidR="00763D6E" w:rsidRPr="007E3047">
        <w:rPr>
          <w:rFonts w:ascii="Times New Roman" w:eastAsia="Arial" w:hAnsi="Times New Roman"/>
          <w:sz w:val="24"/>
          <w:szCs w:val="24"/>
        </w:rPr>
        <w:t xml:space="preserve"> no c</w:t>
      </w:r>
      <w:r w:rsidR="00DA4FBF" w:rsidRPr="007E3047">
        <w:rPr>
          <w:rFonts w:ascii="Times New Roman" w:eastAsia="Arial" w:hAnsi="Times New Roman"/>
          <w:sz w:val="24"/>
          <w:szCs w:val="24"/>
        </w:rPr>
        <w:t>aso López Alvarez vs. Honduras</w:t>
      </w:r>
      <w:r w:rsidR="00DA4FBF" w:rsidRPr="007E3047">
        <w:rPr>
          <w:rStyle w:val="FootnoteReference"/>
          <w:rFonts w:ascii="Times New Roman" w:eastAsia="Arial" w:hAnsi="Times New Roman"/>
          <w:sz w:val="24"/>
          <w:szCs w:val="24"/>
        </w:rPr>
        <w:footnoteReference w:id="50"/>
      </w:r>
      <w:r w:rsidRPr="007E3047">
        <w:rPr>
          <w:rFonts w:ascii="Times New Roman" w:eastAsia="Arial" w:hAnsi="Times New Roman"/>
          <w:sz w:val="24"/>
          <w:szCs w:val="24"/>
        </w:rPr>
        <w:t xml:space="preserve"> que ca</w:t>
      </w:r>
      <w:r w:rsidR="005A0AEF" w:rsidRPr="007E3047">
        <w:rPr>
          <w:rFonts w:ascii="Times New Roman" w:eastAsia="Arial" w:hAnsi="Times New Roman"/>
          <w:sz w:val="24"/>
          <w:szCs w:val="24"/>
        </w:rPr>
        <w:t>da um dos artigos possui</w:t>
      </w:r>
      <w:r w:rsidRPr="007E3047">
        <w:rPr>
          <w:rFonts w:ascii="Times New Roman" w:eastAsia="Arial" w:hAnsi="Times New Roman"/>
          <w:sz w:val="24"/>
          <w:szCs w:val="24"/>
        </w:rPr>
        <w:t xml:space="preserve"> conteúdo material próprio, mas não significa que não possam ou não devam ser relacionados entre si, nas circunstâncias dos casos concretos.</w:t>
      </w:r>
    </w:p>
    <w:p w:rsidR="00AE7431" w:rsidRPr="007E3047" w:rsidRDefault="00AE7431" w:rsidP="00410409">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 xml:space="preserve">A Corte </w:t>
      </w:r>
      <w:r w:rsidR="00E974C5" w:rsidRPr="007E3047">
        <w:rPr>
          <w:rFonts w:ascii="Times New Roman" w:eastAsia="Arial" w:hAnsi="Times New Roman"/>
          <w:sz w:val="24"/>
          <w:szCs w:val="24"/>
        </w:rPr>
        <w:t xml:space="preserve">IDH </w:t>
      </w:r>
      <w:r w:rsidRPr="007E3047">
        <w:rPr>
          <w:rFonts w:ascii="Times New Roman" w:eastAsia="Arial" w:hAnsi="Times New Roman"/>
          <w:sz w:val="24"/>
          <w:szCs w:val="24"/>
        </w:rPr>
        <w:t>tem sustentado</w:t>
      </w:r>
      <w:r w:rsidR="00523878" w:rsidRPr="007E3047">
        <w:rPr>
          <w:rFonts w:ascii="Times New Roman" w:eastAsia="Arial" w:hAnsi="Times New Roman"/>
          <w:sz w:val="24"/>
          <w:szCs w:val="24"/>
        </w:rPr>
        <w:t xml:space="preserve"> que segundo a CADH</w:t>
      </w:r>
      <w:r w:rsidRPr="007E3047">
        <w:rPr>
          <w:rFonts w:ascii="Times New Roman" w:eastAsia="Arial" w:hAnsi="Times New Roman"/>
          <w:sz w:val="24"/>
          <w:szCs w:val="24"/>
        </w:rPr>
        <w:t xml:space="preserve"> os Estados-partes estão obrigados a conceder recursos judiciais efetivos às vítimas de violações de direitos humanos (art. 25), recursos que devem ser substanciados em conformidade com as regras do devido processo legal (art. 8.1), todos eles dentro da obrigação geral, a cargo dos mesmos Estados, de garantir o livre e pleno exercício dos direitos reconhecidos na CADH a toda pessoa que</w:t>
      </w:r>
      <w:r w:rsidR="00523878" w:rsidRPr="007E3047">
        <w:rPr>
          <w:rFonts w:ascii="Times New Roman" w:eastAsia="Arial" w:hAnsi="Times New Roman"/>
          <w:sz w:val="24"/>
          <w:szCs w:val="24"/>
        </w:rPr>
        <w:t xml:space="preserve"> se encontre sob sua jurisdição</w:t>
      </w:r>
      <w:r w:rsidRPr="007E3047">
        <w:rPr>
          <w:rStyle w:val="FootnoteReference"/>
          <w:rFonts w:ascii="Times New Roman" w:eastAsia="Arial" w:hAnsi="Times New Roman"/>
          <w:sz w:val="24"/>
          <w:szCs w:val="24"/>
        </w:rPr>
        <w:footnoteReference w:id="51"/>
      </w:r>
      <w:r w:rsidRPr="007E3047">
        <w:rPr>
          <w:rFonts w:ascii="Times New Roman" w:eastAsia="Arial" w:hAnsi="Times New Roman"/>
          <w:sz w:val="24"/>
          <w:szCs w:val="24"/>
        </w:rPr>
        <w:t xml:space="preserve">. </w:t>
      </w:r>
    </w:p>
    <w:p w:rsidR="00186AD2" w:rsidRPr="007E3047" w:rsidRDefault="00AE7431" w:rsidP="00D671C9">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 xml:space="preserve">Considerou-se que o Estado </w:t>
      </w:r>
      <w:r w:rsidR="00027D5D" w:rsidRPr="007E3047">
        <w:rPr>
          <w:rFonts w:ascii="Times New Roman" w:eastAsia="Arial" w:hAnsi="Times New Roman"/>
          <w:sz w:val="24"/>
          <w:szCs w:val="24"/>
        </w:rPr>
        <w:t xml:space="preserve">supostamente </w:t>
      </w:r>
      <w:r w:rsidRPr="007E3047">
        <w:rPr>
          <w:rFonts w:ascii="Times New Roman" w:eastAsia="Arial" w:hAnsi="Times New Roman"/>
          <w:sz w:val="24"/>
          <w:szCs w:val="24"/>
        </w:rPr>
        <w:t xml:space="preserve">violou tais artigos em prejuízo </w:t>
      </w:r>
      <w:r w:rsidR="002900D8" w:rsidRPr="007E3047">
        <w:rPr>
          <w:rFonts w:ascii="Times New Roman" w:eastAsia="Arial" w:hAnsi="Times New Roman"/>
          <w:sz w:val="24"/>
          <w:szCs w:val="24"/>
        </w:rPr>
        <w:t>de</w:t>
      </w:r>
      <w:r w:rsidRPr="007E3047">
        <w:rPr>
          <w:rFonts w:ascii="Times New Roman" w:eastAsia="Arial" w:hAnsi="Times New Roman"/>
          <w:sz w:val="24"/>
          <w:szCs w:val="24"/>
        </w:rPr>
        <w:t xml:space="preserve"> Ricardo Bolt</w:t>
      </w:r>
      <w:r w:rsidR="003B0FF7" w:rsidRPr="007E3047">
        <w:rPr>
          <w:rFonts w:ascii="Times New Roman" w:eastAsia="Arial" w:hAnsi="Times New Roman"/>
          <w:sz w:val="24"/>
          <w:szCs w:val="24"/>
        </w:rPr>
        <w:t>,</w:t>
      </w:r>
      <w:r w:rsidRPr="007E3047">
        <w:rPr>
          <w:rFonts w:ascii="Times New Roman" w:eastAsia="Arial" w:hAnsi="Times New Roman"/>
          <w:sz w:val="24"/>
          <w:szCs w:val="24"/>
        </w:rPr>
        <w:t xml:space="preserve"> conforme narrado </w:t>
      </w:r>
      <w:r w:rsidR="00F700DC" w:rsidRPr="007E3047">
        <w:rPr>
          <w:rFonts w:ascii="Times New Roman" w:eastAsia="Arial" w:hAnsi="Times New Roman"/>
          <w:sz w:val="24"/>
          <w:szCs w:val="24"/>
        </w:rPr>
        <w:t>na exposição dos fatos do art.</w:t>
      </w:r>
      <w:r w:rsidR="002900D8" w:rsidRPr="007E3047">
        <w:rPr>
          <w:rFonts w:ascii="Times New Roman" w:eastAsia="Arial" w:hAnsi="Times New Roman"/>
          <w:sz w:val="24"/>
          <w:szCs w:val="24"/>
        </w:rPr>
        <w:t xml:space="preserve"> 2</w:t>
      </w:r>
      <w:r w:rsidR="00523878" w:rsidRPr="007E3047">
        <w:rPr>
          <w:rFonts w:ascii="Times New Roman" w:eastAsia="Arial" w:hAnsi="Times New Roman"/>
          <w:sz w:val="24"/>
          <w:szCs w:val="24"/>
        </w:rPr>
        <w:t xml:space="preserve"> na presente peça</w:t>
      </w:r>
      <w:r w:rsidR="002900D8" w:rsidRPr="007E3047">
        <w:rPr>
          <w:rFonts w:ascii="Times New Roman" w:eastAsia="Arial" w:hAnsi="Times New Roman"/>
          <w:sz w:val="24"/>
          <w:szCs w:val="24"/>
        </w:rPr>
        <w:t>;</w:t>
      </w:r>
      <w:r w:rsidR="00523878" w:rsidRPr="007E3047">
        <w:rPr>
          <w:rFonts w:ascii="Times New Roman" w:eastAsia="Arial" w:hAnsi="Times New Roman"/>
          <w:sz w:val="24"/>
          <w:szCs w:val="24"/>
        </w:rPr>
        <w:t xml:space="preserve"> </w:t>
      </w:r>
      <w:r w:rsidR="002900D8" w:rsidRPr="007E3047">
        <w:rPr>
          <w:rFonts w:ascii="Times New Roman" w:eastAsia="Arial" w:hAnsi="Times New Roman"/>
          <w:sz w:val="24"/>
          <w:szCs w:val="24"/>
        </w:rPr>
        <w:t xml:space="preserve">de </w:t>
      </w:r>
      <w:r w:rsidRPr="007E3047">
        <w:rPr>
          <w:rFonts w:ascii="Times New Roman" w:eastAsia="Arial" w:hAnsi="Times New Roman"/>
          <w:sz w:val="24"/>
          <w:szCs w:val="24"/>
        </w:rPr>
        <w:t>Lupita Lopez por considerar que a morte de seu filho ficou impune devido a Lei de Responsabilização, Fechamento e Reconciliação</w:t>
      </w:r>
      <w:r w:rsidR="002900D8" w:rsidRPr="007E3047">
        <w:rPr>
          <w:rFonts w:ascii="Times New Roman" w:eastAsia="Arial" w:hAnsi="Times New Roman"/>
          <w:sz w:val="24"/>
          <w:szCs w:val="24"/>
        </w:rPr>
        <w:t>;</w:t>
      </w:r>
      <w:r w:rsidRPr="007E3047">
        <w:rPr>
          <w:rFonts w:ascii="Times New Roman" w:eastAsia="Arial" w:hAnsi="Times New Roman"/>
          <w:sz w:val="24"/>
          <w:szCs w:val="24"/>
        </w:rPr>
        <w:t xml:space="preserve"> e </w:t>
      </w:r>
      <w:r w:rsidR="00A93566" w:rsidRPr="007E3047">
        <w:rPr>
          <w:rFonts w:ascii="Times New Roman" w:eastAsia="Arial" w:hAnsi="Times New Roman"/>
          <w:sz w:val="24"/>
          <w:szCs w:val="24"/>
        </w:rPr>
        <w:t>d</w:t>
      </w:r>
      <w:r w:rsidRPr="007E3047">
        <w:rPr>
          <w:rFonts w:ascii="Times New Roman" w:eastAsia="Arial" w:hAnsi="Times New Roman"/>
          <w:sz w:val="24"/>
          <w:szCs w:val="24"/>
        </w:rPr>
        <w:t>e Emily e Maximiliano Rossi</w:t>
      </w:r>
      <w:r w:rsidR="00523878" w:rsidRPr="007E3047">
        <w:rPr>
          <w:rFonts w:ascii="Times New Roman" w:eastAsia="Arial" w:hAnsi="Times New Roman"/>
          <w:sz w:val="24"/>
          <w:szCs w:val="24"/>
        </w:rPr>
        <w:t xml:space="preserve"> </w:t>
      </w:r>
      <w:r w:rsidRPr="007E3047">
        <w:rPr>
          <w:rFonts w:ascii="Times New Roman" w:eastAsia="Arial" w:hAnsi="Times New Roman"/>
          <w:sz w:val="24"/>
          <w:szCs w:val="24"/>
        </w:rPr>
        <w:t>por ausência de inquérito, sanção, castigo e reparação dos danos decorrentes pela morte de Lucrécia Rossi.</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Em relação ao art</w:t>
      </w:r>
      <w:r w:rsidR="00970A47" w:rsidRPr="007E3047">
        <w:rPr>
          <w:rFonts w:ascii="Times New Roman" w:eastAsia="Arial" w:hAnsi="Times New Roman"/>
          <w:sz w:val="24"/>
          <w:szCs w:val="24"/>
        </w:rPr>
        <w:t>.</w:t>
      </w:r>
      <w:r w:rsidRPr="007E3047">
        <w:rPr>
          <w:rFonts w:ascii="Times New Roman" w:eastAsia="Arial" w:hAnsi="Times New Roman"/>
          <w:sz w:val="24"/>
          <w:szCs w:val="24"/>
        </w:rPr>
        <w:t xml:space="preserve"> 8, a Cort</w:t>
      </w:r>
      <w:r w:rsidR="00523878" w:rsidRPr="007E3047">
        <w:rPr>
          <w:rFonts w:ascii="Times New Roman" w:eastAsia="Arial" w:hAnsi="Times New Roman"/>
          <w:sz w:val="24"/>
          <w:szCs w:val="24"/>
        </w:rPr>
        <w:t>e IDH dispõe que o Estado deve</w:t>
      </w:r>
      <w:r w:rsidRPr="007E3047">
        <w:rPr>
          <w:rFonts w:ascii="Times New Roman" w:eastAsia="Arial" w:hAnsi="Times New Roman"/>
          <w:sz w:val="24"/>
          <w:szCs w:val="24"/>
        </w:rPr>
        <w:t xml:space="preserve"> investigar, processar ou sancionar penalmente os responsáveis pelas violações de direitos humanos cometidas durante um regime militar </w:t>
      </w:r>
      <w:r w:rsidRPr="007E3047">
        <w:rPr>
          <w:rStyle w:val="FootnoteReference"/>
          <w:rFonts w:ascii="Times New Roman" w:eastAsia="Arial" w:hAnsi="Times New Roman"/>
          <w:sz w:val="24"/>
          <w:szCs w:val="24"/>
        </w:rPr>
        <w:footnoteReference w:id="52"/>
      </w:r>
      <w:r w:rsidRPr="007E3047">
        <w:rPr>
          <w:rFonts w:ascii="Times New Roman" w:eastAsia="Arial" w:hAnsi="Times New Roman"/>
          <w:sz w:val="24"/>
          <w:szCs w:val="24"/>
        </w:rPr>
        <w:t>.</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lastRenderedPageBreak/>
        <w:t xml:space="preserve">Quanto ao artigo 8.1 da CADH, este se refere a um conjunto de requisitos com o fim de apurar qualquer questão que envolva os direitos civis de um individuo, que consistem em determinar que toda pessoa tem o direito de ser ouvida, com as devidas garantias e dentro de um prazo razoável, por um juiz ou tribunal imparcial e competente </w:t>
      </w:r>
      <w:r w:rsidRPr="007E3047">
        <w:rPr>
          <w:rStyle w:val="FootnoteReference"/>
          <w:rFonts w:ascii="Times New Roman" w:eastAsia="Arial" w:hAnsi="Times New Roman"/>
          <w:sz w:val="24"/>
          <w:szCs w:val="24"/>
        </w:rPr>
        <w:footnoteReference w:id="53"/>
      </w:r>
      <w:r w:rsidRPr="007E3047">
        <w:rPr>
          <w:rFonts w:ascii="Times New Roman" w:eastAsia="Arial" w:hAnsi="Times New Roman"/>
          <w:sz w:val="24"/>
          <w:szCs w:val="24"/>
        </w:rPr>
        <w:t xml:space="preserve">. </w:t>
      </w:r>
    </w:p>
    <w:p w:rsidR="00BC01DE" w:rsidRPr="007E3047" w:rsidRDefault="00BC01DE" w:rsidP="00BC01DE">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Consubstancia-s</w:t>
      </w:r>
      <w:r w:rsidR="00523878" w:rsidRPr="007E3047">
        <w:rPr>
          <w:rFonts w:ascii="Times New Roman" w:eastAsia="Arial" w:hAnsi="Times New Roman"/>
          <w:sz w:val="24"/>
          <w:szCs w:val="24"/>
        </w:rPr>
        <w:t>e o art. 25 no acesso à justiça</w:t>
      </w:r>
      <w:r w:rsidRPr="007E3047">
        <w:rPr>
          <w:rStyle w:val="FootnoteReference"/>
          <w:rFonts w:ascii="Times New Roman" w:eastAsia="Arial" w:hAnsi="Times New Roman"/>
          <w:sz w:val="24"/>
          <w:szCs w:val="24"/>
        </w:rPr>
        <w:footnoteReference w:id="54"/>
      </w:r>
      <w:r w:rsidRPr="007E3047">
        <w:rPr>
          <w:rFonts w:ascii="Times New Roman" w:eastAsia="Arial" w:hAnsi="Times New Roman"/>
          <w:sz w:val="24"/>
          <w:szCs w:val="24"/>
        </w:rPr>
        <w:t>, que pode ser considerado “como um requisito fundamental – o mais básico dos direitos humanos – de um sistema jurídico moderno e igualitário que pretenda garantir, e não apen</w:t>
      </w:r>
      <w:r w:rsidR="00523878" w:rsidRPr="007E3047">
        <w:rPr>
          <w:rFonts w:ascii="Times New Roman" w:eastAsia="Arial" w:hAnsi="Times New Roman"/>
          <w:sz w:val="24"/>
          <w:szCs w:val="24"/>
        </w:rPr>
        <w:t>as proclamar direitos de todos”</w:t>
      </w:r>
      <w:r w:rsidRPr="007E3047">
        <w:rPr>
          <w:rStyle w:val="FootnoteReference"/>
          <w:rFonts w:ascii="Times New Roman" w:eastAsia="Arial" w:hAnsi="Times New Roman"/>
          <w:sz w:val="24"/>
          <w:szCs w:val="24"/>
        </w:rPr>
        <w:footnoteReference w:id="55"/>
      </w:r>
      <w:r w:rsidRPr="007E3047">
        <w:rPr>
          <w:rFonts w:ascii="Times New Roman" w:eastAsia="Arial" w:hAnsi="Times New Roman"/>
          <w:sz w:val="24"/>
          <w:szCs w:val="24"/>
        </w:rPr>
        <w:t xml:space="preserve">. Tal direito não deve ser entendido apenas no sentido </w:t>
      </w:r>
      <w:r w:rsidRPr="007E3047">
        <w:rPr>
          <w:rFonts w:ascii="Times New Roman" w:eastAsia="Arial" w:hAnsi="Times New Roman"/>
          <w:i/>
          <w:sz w:val="24"/>
          <w:szCs w:val="24"/>
        </w:rPr>
        <w:t>stricto sensu</w:t>
      </w:r>
      <w:r w:rsidRPr="007E3047">
        <w:rPr>
          <w:rFonts w:ascii="Times New Roman" w:eastAsia="Arial" w:hAnsi="Times New Roman"/>
          <w:sz w:val="24"/>
          <w:szCs w:val="24"/>
        </w:rPr>
        <w:t xml:space="preserve">, ou seja, o acesso meramente formal à instância judicial (tanto interna, quanto internacional), mas sim no sentido </w:t>
      </w:r>
      <w:r w:rsidRPr="007E3047">
        <w:rPr>
          <w:rFonts w:ascii="Times New Roman" w:eastAsia="Arial" w:hAnsi="Times New Roman"/>
          <w:i/>
          <w:sz w:val="24"/>
          <w:szCs w:val="24"/>
        </w:rPr>
        <w:t>lato sensu</w:t>
      </w:r>
      <w:r w:rsidRPr="007E3047">
        <w:rPr>
          <w:rFonts w:ascii="Times New Roman" w:eastAsia="Arial" w:hAnsi="Times New Roman"/>
          <w:sz w:val="24"/>
          <w:szCs w:val="24"/>
        </w:rPr>
        <w:t>, consistindo no direito de se obter efetivamente a prestação jurisdicional</w:t>
      </w:r>
      <w:r w:rsidRPr="007E3047">
        <w:rPr>
          <w:rStyle w:val="FootnoteReference"/>
          <w:rFonts w:ascii="Times New Roman" w:eastAsia="Arial" w:hAnsi="Times New Roman"/>
          <w:sz w:val="24"/>
          <w:szCs w:val="24"/>
        </w:rPr>
        <w:footnoteReference w:id="56"/>
      </w:r>
      <w:r w:rsidRPr="007E3047">
        <w:rPr>
          <w:rFonts w:ascii="Times New Roman" w:eastAsia="Arial" w:hAnsi="Times New Roman"/>
          <w:sz w:val="24"/>
          <w:szCs w:val="24"/>
        </w:rPr>
        <w:t xml:space="preserve">. </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Diante do cenário de transição, Cardenal desenvolveu todo um sistema jurisdicional</w:t>
      </w:r>
      <w:r w:rsidR="00970A47" w:rsidRPr="007E3047">
        <w:rPr>
          <w:rFonts w:ascii="Times New Roman" w:eastAsia="Arial" w:hAnsi="Times New Roman"/>
          <w:sz w:val="24"/>
          <w:szCs w:val="24"/>
        </w:rPr>
        <w:t>,</w:t>
      </w:r>
      <w:r w:rsidRPr="007E3047">
        <w:rPr>
          <w:rFonts w:ascii="Times New Roman" w:eastAsia="Arial" w:hAnsi="Times New Roman"/>
          <w:sz w:val="24"/>
          <w:szCs w:val="24"/>
        </w:rPr>
        <w:t xml:space="preserve"> em que a partir do</w:t>
      </w:r>
      <w:r w:rsidR="00970A47" w:rsidRPr="007E3047">
        <w:rPr>
          <w:rFonts w:ascii="Times New Roman" w:eastAsia="Arial" w:hAnsi="Times New Roman"/>
          <w:sz w:val="24"/>
          <w:szCs w:val="24"/>
        </w:rPr>
        <w:t>s</w:t>
      </w:r>
      <w:r w:rsidRPr="007E3047">
        <w:rPr>
          <w:rFonts w:ascii="Times New Roman" w:eastAsia="Arial" w:hAnsi="Times New Roman"/>
          <w:sz w:val="24"/>
          <w:szCs w:val="24"/>
        </w:rPr>
        <w:t xml:space="preserve"> relato</w:t>
      </w:r>
      <w:r w:rsidR="00970A47" w:rsidRPr="007E3047">
        <w:rPr>
          <w:rFonts w:ascii="Times New Roman" w:eastAsia="Arial" w:hAnsi="Times New Roman"/>
          <w:sz w:val="24"/>
          <w:szCs w:val="24"/>
        </w:rPr>
        <w:t>s</w:t>
      </w:r>
      <w:r w:rsidRPr="007E3047">
        <w:rPr>
          <w:rFonts w:ascii="Times New Roman" w:eastAsia="Arial" w:hAnsi="Times New Roman"/>
          <w:sz w:val="24"/>
          <w:szCs w:val="24"/>
        </w:rPr>
        <w:t xml:space="preserve"> das vitimas</w:t>
      </w:r>
      <w:r w:rsidR="00970A47" w:rsidRPr="007E3047">
        <w:rPr>
          <w:rFonts w:ascii="Times New Roman" w:eastAsia="Arial" w:hAnsi="Times New Roman"/>
          <w:sz w:val="24"/>
          <w:szCs w:val="24"/>
        </w:rPr>
        <w:t>,</w:t>
      </w:r>
      <w:r w:rsidR="001B6063" w:rsidRPr="007E3047">
        <w:rPr>
          <w:rFonts w:ascii="Times New Roman" w:eastAsia="Arial" w:hAnsi="Times New Roman"/>
          <w:sz w:val="24"/>
          <w:szCs w:val="24"/>
        </w:rPr>
        <w:t xml:space="preserve"> de</w:t>
      </w:r>
      <w:r w:rsidR="00970A47" w:rsidRPr="007E3047">
        <w:rPr>
          <w:rFonts w:ascii="Times New Roman" w:eastAsia="Arial" w:hAnsi="Times New Roman"/>
          <w:sz w:val="24"/>
          <w:szCs w:val="24"/>
        </w:rPr>
        <w:t xml:space="preserve"> ex-militares e </w:t>
      </w:r>
      <w:r w:rsidR="001B6063" w:rsidRPr="007E3047">
        <w:rPr>
          <w:rFonts w:ascii="Times New Roman" w:eastAsia="Arial" w:hAnsi="Times New Roman"/>
          <w:sz w:val="24"/>
          <w:szCs w:val="24"/>
        </w:rPr>
        <w:t xml:space="preserve">de </w:t>
      </w:r>
      <w:r w:rsidR="00970A47" w:rsidRPr="007E3047">
        <w:rPr>
          <w:rFonts w:ascii="Times New Roman" w:eastAsia="Arial" w:hAnsi="Times New Roman"/>
          <w:sz w:val="24"/>
          <w:szCs w:val="24"/>
        </w:rPr>
        <w:t>ex-guerrilheiros</w:t>
      </w:r>
      <w:r w:rsidR="004A6FA5" w:rsidRPr="007E3047">
        <w:rPr>
          <w:rFonts w:ascii="Times New Roman" w:eastAsia="Arial" w:hAnsi="Times New Roman"/>
          <w:sz w:val="24"/>
          <w:szCs w:val="24"/>
        </w:rPr>
        <w:t>,</w:t>
      </w:r>
      <w:r w:rsidR="00970A47" w:rsidRPr="007E3047">
        <w:rPr>
          <w:rFonts w:ascii="Times New Roman" w:eastAsia="Arial" w:hAnsi="Times New Roman"/>
          <w:sz w:val="24"/>
          <w:szCs w:val="24"/>
        </w:rPr>
        <w:t xml:space="preserve"> além de</w:t>
      </w:r>
      <w:r w:rsidRPr="007E3047">
        <w:rPr>
          <w:rFonts w:ascii="Times New Roman" w:eastAsia="Arial" w:hAnsi="Times New Roman"/>
          <w:sz w:val="24"/>
          <w:szCs w:val="24"/>
        </w:rPr>
        <w:t xml:space="preserve"> i</w:t>
      </w:r>
      <w:r w:rsidR="004A6FA5" w:rsidRPr="007E3047">
        <w:rPr>
          <w:rFonts w:ascii="Times New Roman" w:eastAsia="Arial" w:hAnsi="Times New Roman"/>
          <w:sz w:val="24"/>
          <w:szCs w:val="24"/>
        </w:rPr>
        <w:t>nformações oficiais, determinou</w:t>
      </w:r>
      <w:r w:rsidRPr="007E3047">
        <w:rPr>
          <w:rFonts w:ascii="Times New Roman" w:eastAsia="Arial" w:hAnsi="Times New Roman"/>
          <w:sz w:val="24"/>
          <w:szCs w:val="24"/>
        </w:rPr>
        <w:t xml:space="preserve"> padrões gerais e regionais de vitimização. Após, o</w:t>
      </w:r>
      <w:r w:rsidR="003517F5" w:rsidRPr="007E3047">
        <w:rPr>
          <w:rFonts w:ascii="Times New Roman" w:eastAsia="Arial" w:hAnsi="Times New Roman"/>
          <w:sz w:val="24"/>
          <w:szCs w:val="24"/>
        </w:rPr>
        <w:t xml:space="preserve"> Ministério Pú</w:t>
      </w:r>
      <w:r w:rsidRPr="007E3047">
        <w:rPr>
          <w:rFonts w:ascii="Times New Roman" w:eastAsia="Arial" w:hAnsi="Times New Roman"/>
          <w:sz w:val="24"/>
          <w:szCs w:val="24"/>
        </w:rPr>
        <w:t>b</w:t>
      </w:r>
      <w:r w:rsidR="003517F5" w:rsidRPr="007E3047">
        <w:rPr>
          <w:rFonts w:ascii="Times New Roman" w:eastAsia="Arial" w:hAnsi="Times New Roman"/>
          <w:sz w:val="24"/>
          <w:szCs w:val="24"/>
        </w:rPr>
        <w:t>l</w:t>
      </w:r>
      <w:r w:rsidR="004A6FA5" w:rsidRPr="007E3047">
        <w:rPr>
          <w:rFonts w:ascii="Times New Roman" w:eastAsia="Arial" w:hAnsi="Times New Roman"/>
          <w:sz w:val="24"/>
          <w:szCs w:val="24"/>
        </w:rPr>
        <w:t>ico apurou</w:t>
      </w:r>
      <w:r w:rsidRPr="007E3047">
        <w:rPr>
          <w:rFonts w:ascii="Times New Roman" w:eastAsia="Arial" w:hAnsi="Times New Roman"/>
          <w:sz w:val="24"/>
          <w:szCs w:val="24"/>
        </w:rPr>
        <w:t xml:space="preserve"> quais </w:t>
      </w:r>
      <w:r w:rsidR="004A6FA5" w:rsidRPr="007E3047">
        <w:rPr>
          <w:rFonts w:ascii="Times New Roman" w:eastAsia="Arial" w:hAnsi="Times New Roman"/>
          <w:sz w:val="24"/>
          <w:szCs w:val="24"/>
        </w:rPr>
        <w:t>foram os macroprocessos e emitiu</w:t>
      </w:r>
      <w:r w:rsidRPr="007E3047">
        <w:rPr>
          <w:rFonts w:ascii="Times New Roman" w:eastAsia="Arial" w:hAnsi="Times New Roman"/>
          <w:sz w:val="24"/>
          <w:szCs w:val="24"/>
        </w:rPr>
        <w:t xml:space="preserve"> relatórios públicos que </w:t>
      </w:r>
      <w:r w:rsidR="004A6FA5" w:rsidRPr="007E3047">
        <w:rPr>
          <w:rFonts w:ascii="Times New Roman" w:eastAsia="Arial" w:hAnsi="Times New Roman"/>
          <w:sz w:val="24"/>
          <w:szCs w:val="24"/>
        </w:rPr>
        <w:t>foram</w:t>
      </w:r>
      <w:r w:rsidRPr="007E3047">
        <w:rPr>
          <w:rFonts w:ascii="Times New Roman" w:eastAsia="Arial" w:hAnsi="Times New Roman"/>
          <w:sz w:val="24"/>
          <w:szCs w:val="24"/>
        </w:rPr>
        <w:t xml:space="preserve"> enviados </w:t>
      </w:r>
      <w:r w:rsidR="00907091" w:rsidRPr="007E3047">
        <w:rPr>
          <w:rFonts w:ascii="Times New Roman" w:eastAsia="Arial" w:hAnsi="Times New Roman"/>
          <w:sz w:val="24"/>
          <w:szCs w:val="24"/>
        </w:rPr>
        <w:t>à Comissão de Alto Ní</w:t>
      </w:r>
      <w:r w:rsidRPr="007E3047">
        <w:rPr>
          <w:rFonts w:ascii="Times New Roman" w:eastAsia="Arial" w:hAnsi="Times New Roman"/>
          <w:sz w:val="24"/>
          <w:szCs w:val="24"/>
        </w:rPr>
        <w:t>vel</w:t>
      </w:r>
      <w:r w:rsidR="004A6FA5" w:rsidRPr="007E3047">
        <w:rPr>
          <w:rFonts w:ascii="Times New Roman" w:eastAsia="Arial" w:hAnsi="Times New Roman"/>
          <w:sz w:val="24"/>
          <w:szCs w:val="24"/>
        </w:rPr>
        <w:t>. Esta identificou</w:t>
      </w:r>
      <w:r w:rsidRPr="007E3047">
        <w:rPr>
          <w:rFonts w:ascii="Times New Roman" w:eastAsia="Arial" w:hAnsi="Times New Roman"/>
          <w:sz w:val="24"/>
          <w:szCs w:val="24"/>
        </w:rPr>
        <w:t xml:space="preserve"> os casos de máximos responsáveis</w:t>
      </w:r>
      <w:r w:rsidR="001B6063" w:rsidRPr="007E3047">
        <w:rPr>
          <w:rFonts w:ascii="Times New Roman" w:eastAsia="Arial" w:hAnsi="Times New Roman"/>
          <w:sz w:val="24"/>
          <w:szCs w:val="24"/>
        </w:rPr>
        <w:t xml:space="preserve"> que </w:t>
      </w:r>
      <w:r w:rsidR="004A6FA5" w:rsidRPr="007E3047">
        <w:rPr>
          <w:rFonts w:ascii="Times New Roman" w:eastAsia="Arial" w:hAnsi="Times New Roman"/>
          <w:sz w:val="24"/>
          <w:szCs w:val="24"/>
        </w:rPr>
        <w:t xml:space="preserve">foram, posteriormente, </w:t>
      </w:r>
      <w:r w:rsidR="001B6063" w:rsidRPr="007E3047">
        <w:rPr>
          <w:rFonts w:ascii="Times New Roman" w:eastAsia="Arial" w:hAnsi="Times New Roman"/>
          <w:sz w:val="24"/>
          <w:szCs w:val="24"/>
        </w:rPr>
        <w:t>objeto de açã</w:t>
      </w:r>
      <w:r w:rsidRPr="007E3047">
        <w:rPr>
          <w:rFonts w:ascii="Times New Roman" w:eastAsia="Arial" w:hAnsi="Times New Roman"/>
          <w:sz w:val="24"/>
          <w:szCs w:val="24"/>
        </w:rPr>
        <w:t>o penal a serem processados e julgados pelo Tribunal Penal Transicional.</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lastRenderedPageBreak/>
        <w:t>Ressalte-se que o dever de investigar é uma obrigação de meios</w:t>
      </w:r>
      <w:r w:rsidR="004A6FA5" w:rsidRPr="007E3047">
        <w:rPr>
          <w:rFonts w:ascii="Times New Roman" w:eastAsia="Arial" w:hAnsi="Times New Roman"/>
          <w:sz w:val="24"/>
          <w:szCs w:val="24"/>
        </w:rPr>
        <w:t xml:space="preserve"> e não de resultados, que deve</w:t>
      </w:r>
      <w:r w:rsidRPr="007E3047">
        <w:rPr>
          <w:rFonts w:ascii="Times New Roman" w:eastAsia="Arial" w:hAnsi="Times New Roman"/>
          <w:sz w:val="24"/>
          <w:szCs w:val="24"/>
        </w:rPr>
        <w:t xml:space="preserve"> ser assumida pelo Estado como um dever jurídico e não como</w:t>
      </w:r>
      <w:r w:rsidR="004A6FA5" w:rsidRPr="007E3047">
        <w:rPr>
          <w:rFonts w:ascii="Times New Roman" w:eastAsia="Arial" w:hAnsi="Times New Roman"/>
          <w:sz w:val="24"/>
          <w:szCs w:val="24"/>
        </w:rPr>
        <w:t xml:space="preserve"> </w:t>
      </w:r>
      <w:r w:rsidRPr="007E3047">
        <w:rPr>
          <w:rFonts w:ascii="Times New Roman" w:eastAsia="Arial" w:hAnsi="Times New Roman"/>
          <w:sz w:val="24"/>
          <w:szCs w:val="24"/>
        </w:rPr>
        <w:t>uma simples formalidade, condena</w:t>
      </w:r>
      <w:r w:rsidR="004A6FA5" w:rsidRPr="007E3047">
        <w:rPr>
          <w:rFonts w:ascii="Times New Roman" w:eastAsia="Arial" w:hAnsi="Times New Roman"/>
          <w:sz w:val="24"/>
          <w:szCs w:val="24"/>
        </w:rPr>
        <w:t>da de antemão a ser infrutífera</w:t>
      </w:r>
      <w:r w:rsidRPr="007E3047">
        <w:rPr>
          <w:rStyle w:val="FootnoteReference"/>
          <w:rFonts w:ascii="Times New Roman" w:eastAsia="Arial" w:hAnsi="Times New Roman"/>
          <w:sz w:val="24"/>
          <w:szCs w:val="24"/>
        </w:rPr>
        <w:footnoteReference w:id="57"/>
      </w:r>
      <w:r w:rsidRPr="007E3047">
        <w:rPr>
          <w:rFonts w:ascii="Times New Roman" w:eastAsia="Arial" w:hAnsi="Times New Roman"/>
          <w:sz w:val="24"/>
          <w:szCs w:val="24"/>
        </w:rPr>
        <w:t xml:space="preserve">. </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 xml:space="preserve">Os casos que não </w:t>
      </w:r>
      <w:r w:rsidR="004A6FA5" w:rsidRPr="007E3047">
        <w:rPr>
          <w:rFonts w:ascii="Times New Roman" w:eastAsia="Arial" w:hAnsi="Times New Roman"/>
          <w:sz w:val="24"/>
          <w:szCs w:val="24"/>
        </w:rPr>
        <w:t xml:space="preserve">foram </w:t>
      </w:r>
      <w:r w:rsidRPr="007E3047">
        <w:rPr>
          <w:rFonts w:ascii="Times New Roman" w:eastAsia="Arial" w:hAnsi="Times New Roman"/>
          <w:sz w:val="24"/>
          <w:szCs w:val="24"/>
        </w:rPr>
        <w:t xml:space="preserve">selecionados pela Comissão da Verdade para processamento, </w:t>
      </w:r>
      <w:r w:rsidR="00AD12E7" w:rsidRPr="007E3047">
        <w:rPr>
          <w:rFonts w:ascii="Times New Roman" w:eastAsia="Arial" w:hAnsi="Times New Roman"/>
          <w:sz w:val="24"/>
          <w:szCs w:val="24"/>
        </w:rPr>
        <w:t>o</w:t>
      </w:r>
      <w:r w:rsidRPr="007E3047">
        <w:rPr>
          <w:rFonts w:ascii="Times New Roman" w:eastAsia="Arial" w:hAnsi="Times New Roman"/>
          <w:sz w:val="24"/>
          <w:szCs w:val="24"/>
        </w:rPr>
        <w:t xml:space="preserve"> Estado renunci</w:t>
      </w:r>
      <w:r w:rsidR="00AD12E7" w:rsidRPr="007E3047">
        <w:rPr>
          <w:rFonts w:ascii="Times New Roman" w:eastAsia="Arial" w:hAnsi="Times New Roman"/>
          <w:sz w:val="24"/>
          <w:szCs w:val="24"/>
        </w:rPr>
        <w:t>ou</w:t>
      </w:r>
      <w:r w:rsidRPr="007E3047">
        <w:rPr>
          <w:rFonts w:ascii="Times New Roman" w:eastAsia="Arial" w:hAnsi="Times New Roman"/>
          <w:sz w:val="24"/>
          <w:szCs w:val="24"/>
        </w:rPr>
        <w:t xml:space="preserve"> à ação penal e não </w:t>
      </w:r>
      <w:r w:rsidR="00AD12E7" w:rsidRPr="007E3047">
        <w:rPr>
          <w:rFonts w:ascii="Times New Roman" w:eastAsia="Arial" w:hAnsi="Times New Roman"/>
          <w:sz w:val="24"/>
          <w:szCs w:val="24"/>
        </w:rPr>
        <w:t>foram</w:t>
      </w:r>
      <w:r w:rsidRPr="007E3047">
        <w:rPr>
          <w:rFonts w:ascii="Times New Roman" w:eastAsia="Arial" w:hAnsi="Times New Roman"/>
          <w:sz w:val="24"/>
          <w:szCs w:val="24"/>
        </w:rPr>
        <w:t xml:space="preserve"> investigados judicialmente. Não obstante, criou-se um mecanismo judicial gratuito, rápido e de fácil acesso para que as vítimas pudessem pedir a revisão judicial de tal medida estatal. No total, foram apresentadas 354 solicitações de revisão e a Corte interna ratificou a decisão da Comissão de Alto Nível em 97% dos casos estudados.</w:t>
      </w:r>
    </w:p>
    <w:p w:rsidR="00FA7AA2" w:rsidRPr="007E3047" w:rsidRDefault="00AF01A4" w:rsidP="00B54E53">
      <w:pPr>
        <w:spacing w:after="0" w:line="480" w:lineRule="auto"/>
        <w:jc w:val="both"/>
        <w:rPr>
          <w:rFonts w:ascii="Times New Roman" w:eastAsia="Arial" w:hAnsi="Times New Roman"/>
          <w:sz w:val="24"/>
          <w:szCs w:val="24"/>
        </w:rPr>
      </w:pPr>
      <w:r w:rsidRPr="007E3047">
        <w:rPr>
          <w:rFonts w:ascii="Times New Roman" w:eastAsia="Arial" w:hAnsi="Times New Roman"/>
          <w:sz w:val="24"/>
          <w:szCs w:val="24"/>
        </w:rPr>
        <w:tab/>
      </w:r>
      <w:r w:rsidR="00A913B9" w:rsidRPr="007E3047">
        <w:rPr>
          <w:rFonts w:ascii="Times New Roman" w:eastAsia="Arial" w:hAnsi="Times New Roman"/>
          <w:sz w:val="24"/>
          <w:szCs w:val="24"/>
        </w:rPr>
        <w:t>O art. 25 requer um sistema de recursos internos simples e rápidos às pessoas sob a jurisdição do Estado e se de fato não o fazem, devido a supostas lacunas ou insuficiência do direito interno, incorre-se na violação dos arts. 25, 1(1) e 2 da CADH</w:t>
      </w:r>
      <w:r w:rsidR="00A913B9" w:rsidRPr="007E3047">
        <w:rPr>
          <w:rStyle w:val="FootnoteReference"/>
          <w:rFonts w:ascii="Times New Roman" w:eastAsia="Arial" w:hAnsi="Times New Roman"/>
          <w:sz w:val="24"/>
          <w:szCs w:val="24"/>
        </w:rPr>
        <w:footnoteReference w:id="58"/>
      </w:r>
      <w:r w:rsidR="00126F86" w:rsidRPr="007E3047">
        <w:rPr>
          <w:rFonts w:ascii="Times New Roman" w:eastAsia="Arial" w:hAnsi="Times New Roman"/>
          <w:sz w:val="24"/>
          <w:szCs w:val="24"/>
        </w:rPr>
        <w:t>. Se as ví</w:t>
      </w:r>
      <w:r w:rsidR="00B12D42" w:rsidRPr="007E3047">
        <w:rPr>
          <w:rFonts w:ascii="Times New Roman" w:eastAsia="Arial" w:hAnsi="Times New Roman"/>
          <w:sz w:val="24"/>
          <w:szCs w:val="24"/>
        </w:rPr>
        <w:t>timas não obtiveram as respostas condizentes às suas expectativas, isto não quer diz</w:t>
      </w:r>
      <w:r w:rsidR="006D2FC6" w:rsidRPr="007E3047">
        <w:rPr>
          <w:rFonts w:ascii="Times New Roman" w:eastAsia="Arial" w:hAnsi="Times New Roman"/>
          <w:sz w:val="24"/>
          <w:szCs w:val="24"/>
        </w:rPr>
        <w:t>er que o Estado violou os art</w:t>
      </w:r>
      <w:r w:rsidR="00B12D42" w:rsidRPr="007E3047">
        <w:rPr>
          <w:rFonts w:ascii="Times New Roman" w:eastAsia="Arial" w:hAnsi="Times New Roman"/>
          <w:sz w:val="24"/>
          <w:szCs w:val="24"/>
        </w:rPr>
        <w:t>s</w:t>
      </w:r>
      <w:r w:rsidR="006D2FC6" w:rsidRPr="007E3047">
        <w:rPr>
          <w:rFonts w:ascii="Times New Roman" w:eastAsia="Arial" w:hAnsi="Times New Roman"/>
          <w:sz w:val="24"/>
          <w:szCs w:val="24"/>
        </w:rPr>
        <w:t>.</w:t>
      </w:r>
      <w:r w:rsidR="00B12D42" w:rsidRPr="007E3047">
        <w:rPr>
          <w:rFonts w:ascii="Times New Roman" w:eastAsia="Arial" w:hAnsi="Times New Roman"/>
          <w:sz w:val="24"/>
          <w:szCs w:val="24"/>
        </w:rPr>
        <w:t xml:space="preserve"> 2, 8 e 25.</w:t>
      </w:r>
    </w:p>
    <w:p w:rsidR="006716E7" w:rsidRPr="007E3047" w:rsidRDefault="00C71FA6"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6.3</w:t>
      </w:r>
      <w:r w:rsidR="00A13FFC" w:rsidRPr="007E3047">
        <w:rPr>
          <w:rFonts w:ascii="Times New Roman" w:eastAsia="Times New Roman" w:hAnsi="Times New Roman"/>
          <w:b/>
          <w:sz w:val="24"/>
          <w:szCs w:val="24"/>
        </w:rPr>
        <w:t xml:space="preserve"> Da não violação ao art.</w:t>
      </w:r>
      <w:r w:rsidR="00012FE1" w:rsidRPr="007E3047">
        <w:rPr>
          <w:rFonts w:ascii="Times New Roman" w:eastAsia="Times New Roman" w:hAnsi="Times New Roman"/>
          <w:b/>
          <w:sz w:val="24"/>
          <w:szCs w:val="24"/>
        </w:rPr>
        <w:t xml:space="preserve"> 3</w:t>
      </w:r>
      <w:r w:rsidR="006716E7" w:rsidRPr="007E3047">
        <w:rPr>
          <w:rFonts w:ascii="Times New Roman" w:eastAsia="Times New Roman" w:hAnsi="Times New Roman"/>
          <w:b/>
          <w:sz w:val="24"/>
          <w:szCs w:val="24"/>
        </w:rPr>
        <w:t xml:space="preserve"> (direito ao reconhecimento da personalidade jurídica)</w:t>
      </w:r>
      <w:r w:rsidR="002332DD" w:rsidRPr="007E3047">
        <w:rPr>
          <w:rFonts w:ascii="Times New Roman" w:eastAsia="Times New Roman" w:hAnsi="Times New Roman"/>
          <w:b/>
          <w:sz w:val="24"/>
          <w:szCs w:val="24"/>
        </w:rPr>
        <w:t xml:space="preserve"> c/c 1.1</w:t>
      </w:r>
      <w:r w:rsidR="00312C88" w:rsidRPr="007E3047">
        <w:rPr>
          <w:rFonts w:ascii="Times New Roman" w:eastAsia="Times New Roman" w:hAnsi="Times New Roman"/>
          <w:b/>
          <w:sz w:val="24"/>
          <w:szCs w:val="24"/>
        </w:rPr>
        <w:t xml:space="preserve"> </w:t>
      </w:r>
      <w:r w:rsidR="000E7912" w:rsidRPr="007E3047">
        <w:rPr>
          <w:rFonts w:ascii="Times New Roman" w:hAnsi="Times New Roman"/>
          <w:b/>
          <w:color w:val="000000"/>
          <w:sz w:val="24"/>
          <w:szCs w:val="24"/>
        </w:rPr>
        <w:t>(</w:t>
      </w:r>
      <w:r w:rsidR="00012FE1" w:rsidRPr="007E3047">
        <w:rPr>
          <w:rFonts w:ascii="Times New Roman" w:eastAsia="Times New Roman" w:hAnsi="Times New Roman"/>
          <w:b/>
          <w:sz w:val="24"/>
          <w:szCs w:val="24"/>
        </w:rPr>
        <w:t>obrigação</w:t>
      </w:r>
      <w:r w:rsidR="000E7912" w:rsidRPr="007E3047">
        <w:rPr>
          <w:rFonts w:ascii="Times New Roman" w:hAnsi="Times New Roman"/>
          <w:b/>
          <w:color w:val="000000"/>
          <w:sz w:val="24"/>
          <w:szCs w:val="24"/>
        </w:rPr>
        <w:t xml:space="preserve"> de respeitar os direitos)</w:t>
      </w:r>
    </w:p>
    <w:p w:rsidR="00523A42" w:rsidRPr="007E3047" w:rsidRDefault="00B60089"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O art. 3</w:t>
      </w:r>
      <w:r w:rsidR="001B4D52" w:rsidRPr="007E3047">
        <w:rPr>
          <w:rFonts w:ascii="Times New Roman" w:hAnsi="Times New Roman"/>
          <w:color w:val="000000"/>
          <w:sz w:val="24"/>
          <w:szCs w:val="24"/>
        </w:rPr>
        <w:t xml:space="preserve"> da C</w:t>
      </w:r>
      <w:r w:rsidR="00C354F9" w:rsidRPr="007E3047">
        <w:rPr>
          <w:rFonts w:ascii="Times New Roman" w:hAnsi="Times New Roman"/>
          <w:color w:val="000000"/>
          <w:sz w:val="24"/>
          <w:szCs w:val="24"/>
        </w:rPr>
        <w:t>A</w:t>
      </w:r>
      <w:r w:rsidR="001B4D52" w:rsidRPr="007E3047">
        <w:rPr>
          <w:rFonts w:ascii="Times New Roman" w:hAnsi="Times New Roman"/>
          <w:color w:val="000000"/>
          <w:sz w:val="24"/>
          <w:szCs w:val="24"/>
        </w:rPr>
        <w:t xml:space="preserve">DH, como os demais direitos nela protegidos, possui </w:t>
      </w:r>
      <w:r w:rsidR="009005BE" w:rsidRPr="007E3047">
        <w:rPr>
          <w:rFonts w:ascii="Times New Roman" w:hAnsi="Times New Roman"/>
          <w:color w:val="000000"/>
          <w:sz w:val="24"/>
          <w:szCs w:val="24"/>
        </w:rPr>
        <w:t>uma definição jurídica própria</w:t>
      </w:r>
      <w:r w:rsidR="00523A42" w:rsidRPr="007E3047">
        <w:rPr>
          <w:rFonts w:ascii="Times New Roman" w:hAnsi="Times New Roman"/>
          <w:color w:val="000000"/>
          <w:sz w:val="24"/>
          <w:szCs w:val="24"/>
        </w:rPr>
        <w:t xml:space="preserve"> </w:t>
      </w:r>
      <w:r w:rsidR="009005BE" w:rsidRPr="007E3047">
        <w:rPr>
          <w:rFonts w:ascii="Times New Roman" w:hAnsi="Times New Roman"/>
          <w:color w:val="000000"/>
          <w:sz w:val="24"/>
          <w:szCs w:val="24"/>
        </w:rPr>
        <w:t>que constitui como</w:t>
      </w:r>
      <w:r w:rsidR="001B4D52" w:rsidRPr="007E3047">
        <w:rPr>
          <w:rFonts w:ascii="Times New Roman" w:hAnsi="Times New Roman"/>
          <w:color w:val="000000"/>
          <w:sz w:val="24"/>
          <w:szCs w:val="24"/>
        </w:rPr>
        <w:t xml:space="preserve"> o direito de toda pessoa a ser reconhecida em qualquer parte como sujeito de direitos e obrigações e ao gozo d</w:t>
      </w:r>
      <w:r w:rsidR="00523A42" w:rsidRPr="007E3047">
        <w:rPr>
          <w:rFonts w:ascii="Times New Roman" w:hAnsi="Times New Roman"/>
          <w:color w:val="000000"/>
          <w:sz w:val="24"/>
          <w:szCs w:val="24"/>
        </w:rPr>
        <w:t>os direitos civis fundamentais</w:t>
      </w:r>
      <w:r w:rsidR="00BB5005" w:rsidRPr="007E3047">
        <w:rPr>
          <w:rStyle w:val="FootnoteReference"/>
          <w:rFonts w:ascii="Times New Roman" w:hAnsi="Times New Roman"/>
          <w:color w:val="000000"/>
          <w:sz w:val="24"/>
          <w:szCs w:val="24"/>
        </w:rPr>
        <w:footnoteReference w:id="59"/>
      </w:r>
      <w:r w:rsidR="00523A42" w:rsidRPr="007E3047">
        <w:rPr>
          <w:rFonts w:ascii="Times New Roman" w:hAnsi="Times New Roman"/>
          <w:color w:val="000000"/>
          <w:sz w:val="24"/>
          <w:szCs w:val="24"/>
        </w:rPr>
        <w:t>.</w:t>
      </w:r>
    </w:p>
    <w:p w:rsidR="001B4D52" w:rsidRPr="007E3047" w:rsidRDefault="001B4D52"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lastRenderedPageBreak/>
        <w:t xml:space="preserve">O direito ao reconhecimento da personalidade jurídica implica na capacidade de ser titular de direitos (capacidade </w:t>
      </w:r>
      <w:r w:rsidR="00523A42" w:rsidRPr="007E3047">
        <w:rPr>
          <w:rFonts w:ascii="Times New Roman" w:hAnsi="Times New Roman"/>
          <w:color w:val="000000"/>
          <w:sz w:val="24"/>
          <w:szCs w:val="24"/>
        </w:rPr>
        <w:t>e gozo) e de deveres</w:t>
      </w:r>
      <w:r w:rsidR="00BB5005" w:rsidRPr="007E3047">
        <w:rPr>
          <w:rStyle w:val="FootnoteReference"/>
          <w:rFonts w:ascii="Times New Roman" w:hAnsi="Times New Roman"/>
          <w:color w:val="000000"/>
          <w:sz w:val="24"/>
          <w:szCs w:val="24"/>
        </w:rPr>
        <w:footnoteReference w:id="60"/>
      </w:r>
      <w:r w:rsidR="00523A42" w:rsidRPr="007E3047">
        <w:rPr>
          <w:rFonts w:ascii="Times New Roman" w:hAnsi="Times New Roman"/>
          <w:color w:val="000000"/>
          <w:sz w:val="24"/>
          <w:szCs w:val="24"/>
        </w:rPr>
        <w:t xml:space="preserve"> sendo que </w:t>
      </w:r>
      <w:r w:rsidRPr="007E3047">
        <w:rPr>
          <w:rFonts w:ascii="Times New Roman" w:hAnsi="Times New Roman"/>
          <w:color w:val="000000"/>
          <w:sz w:val="24"/>
          <w:szCs w:val="24"/>
        </w:rPr>
        <w:t>a violação de tal reconhecimento pressupõe o desconhecimento por completo da possibilidade de ser tit</w:t>
      </w:r>
      <w:r w:rsidR="00BB5005" w:rsidRPr="007E3047">
        <w:rPr>
          <w:rFonts w:ascii="Times New Roman" w:hAnsi="Times New Roman"/>
          <w:color w:val="000000"/>
          <w:sz w:val="24"/>
          <w:szCs w:val="24"/>
        </w:rPr>
        <w:t>ular de direitos e deveres</w:t>
      </w:r>
      <w:r w:rsidRPr="007E3047">
        <w:rPr>
          <w:rStyle w:val="FootnoteReference"/>
          <w:rFonts w:ascii="Times New Roman" w:hAnsi="Times New Roman"/>
          <w:color w:val="000000"/>
          <w:sz w:val="24"/>
          <w:szCs w:val="24"/>
        </w:rPr>
        <w:footnoteReference w:id="61"/>
      </w:r>
      <w:r w:rsidR="005E2A90" w:rsidRPr="007E3047">
        <w:rPr>
          <w:rFonts w:ascii="Times New Roman" w:hAnsi="Times New Roman"/>
          <w:color w:val="000000"/>
          <w:sz w:val="24"/>
          <w:szCs w:val="24"/>
        </w:rPr>
        <w:t>.</w:t>
      </w:r>
    </w:p>
    <w:p w:rsidR="001B4D52" w:rsidRPr="007E3047" w:rsidRDefault="001B4D52"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Alega-se a violação de tal artigo em relação a Ricardo Bolt devido ao seu desaparecimento forçado.</w:t>
      </w:r>
    </w:p>
    <w:p w:rsidR="001B4D52" w:rsidRPr="007E3047" w:rsidRDefault="001B4D52"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Primeiramente, devido ao desaparecimento de Ricardo Bolt, seus familiares ou</w:t>
      </w:r>
      <w:r w:rsidR="00523A42" w:rsidRPr="007E3047">
        <w:rPr>
          <w:rFonts w:ascii="Times New Roman" w:hAnsi="Times New Roman"/>
          <w:color w:val="000000"/>
          <w:sz w:val="24"/>
          <w:szCs w:val="24"/>
        </w:rPr>
        <w:t xml:space="preserve"> qualquer pessoa</w:t>
      </w:r>
      <w:r w:rsidRPr="007E3047">
        <w:rPr>
          <w:rFonts w:ascii="Times New Roman" w:hAnsi="Times New Roman"/>
          <w:color w:val="000000"/>
          <w:sz w:val="24"/>
          <w:szCs w:val="24"/>
        </w:rPr>
        <w:t xml:space="preserve"> </w:t>
      </w:r>
      <w:r w:rsidR="009C1EDD" w:rsidRPr="007E3047">
        <w:rPr>
          <w:rFonts w:ascii="Times New Roman" w:hAnsi="Times New Roman"/>
          <w:color w:val="000000"/>
          <w:sz w:val="24"/>
          <w:szCs w:val="24"/>
        </w:rPr>
        <w:t>podem</w:t>
      </w:r>
      <w:r w:rsidRPr="007E3047">
        <w:rPr>
          <w:rFonts w:ascii="Times New Roman" w:hAnsi="Times New Roman"/>
          <w:color w:val="000000"/>
          <w:sz w:val="24"/>
          <w:szCs w:val="24"/>
        </w:rPr>
        <w:t xml:space="preserve"> acessar os procedimentos </w:t>
      </w:r>
      <w:r w:rsidR="00523A42" w:rsidRPr="007E3047">
        <w:rPr>
          <w:rFonts w:ascii="Times New Roman" w:hAnsi="Times New Roman"/>
          <w:color w:val="000000"/>
          <w:sz w:val="24"/>
          <w:szCs w:val="24"/>
        </w:rPr>
        <w:t>e</w:t>
      </w:r>
      <w:r w:rsidRPr="007E3047">
        <w:rPr>
          <w:rFonts w:ascii="Times New Roman" w:hAnsi="Times New Roman"/>
          <w:color w:val="000000"/>
          <w:sz w:val="24"/>
          <w:szCs w:val="24"/>
        </w:rPr>
        <w:t xml:space="preserve"> recursos judiciais</w:t>
      </w:r>
      <w:r w:rsidR="009005BE" w:rsidRPr="007E3047">
        <w:rPr>
          <w:rFonts w:ascii="Times New Roman" w:hAnsi="Times New Roman"/>
          <w:color w:val="000000"/>
          <w:sz w:val="24"/>
          <w:szCs w:val="24"/>
        </w:rPr>
        <w:t xml:space="preserve"> rápidos e eficazes como meio de</w:t>
      </w:r>
      <w:r w:rsidRPr="007E3047">
        <w:rPr>
          <w:rFonts w:ascii="Times New Roman" w:hAnsi="Times New Roman"/>
          <w:color w:val="000000"/>
          <w:sz w:val="24"/>
          <w:szCs w:val="24"/>
        </w:rPr>
        <w:t xml:space="preserve"> determinar o seu paradeiro, seu estado de saúde ou</w:t>
      </w:r>
      <w:r w:rsidR="00523A42" w:rsidRPr="007E3047">
        <w:rPr>
          <w:rFonts w:ascii="Times New Roman" w:hAnsi="Times New Roman"/>
          <w:color w:val="000000"/>
          <w:sz w:val="24"/>
          <w:szCs w:val="24"/>
        </w:rPr>
        <w:t xml:space="preserve">, ainda, como forma de </w:t>
      </w:r>
      <w:r w:rsidRPr="007E3047">
        <w:rPr>
          <w:rFonts w:ascii="Times New Roman" w:hAnsi="Times New Roman"/>
          <w:color w:val="000000"/>
          <w:sz w:val="24"/>
          <w:szCs w:val="24"/>
        </w:rPr>
        <w:t>individualizar a autoridade supostamente responsável pelo comando de sua privação da liberdade</w:t>
      </w:r>
      <w:r w:rsidRPr="007E3047">
        <w:rPr>
          <w:rStyle w:val="FootnoteReference"/>
          <w:rFonts w:ascii="Times New Roman" w:hAnsi="Times New Roman"/>
          <w:color w:val="000000"/>
          <w:sz w:val="24"/>
          <w:szCs w:val="24"/>
        </w:rPr>
        <w:footnoteReference w:id="62"/>
      </w:r>
      <w:r w:rsidR="009005BE" w:rsidRPr="007E3047">
        <w:rPr>
          <w:rFonts w:ascii="Times New Roman" w:hAnsi="Times New Roman"/>
          <w:color w:val="000000"/>
          <w:sz w:val="24"/>
          <w:szCs w:val="24"/>
        </w:rPr>
        <w:t>.</w:t>
      </w:r>
    </w:p>
    <w:p w:rsidR="00C71FA6" w:rsidRPr="007E3047" w:rsidRDefault="000C3CA7" w:rsidP="00B54E53">
      <w:pPr>
        <w:spacing w:after="0" w:line="480" w:lineRule="auto"/>
        <w:jc w:val="both"/>
        <w:rPr>
          <w:rFonts w:ascii="Times New Roman" w:hAnsi="Times New Roman"/>
          <w:color w:val="000000"/>
          <w:sz w:val="24"/>
          <w:szCs w:val="24"/>
        </w:rPr>
      </w:pPr>
      <w:r w:rsidRPr="007E3047">
        <w:rPr>
          <w:rFonts w:ascii="Times New Roman" w:hAnsi="Times New Roman"/>
          <w:color w:val="000000"/>
          <w:sz w:val="24"/>
          <w:szCs w:val="24"/>
        </w:rPr>
        <w:tab/>
        <w:t xml:space="preserve">A Comissão da Verdade </w:t>
      </w:r>
      <w:r w:rsidR="00DA586D" w:rsidRPr="007E3047">
        <w:rPr>
          <w:rFonts w:ascii="Times New Roman" w:hAnsi="Times New Roman"/>
          <w:color w:val="000000"/>
          <w:sz w:val="24"/>
          <w:szCs w:val="24"/>
        </w:rPr>
        <w:t>investigou</w:t>
      </w:r>
      <w:r w:rsidRPr="007E3047">
        <w:rPr>
          <w:rFonts w:ascii="Times New Roman" w:hAnsi="Times New Roman"/>
          <w:color w:val="000000"/>
          <w:sz w:val="24"/>
          <w:szCs w:val="24"/>
        </w:rPr>
        <w:t xml:space="preserve"> os fatos ocorridos com Ricardo Bolt</w:t>
      </w:r>
      <w:r w:rsidR="00DA586D" w:rsidRPr="007E3047">
        <w:rPr>
          <w:rFonts w:ascii="Times New Roman" w:hAnsi="Times New Roman"/>
          <w:color w:val="000000"/>
          <w:sz w:val="24"/>
          <w:szCs w:val="24"/>
        </w:rPr>
        <w:t>. E</w:t>
      </w:r>
      <w:r w:rsidRPr="007E3047">
        <w:rPr>
          <w:rFonts w:ascii="Times New Roman" w:hAnsi="Times New Roman"/>
          <w:color w:val="000000"/>
          <w:sz w:val="24"/>
          <w:szCs w:val="24"/>
        </w:rPr>
        <w:t>le teve seus direitos reconhecidos durante o processo de paz e as violações contra ele foram apuradas, processando e julgando os responsáveis e</w:t>
      </w:r>
      <w:r w:rsidR="00523A42" w:rsidRPr="007E3047">
        <w:rPr>
          <w:rFonts w:ascii="Times New Roman" w:hAnsi="Times New Roman"/>
          <w:color w:val="000000"/>
          <w:sz w:val="24"/>
          <w:szCs w:val="24"/>
        </w:rPr>
        <w:t>,</w:t>
      </w:r>
      <w:r w:rsidRPr="007E3047">
        <w:rPr>
          <w:rFonts w:ascii="Times New Roman" w:hAnsi="Times New Roman"/>
          <w:color w:val="000000"/>
          <w:sz w:val="24"/>
          <w:szCs w:val="24"/>
        </w:rPr>
        <w:t xml:space="preserve"> posteriorme</w:t>
      </w:r>
      <w:r w:rsidR="002770FE" w:rsidRPr="007E3047">
        <w:rPr>
          <w:rFonts w:ascii="Times New Roman" w:hAnsi="Times New Roman"/>
          <w:color w:val="000000"/>
          <w:sz w:val="24"/>
          <w:szCs w:val="24"/>
        </w:rPr>
        <w:t>nte</w:t>
      </w:r>
      <w:r w:rsidR="00523A42" w:rsidRPr="007E3047">
        <w:rPr>
          <w:rFonts w:ascii="Times New Roman" w:hAnsi="Times New Roman"/>
          <w:color w:val="000000"/>
          <w:sz w:val="24"/>
          <w:szCs w:val="24"/>
        </w:rPr>
        <w:t>,</w:t>
      </w:r>
      <w:r w:rsidR="002770FE" w:rsidRPr="007E3047">
        <w:rPr>
          <w:rFonts w:ascii="Times New Roman" w:hAnsi="Times New Roman"/>
          <w:color w:val="000000"/>
          <w:sz w:val="24"/>
          <w:szCs w:val="24"/>
        </w:rPr>
        <w:t xml:space="preserve"> indenizando seus familiares </w:t>
      </w:r>
      <w:r w:rsidR="00DA586D" w:rsidRPr="007E3047">
        <w:rPr>
          <w:rStyle w:val="FootnoteReference"/>
          <w:rFonts w:ascii="Times New Roman" w:hAnsi="Times New Roman"/>
          <w:color w:val="000000"/>
          <w:sz w:val="24"/>
          <w:szCs w:val="24"/>
        </w:rPr>
        <w:footnoteReference w:id="63"/>
      </w:r>
      <w:r w:rsidR="002770FE" w:rsidRPr="007E3047">
        <w:rPr>
          <w:rFonts w:ascii="Times New Roman" w:hAnsi="Times New Roman"/>
          <w:color w:val="000000"/>
          <w:sz w:val="24"/>
          <w:szCs w:val="24"/>
        </w:rPr>
        <w:t>.</w:t>
      </w:r>
      <w:r w:rsidR="00746BE7" w:rsidRPr="007E3047">
        <w:rPr>
          <w:rFonts w:ascii="Times New Roman" w:hAnsi="Times New Roman"/>
          <w:color w:val="000000"/>
          <w:sz w:val="24"/>
          <w:szCs w:val="24"/>
        </w:rPr>
        <w:t xml:space="preserve"> Foi criada uma Comissão de Busca </w:t>
      </w:r>
      <w:r w:rsidR="00523A42" w:rsidRPr="007E3047">
        <w:rPr>
          <w:rFonts w:ascii="Times New Roman" w:hAnsi="Times New Roman"/>
          <w:color w:val="000000"/>
          <w:sz w:val="24"/>
          <w:szCs w:val="24"/>
        </w:rPr>
        <w:t>I</w:t>
      </w:r>
      <w:r w:rsidR="00502C85" w:rsidRPr="007E3047">
        <w:rPr>
          <w:rFonts w:ascii="Times New Roman" w:hAnsi="Times New Roman"/>
          <w:color w:val="000000"/>
          <w:sz w:val="24"/>
          <w:szCs w:val="24"/>
        </w:rPr>
        <w:t>ntegrada pelo Ministério Público, Defensoria Pública e Ministério das V</w:t>
      </w:r>
      <w:r w:rsidR="00AB6670" w:rsidRPr="007E3047">
        <w:rPr>
          <w:rFonts w:ascii="Times New Roman" w:hAnsi="Times New Roman"/>
          <w:color w:val="000000"/>
          <w:sz w:val="24"/>
          <w:szCs w:val="24"/>
        </w:rPr>
        <w:t xml:space="preserve">ítimas, encarregada </w:t>
      </w:r>
      <w:r w:rsidR="00AC2972" w:rsidRPr="007E3047">
        <w:rPr>
          <w:rFonts w:ascii="Times New Roman" w:hAnsi="Times New Roman"/>
          <w:color w:val="000000"/>
          <w:sz w:val="24"/>
          <w:szCs w:val="24"/>
        </w:rPr>
        <w:t>de localizar os desaparecidos duran</w:t>
      </w:r>
      <w:r w:rsidR="0072629C" w:rsidRPr="007E3047">
        <w:rPr>
          <w:rFonts w:ascii="Times New Roman" w:hAnsi="Times New Roman"/>
          <w:color w:val="000000"/>
          <w:sz w:val="24"/>
          <w:szCs w:val="24"/>
        </w:rPr>
        <w:t>te o conflito</w:t>
      </w:r>
      <w:r w:rsidR="00523A42" w:rsidRPr="007E3047">
        <w:rPr>
          <w:rFonts w:ascii="Times New Roman" w:hAnsi="Times New Roman"/>
          <w:color w:val="000000"/>
          <w:sz w:val="24"/>
          <w:szCs w:val="24"/>
        </w:rPr>
        <w:t xml:space="preserve"> armado. O procedimento de tal C</w:t>
      </w:r>
      <w:r w:rsidR="0072629C" w:rsidRPr="007E3047">
        <w:rPr>
          <w:rFonts w:ascii="Times New Roman" w:hAnsi="Times New Roman"/>
          <w:color w:val="000000"/>
          <w:sz w:val="24"/>
          <w:szCs w:val="24"/>
        </w:rPr>
        <w:t>omissão consiste na escavação, exumação e entrega dos restos aos familiares</w:t>
      </w:r>
      <w:r w:rsidR="00A907E0" w:rsidRPr="007E3047">
        <w:rPr>
          <w:rStyle w:val="FootnoteReference"/>
          <w:rFonts w:ascii="Times New Roman" w:hAnsi="Times New Roman"/>
          <w:color w:val="000000"/>
          <w:sz w:val="24"/>
          <w:szCs w:val="24"/>
        </w:rPr>
        <w:footnoteReference w:id="64"/>
      </w:r>
      <w:r w:rsidR="0072629C" w:rsidRPr="007E3047">
        <w:rPr>
          <w:rFonts w:ascii="Times New Roman" w:hAnsi="Times New Roman"/>
          <w:color w:val="000000"/>
          <w:sz w:val="24"/>
          <w:szCs w:val="24"/>
        </w:rPr>
        <w:t>.</w:t>
      </w:r>
    </w:p>
    <w:p w:rsidR="00D97BBC" w:rsidRPr="007E3047" w:rsidRDefault="00D97BBC" w:rsidP="00D97BBC">
      <w:pPr>
        <w:spacing w:after="0" w:line="480" w:lineRule="auto"/>
        <w:jc w:val="both"/>
        <w:rPr>
          <w:rFonts w:ascii="Times New Roman" w:hAnsi="Times New Roman"/>
          <w:sz w:val="24"/>
        </w:rPr>
      </w:pPr>
      <w:r w:rsidRPr="007E3047">
        <w:rPr>
          <w:rFonts w:ascii="Times New Roman" w:hAnsi="Times New Roman"/>
          <w:color w:val="000000"/>
          <w:sz w:val="24"/>
          <w:szCs w:val="24"/>
        </w:rPr>
        <w:tab/>
        <w:t xml:space="preserve">Assim, diante de todas as medidas apresentadas </w:t>
      </w:r>
      <w:r w:rsidR="003C1E15" w:rsidRPr="007E3047">
        <w:rPr>
          <w:rFonts w:ascii="Times New Roman" w:hAnsi="Times New Roman"/>
          <w:color w:val="000000"/>
          <w:sz w:val="24"/>
          <w:szCs w:val="24"/>
        </w:rPr>
        <w:t>por</w:t>
      </w:r>
      <w:r w:rsidRPr="007E3047">
        <w:rPr>
          <w:rFonts w:ascii="Times New Roman" w:hAnsi="Times New Roman"/>
          <w:color w:val="000000"/>
          <w:sz w:val="24"/>
          <w:szCs w:val="24"/>
        </w:rPr>
        <w:t xml:space="preserve"> Cardenal, </w:t>
      </w:r>
      <w:r w:rsidR="00523A42" w:rsidRPr="007E3047">
        <w:rPr>
          <w:rFonts w:ascii="Times New Roman" w:hAnsi="Times New Roman"/>
          <w:sz w:val="24"/>
        </w:rPr>
        <w:t>verifica-se que o Estado</w:t>
      </w:r>
      <w:r w:rsidRPr="007E3047">
        <w:rPr>
          <w:rFonts w:ascii="Times New Roman" w:hAnsi="Times New Roman"/>
          <w:sz w:val="24"/>
        </w:rPr>
        <w:t xml:space="preserve"> não</w:t>
      </w:r>
      <w:r w:rsidR="00523A42" w:rsidRPr="007E3047">
        <w:rPr>
          <w:rFonts w:ascii="Times New Roman" w:hAnsi="Times New Roman"/>
          <w:sz w:val="24"/>
        </w:rPr>
        <w:t xml:space="preserve"> deve ser responsabilizado</w:t>
      </w:r>
      <w:r w:rsidR="003B300E" w:rsidRPr="007E3047">
        <w:rPr>
          <w:rFonts w:ascii="Times New Roman" w:hAnsi="Times New Roman"/>
          <w:sz w:val="24"/>
        </w:rPr>
        <w:t xml:space="preserve"> pela violação do art. 3</w:t>
      </w:r>
      <w:r w:rsidRPr="007E3047">
        <w:rPr>
          <w:rFonts w:ascii="Times New Roman" w:hAnsi="Times New Roman"/>
          <w:sz w:val="24"/>
        </w:rPr>
        <w:t xml:space="preserve"> da CADH.</w:t>
      </w:r>
    </w:p>
    <w:p w:rsidR="00C354F9" w:rsidRPr="007E3047" w:rsidRDefault="00C71FA6" w:rsidP="00B54E53">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lastRenderedPageBreak/>
        <w:t>6.4</w:t>
      </w:r>
      <w:r w:rsidR="005F4F10" w:rsidRPr="007E3047">
        <w:rPr>
          <w:rFonts w:ascii="Times New Roman" w:hAnsi="Times New Roman"/>
          <w:b/>
          <w:color w:val="000000"/>
          <w:sz w:val="24"/>
          <w:szCs w:val="24"/>
        </w:rPr>
        <w:t xml:space="preserve"> Da não violação aos art</w:t>
      </w:r>
      <w:r w:rsidR="00C354F9" w:rsidRPr="007E3047">
        <w:rPr>
          <w:rFonts w:ascii="Times New Roman" w:hAnsi="Times New Roman"/>
          <w:b/>
          <w:color w:val="000000"/>
          <w:sz w:val="24"/>
          <w:szCs w:val="24"/>
        </w:rPr>
        <w:t>s</w:t>
      </w:r>
      <w:r w:rsidR="005F4F10" w:rsidRPr="007E3047">
        <w:rPr>
          <w:rFonts w:ascii="Times New Roman" w:hAnsi="Times New Roman"/>
          <w:b/>
          <w:color w:val="000000"/>
          <w:sz w:val="24"/>
          <w:szCs w:val="24"/>
        </w:rPr>
        <w:t>.</w:t>
      </w:r>
      <w:r w:rsidR="002B6197" w:rsidRPr="007E3047">
        <w:rPr>
          <w:rFonts w:ascii="Times New Roman" w:hAnsi="Times New Roman"/>
          <w:b/>
          <w:color w:val="000000"/>
          <w:sz w:val="24"/>
          <w:szCs w:val="24"/>
        </w:rPr>
        <w:t xml:space="preserve"> </w:t>
      </w:r>
      <w:r w:rsidR="00C354F9" w:rsidRPr="007E3047">
        <w:rPr>
          <w:rFonts w:ascii="Times New Roman" w:hAnsi="Times New Roman"/>
          <w:b/>
          <w:color w:val="000000"/>
          <w:sz w:val="24"/>
          <w:szCs w:val="24"/>
        </w:rPr>
        <w:t xml:space="preserve">4 (direito à vida), 5 (direito à integridade pessoal) e 7 (direito à liberdade pessoal) </w:t>
      </w:r>
      <w:r w:rsidR="00BB7162" w:rsidRPr="007E3047">
        <w:rPr>
          <w:rFonts w:ascii="Times New Roman" w:hAnsi="Times New Roman"/>
          <w:b/>
          <w:color w:val="000000"/>
          <w:sz w:val="24"/>
          <w:szCs w:val="24"/>
        </w:rPr>
        <w:t>c/c art. 1.1 (</w:t>
      </w:r>
      <w:r w:rsidR="00DA0498" w:rsidRPr="007E3047">
        <w:rPr>
          <w:rFonts w:ascii="Times New Roman" w:eastAsia="Times New Roman" w:hAnsi="Times New Roman"/>
          <w:b/>
          <w:sz w:val="24"/>
          <w:szCs w:val="24"/>
        </w:rPr>
        <w:t>obrigação</w:t>
      </w:r>
      <w:r w:rsidR="00BB7162" w:rsidRPr="007E3047">
        <w:rPr>
          <w:rFonts w:ascii="Times New Roman" w:hAnsi="Times New Roman"/>
          <w:b/>
          <w:color w:val="000000"/>
          <w:sz w:val="24"/>
          <w:szCs w:val="24"/>
        </w:rPr>
        <w:t xml:space="preserve"> de respeitar os direitos)</w:t>
      </w:r>
    </w:p>
    <w:p w:rsidR="00C354F9" w:rsidRPr="007E3047" w:rsidRDefault="00C354F9" w:rsidP="00345383">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O art. 4 diz respeito ao direito à vida, intrínseco à própria condição do ser humano e fundamental para o exercício dos </w:t>
      </w:r>
      <w:r w:rsidR="00DA586D" w:rsidRPr="007E3047">
        <w:rPr>
          <w:rFonts w:ascii="Times New Roman" w:hAnsi="Times New Roman"/>
          <w:color w:val="000000"/>
          <w:sz w:val="24"/>
          <w:szCs w:val="24"/>
        </w:rPr>
        <w:t>outros</w:t>
      </w:r>
      <w:r w:rsidRPr="007E3047">
        <w:rPr>
          <w:rFonts w:ascii="Times New Roman" w:hAnsi="Times New Roman"/>
          <w:color w:val="000000"/>
          <w:sz w:val="24"/>
          <w:szCs w:val="24"/>
        </w:rPr>
        <w:t xml:space="preserve"> direitos protegidos </w:t>
      </w:r>
      <w:r w:rsidR="002E378C" w:rsidRPr="007E3047">
        <w:rPr>
          <w:rFonts w:ascii="Times New Roman" w:hAnsi="Times New Roman"/>
          <w:color w:val="000000"/>
          <w:sz w:val="24"/>
          <w:szCs w:val="24"/>
        </w:rPr>
        <w:t>pela CADH</w:t>
      </w:r>
      <w:r w:rsidRPr="007E3047">
        <w:rPr>
          <w:rFonts w:ascii="Times New Roman" w:hAnsi="Times New Roman"/>
          <w:color w:val="000000"/>
          <w:sz w:val="24"/>
          <w:szCs w:val="24"/>
        </w:rPr>
        <w:t>. Sem ele, todos os dem</w:t>
      </w:r>
      <w:r w:rsidR="002B6197" w:rsidRPr="007E3047">
        <w:rPr>
          <w:rFonts w:ascii="Times New Roman" w:hAnsi="Times New Roman"/>
          <w:color w:val="000000"/>
          <w:sz w:val="24"/>
          <w:szCs w:val="24"/>
        </w:rPr>
        <w:t>ais direitos perdem seu sentido</w:t>
      </w:r>
      <w:r w:rsidRPr="007E3047">
        <w:rPr>
          <w:rStyle w:val="FootnoteReference"/>
          <w:rFonts w:ascii="Times New Roman" w:hAnsi="Times New Roman"/>
          <w:color w:val="000000"/>
          <w:sz w:val="24"/>
          <w:szCs w:val="24"/>
        </w:rPr>
        <w:footnoteReference w:id="65"/>
      </w:r>
      <w:r w:rsidRPr="007E3047">
        <w:rPr>
          <w:rFonts w:ascii="Times New Roman" w:hAnsi="Times New Roman"/>
          <w:color w:val="000000"/>
          <w:sz w:val="24"/>
          <w:szCs w:val="24"/>
        </w:rPr>
        <w:t>, como</w:t>
      </w:r>
      <w:r w:rsidR="002B6197" w:rsidRPr="007E3047">
        <w:rPr>
          <w:rFonts w:ascii="Times New Roman" w:hAnsi="Times New Roman"/>
          <w:color w:val="000000"/>
          <w:sz w:val="24"/>
          <w:szCs w:val="24"/>
        </w:rPr>
        <w:t>,</w:t>
      </w:r>
      <w:r w:rsidRPr="007E3047">
        <w:rPr>
          <w:rFonts w:ascii="Times New Roman" w:hAnsi="Times New Roman"/>
          <w:color w:val="000000"/>
          <w:sz w:val="24"/>
          <w:szCs w:val="24"/>
        </w:rPr>
        <w:t xml:space="preserve"> por exemplo, o direito à integridade pessoal,</w:t>
      </w:r>
      <w:r w:rsidR="00DB3F57" w:rsidRPr="007E3047">
        <w:rPr>
          <w:rFonts w:ascii="Times New Roman" w:hAnsi="Times New Roman"/>
          <w:color w:val="000000"/>
          <w:sz w:val="24"/>
          <w:szCs w:val="24"/>
        </w:rPr>
        <w:t xml:space="preserve"> disposta no art. 5 da CADH</w:t>
      </w:r>
      <w:r w:rsidR="002B6197" w:rsidRPr="007E3047">
        <w:rPr>
          <w:rFonts w:ascii="Times New Roman" w:hAnsi="Times New Roman"/>
          <w:color w:val="000000"/>
          <w:sz w:val="24"/>
          <w:szCs w:val="24"/>
        </w:rPr>
        <w:t>,</w:t>
      </w:r>
      <w:r w:rsidRPr="007E3047">
        <w:rPr>
          <w:rFonts w:ascii="Times New Roman" w:hAnsi="Times New Roman"/>
          <w:color w:val="000000"/>
          <w:sz w:val="24"/>
          <w:szCs w:val="24"/>
        </w:rPr>
        <w:t xml:space="preserve"> e à liberdade pessoal, prevista no art. 7 do mesmo diploma legal.</w:t>
      </w:r>
    </w:p>
    <w:p w:rsidR="00C354F9" w:rsidRPr="007E3047" w:rsidRDefault="00C354F9" w:rsidP="00DF65C1">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A </w:t>
      </w:r>
      <w:r w:rsidR="001D7395" w:rsidRPr="007E3047">
        <w:rPr>
          <w:rFonts w:ascii="Times New Roman" w:hAnsi="Times New Roman"/>
          <w:color w:val="000000"/>
          <w:sz w:val="24"/>
          <w:szCs w:val="24"/>
        </w:rPr>
        <w:t>CIDH</w:t>
      </w:r>
      <w:r w:rsidRPr="007E3047">
        <w:rPr>
          <w:rFonts w:ascii="Times New Roman" w:hAnsi="Times New Roman"/>
          <w:color w:val="000000"/>
          <w:sz w:val="24"/>
          <w:szCs w:val="24"/>
        </w:rPr>
        <w:t>, em seu relatório de mérito, admitiu a responsabil</w:t>
      </w:r>
      <w:r w:rsidR="002B6197" w:rsidRPr="007E3047">
        <w:rPr>
          <w:rFonts w:ascii="Times New Roman" w:hAnsi="Times New Roman"/>
          <w:color w:val="000000"/>
          <w:sz w:val="24"/>
          <w:szCs w:val="24"/>
        </w:rPr>
        <w:t>idade internacional de Cardenal</w:t>
      </w:r>
      <w:r w:rsidRPr="007E3047">
        <w:rPr>
          <w:rFonts w:ascii="Times New Roman" w:hAnsi="Times New Roman"/>
          <w:color w:val="000000"/>
          <w:sz w:val="24"/>
          <w:szCs w:val="24"/>
        </w:rPr>
        <w:t xml:space="preserve"> pela suposta violação do art. 4, devido às mortes de Aníbal Lopez, Lucrécia Rossi e Ricardo Bolt. </w:t>
      </w:r>
    </w:p>
    <w:p w:rsidR="00C354F9" w:rsidRPr="007E3047" w:rsidRDefault="00C354F9" w:rsidP="00DF65C1">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Em relação a Ricardo Bolt, a </w:t>
      </w:r>
      <w:r w:rsidR="001D7395" w:rsidRPr="007E3047">
        <w:rPr>
          <w:rFonts w:ascii="Times New Roman" w:hAnsi="Times New Roman"/>
          <w:color w:val="000000"/>
          <w:sz w:val="24"/>
          <w:szCs w:val="24"/>
        </w:rPr>
        <w:t>CIDH</w:t>
      </w:r>
      <w:r w:rsidRPr="007E3047">
        <w:rPr>
          <w:rFonts w:ascii="Times New Roman" w:hAnsi="Times New Roman"/>
          <w:color w:val="000000"/>
          <w:sz w:val="24"/>
          <w:szCs w:val="24"/>
        </w:rPr>
        <w:t xml:space="preserve"> entendeu que o Estado também deve ser responsabilizado internacionalmente pela viola</w:t>
      </w:r>
      <w:r w:rsidR="00DF65C1" w:rsidRPr="007E3047">
        <w:rPr>
          <w:rFonts w:ascii="Times New Roman" w:hAnsi="Times New Roman"/>
          <w:color w:val="000000"/>
          <w:sz w:val="24"/>
          <w:szCs w:val="24"/>
        </w:rPr>
        <w:t>ção dos arts. 5 e 7 da CADH</w:t>
      </w:r>
      <w:r w:rsidRPr="007E3047">
        <w:rPr>
          <w:rFonts w:ascii="Times New Roman" w:hAnsi="Times New Roman"/>
          <w:color w:val="000000"/>
          <w:sz w:val="24"/>
          <w:szCs w:val="24"/>
        </w:rPr>
        <w:t xml:space="preserve">, tendo em vista que, conforme o depoimento de Paulo Mukundi, o mesmo foi detido ilegalmente e torturado. </w:t>
      </w:r>
    </w:p>
    <w:p w:rsidR="00C354F9" w:rsidRPr="007E3047" w:rsidRDefault="00C354F9" w:rsidP="00B54E53">
      <w:pPr>
        <w:spacing w:after="0" w:line="480" w:lineRule="auto"/>
        <w:jc w:val="both"/>
        <w:rPr>
          <w:rFonts w:ascii="Times New Roman" w:hAnsi="Times New Roman"/>
          <w:color w:val="000000"/>
          <w:sz w:val="24"/>
          <w:szCs w:val="24"/>
        </w:rPr>
      </w:pPr>
      <w:r w:rsidRPr="007E3047">
        <w:rPr>
          <w:rFonts w:ascii="Times New Roman" w:hAnsi="Times New Roman"/>
          <w:color w:val="000000"/>
          <w:sz w:val="24"/>
          <w:szCs w:val="24"/>
        </w:rPr>
        <w:t>Contudo, os argumentos dos representantes das vítim</w:t>
      </w:r>
      <w:r w:rsidR="002B6197" w:rsidRPr="007E3047">
        <w:rPr>
          <w:rFonts w:ascii="Times New Roman" w:hAnsi="Times New Roman"/>
          <w:color w:val="000000"/>
          <w:sz w:val="24"/>
          <w:szCs w:val="24"/>
        </w:rPr>
        <w:t>as não devem prosperar.</w:t>
      </w:r>
    </w:p>
    <w:p w:rsidR="00C354F9" w:rsidRPr="007E3047" w:rsidRDefault="00C354F9" w:rsidP="00046B0A">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A Comissão da Verdade</w:t>
      </w:r>
      <w:r w:rsidR="00046B0A" w:rsidRPr="007E3047">
        <w:rPr>
          <w:rFonts w:ascii="Times New Roman" w:hAnsi="Times New Roman"/>
          <w:color w:val="000000"/>
          <w:sz w:val="24"/>
          <w:szCs w:val="24"/>
        </w:rPr>
        <w:t xml:space="preserve">, em seu relatório, </w:t>
      </w:r>
      <w:r w:rsidR="00B7644C" w:rsidRPr="007E3047">
        <w:rPr>
          <w:rFonts w:ascii="Times New Roman" w:hAnsi="Times New Roman"/>
          <w:color w:val="000000"/>
          <w:sz w:val="24"/>
          <w:szCs w:val="24"/>
        </w:rPr>
        <w:t>revelou</w:t>
      </w:r>
      <w:r w:rsidRPr="007E3047">
        <w:rPr>
          <w:rFonts w:ascii="Times New Roman" w:hAnsi="Times New Roman"/>
          <w:color w:val="000000"/>
          <w:sz w:val="24"/>
          <w:szCs w:val="24"/>
        </w:rPr>
        <w:t xml:space="preserve"> que Ricardo Bolt foi detido ilegalmente em uma prisão clandestina, onde sofreu tortura e, provavelmente, foi morto por agentes estatais. Em 2008, após a emissão de tal relatório, o Conselho do Estado julgou o recurso de revisão de sentença interposto por A</w:t>
      </w:r>
      <w:r w:rsidR="0033126C" w:rsidRPr="007E3047">
        <w:rPr>
          <w:rFonts w:ascii="Times New Roman" w:hAnsi="Times New Roman"/>
          <w:color w:val="000000"/>
          <w:sz w:val="24"/>
          <w:szCs w:val="24"/>
        </w:rPr>
        <w:t>n</w:t>
      </w:r>
      <w:r w:rsidRPr="007E3047">
        <w:rPr>
          <w:rFonts w:ascii="Times New Roman" w:hAnsi="Times New Roman"/>
          <w:color w:val="000000"/>
          <w:sz w:val="24"/>
          <w:szCs w:val="24"/>
        </w:rPr>
        <w:t>nika</w:t>
      </w:r>
      <w:r w:rsidR="002B6197" w:rsidRPr="007E3047">
        <w:rPr>
          <w:rFonts w:ascii="Times New Roman" w:hAnsi="Times New Roman"/>
          <w:color w:val="000000"/>
          <w:sz w:val="24"/>
          <w:szCs w:val="24"/>
        </w:rPr>
        <w:t xml:space="preserve"> </w:t>
      </w:r>
      <w:r w:rsidRPr="007E3047">
        <w:rPr>
          <w:rFonts w:ascii="Times New Roman" w:hAnsi="Times New Roman"/>
          <w:color w:val="000000"/>
          <w:sz w:val="24"/>
          <w:szCs w:val="24"/>
        </w:rPr>
        <w:t>Bolt e reconheceu a responsabilidade de Cardenal, majorando o valor da indenização que A</w:t>
      </w:r>
      <w:r w:rsidR="0033126C" w:rsidRPr="007E3047">
        <w:rPr>
          <w:rFonts w:ascii="Times New Roman" w:hAnsi="Times New Roman"/>
          <w:color w:val="000000"/>
          <w:sz w:val="24"/>
          <w:szCs w:val="24"/>
        </w:rPr>
        <w:t>n</w:t>
      </w:r>
      <w:r w:rsidRPr="007E3047">
        <w:rPr>
          <w:rFonts w:ascii="Times New Roman" w:hAnsi="Times New Roman"/>
          <w:color w:val="000000"/>
          <w:sz w:val="24"/>
          <w:szCs w:val="24"/>
        </w:rPr>
        <w:t>nika</w:t>
      </w:r>
      <w:r w:rsidR="002B6197" w:rsidRPr="007E3047">
        <w:rPr>
          <w:rFonts w:ascii="Times New Roman" w:hAnsi="Times New Roman"/>
          <w:color w:val="000000"/>
          <w:sz w:val="24"/>
          <w:szCs w:val="24"/>
        </w:rPr>
        <w:t xml:space="preserve"> </w:t>
      </w:r>
      <w:r w:rsidRPr="007E3047">
        <w:rPr>
          <w:rFonts w:ascii="Times New Roman" w:hAnsi="Times New Roman"/>
          <w:color w:val="000000"/>
          <w:sz w:val="24"/>
          <w:szCs w:val="24"/>
        </w:rPr>
        <w:t>Bolt já havia r</w:t>
      </w:r>
      <w:r w:rsidR="002B6197" w:rsidRPr="007E3047">
        <w:rPr>
          <w:rFonts w:ascii="Times New Roman" w:hAnsi="Times New Roman"/>
          <w:color w:val="000000"/>
          <w:sz w:val="24"/>
          <w:szCs w:val="24"/>
        </w:rPr>
        <w:t>ecebido pela via administrativa</w:t>
      </w:r>
      <w:r w:rsidRPr="007E3047">
        <w:rPr>
          <w:rStyle w:val="FootnoteReference"/>
          <w:rFonts w:ascii="Times New Roman" w:hAnsi="Times New Roman"/>
          <w:color w:val="000000"/>
          <w:sz w:val="24"/>
          <w:szCs w:val="24"/>
        </w:rPr>
        <w:footnoteReference w:id="66"/>
      </w:r>
      <w:r w:rsidR="0033126C" w:rsidRPr="007E3047">
        <w:rPr>
          <w:rFonts w:ascii="Times New Roman" w:hAnsi="Times New Roman"/>
          <w:color w:val="000000"/>
          <w:sz w:val="24"/>
          <w:szCs w:val="24"/>
        </w:rPr>
        <w:t xml:space="preserve">. Ressalta-se que a </w:t>
      </w:r>
      <w:r w:rsidR="00A8404E" w:rsidRPr="007E3047">
        <w:rPr>
          <w:rFonts w:ascii="Times New Roman" w:hAnsi="Times New Roman"/>
          <w:color w:val="000000"/>
          <w:sz w:val="24"/>
          <w:szCs w:val="24"/>
        </w:rPr>
        <w:t>c</w:t>
      </w:r>
      <w:r w:rsidR="0033126C" w:rsidRPr="007E3047">
        <w:rPr>
          <w:rFonts w:ascii="Times New Roman" w:hAnsi="Times New Roman"/>
          <w:color w:val="000000"/>
          <w:sz w:val="24"/>
          <w:szCs w:val="24"/>
        </w:rPr>
        <w:t>omunidade B</w:t>
      </w:r>
      <w:r w:rsidRPr="007E3047">
        <w:rPr>
          <w:rFonts w:ascii="Times New Roman" w:hAnsi="Times New Roman"/>
          <w:color w:val="000000"/>
          <w:sz w:val="24"/>
          <w:szCs w:val="24"/>
        </w:rPr>
        <w:t xml:space="preserve">oneca foi reconhecida como sujeito de reparação coletiva, tendo em vista as violações sofridas por Ricardo Bolt. </w:t>
      </w:r>
    </w:p>
    <w:p w:rsidR="00C354F9" w:rsidRPr="007E3047" w:rsidRDefault="00C354F9" w:rsidP="00B73CDC">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Em relação à violação ao direito à vida de Lucrécia Rossi, também foi reconhecida internamente a responsabilidade do Estado no relatório emitido pela Comissão da Verdade</w:t>
      </w:r>
      <w:r w:rsidR="0050722A" w:rsidRPr="007E3047">
        <w:rPr>
          <w:rFonts w:ascii="Times New Roman" w:hAnsi="Times New Roman"/>
          <w:color w:val="000000"/>
          <w:sz w:val="24"/>
          <w:szCs w:val="24"/>
        </w:rPr>
        <w:t xml:space="preserve">. </w:t>
      </w:r>
      <w:r w:rsidR="0050722A" w:rsidRPr="007E3047">
        <w:rPr>
          <w:rFonts w:ascii="Times New Roman" w:hAnsi="Times New Roman"/>
          <w:color w:val="000000"/>
          <w:sz w:val="24"/>
          <w:szCs w:val="24"/>
        </w:rPr>
        <w:lastRenderedPageBreak/>
        <w:t>Inclusive, o</w:t>
      </w:r>
      <w:r w:rsidR="002B6197" w:rsidRPr="007E3047">
        <w:rPr>
          <w:rFonts w:ascii="Times New Roman" w:hAnsi="Times New Roman"/>
          <w:color w:val="000000"/>
          <w:sz w:val="24"/>
          <w:szCs w:val="24"/>
        </w:rPr>
        <w:t xml:space="preserve"> ex-general João Otá</w:t>
      </w:r>
      <w:r w:rsidRPr="007E3047">
        <w:rPr>
          <w:rFonts w:ascii="Times New Roman" w:hAnsi="Times New Roman"/>
          <w:color w:val="000000"/>
          <w:sz w:val="24"/>
          <w:szCs w:val="24"/>
        </w:rPr>
        <w:t>vio Pires aceitou a responsabilidade pessoal e institucional pela to</w:t>
      </w:r>
      <w:r w:rsidR="002B6197" w:rsidRPr="007E3047">
        <w:rPr>
          <w:rFonts w:ascii="Times New Roman" w:hAnsi="Times New Roman"/>
          <w:color w:val="000000"/>
          <w:sz w:val="24"/>
          <w:szCs w:val="24"/>
        </w:rPr>
        <w:t>rtura e morte de Lucrécia Rossi</w:t>
      </w:r>
      <w:r w:rsidRPr="007E3047">
        <w:rPr>
          <w:rStyle w:val="FootnoteReference"/>
          <w:rFonts w:ascii="Times New Roman" w:hAnsi="Times New Roman"/>
          <w:color w:val="000000"/>
          <w:sz w:val="24"/>
          <w:szCs w:val="24"/>
        </w:rPr>
        <w:footnoteReference w:id="67"/>
      </w:r>
      <w:r w:rsidRPr="007E3047">
        <w:rPr>
          <w:rFonts w:ascii="Times New Roman" w:hAnsi="Times New Roman"/>
          <w:color w:val="000000"/>
          <w:sz w:val="24"/>
          <w:szCs w:val="24"/>
        </w:rPr>
        <w:t>, o que resultou na sua condenação em março de 2009. Emily e Maximiliano Rossi, irmã e pai de Lucrécia Rossi</w:t>
      </w:r>
      <w:r w:rsidR="002B6197" w:rsidRPr="007E3047">
        <w:rPr>
          <w:rFonts w:ascii="Times New Roman" w:hAnsi="Times New Roman"/>
          <w:color w:val="000000"/>
          <w:sz w:val="24"/>
          <w:szCs w:val="24"/>
        </w:rPr>
        <w:t>,</w:t>
      </w:r>
      <w:r w:rsidRPr="007E3047">
        <w:rPr>
          <w:rFonts w:ascii="Times New Roman" w:hAnsi="Times New Roman"/>
          <w:color w:val="000000"/>
          <w:sz w:val="24"/>
          <w:szCs w:val="24"/>
        </w:rPr>
        <w:t xml:space="preserve"> receberam a devida indenização pela morte da mesma, </w:t>
      </w:r>
      <w:r w:rsidR="002B6197" w:rsidRPr="007E3047">
        <w:rPr>
          <w:rFonts w:ascii="Times New Roman" w:hAnsi="Times New Roman"/>
          <w:color w:val="000000"/>
          <w:sz w:val="24"/>
          <w:szCs w:val="24"/>
        </w:rPr>
        <w:t>no valor de US$ 25.000 cada um.</w:t>
      </w:r>
    </w:p>
    <w:p w:rsidR="00AC289B" w:rsidRPr="007E3047" w:rsidRDefault="00C354F9" w:rsidP="00B73CDC">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Quanto à morte de Aníbal Lopez, a Comissão de Alto Nível, com base nas informações constantes no relatório emitido pela Comissão da Verdade, selecionou Derek Guadamuz, Paulo Mukundi e o ex-general João Otávio Pires como máximo</w:t>
      </w:r>
      <w:r w:rsidR="0050722A" w:rsidRPr="007E3047">
        <w:rPr>
          <w:rFonts w:ascii="Times New Roman" w:hAnsi="Times New Roman"/>
          <w:color w:val="000000"/>
          <w:sz w:val="24"/>
          <w:szCs w:val="24"/>
        </w:rPr>
        <w:t>s responsáveis pelo sequestro das</w:t>
      </w:r>
      <w:r w:rsidR="002B6197" w:rsidRPr="007E3047">
        <w:rPr>
          <w:rFonts w:ascii="Times New Roman" w:hAnsi="Times New Roman"/>
          <w:color w:val="000000"/>
          <w:sz w:val="24"/>
          <w:szCs w:val="24"/>
        </w:rPr>
        <w:t xml:space="preserve"> 23 crianças e pela morte de </w:t>
      </w:r>
      <w:r w:rsidRPr="007E3047">
        <w:rPr>
          <w:rFonts w:ascii="Times New Roman" w:hAnsi="Times New Roman"/>
          <w:color w:val="000000"/>
          <w:sz w:val="24"/>
          <w:szCs w:val="24"/>
        </w:rPr>
        <w:t>4 delas, incluindo Aníbal Lopez. O Tribunal Transicional Especializado, ao julgar o caso, condenou o ex-general João Otávio Pires,</w:t>
      </w:r>
      <w:r w:rsidR="002B6197" w:rsidRPr="007E3047">
        <w:rPr>
          <w:rFonts w:ascii="Times New Roman" w:hAnsi="Times New Roman"/>
          <w:color w:val="000000"/>
          <w:sz w:val="24"/>
          <w:szCs w:val="24"/>
        </w:rPr>
        <w:t xml:space="preserve"> </w:t>
      </w:r>
      <w:r w:rsidR="00AC289B" w:rsidRPr="007E3047">
        <w:rPr>
          <w:rFonts w:ascii="Times New Roman" w:hAnsi="Times New Roman"/>
          <w:color w:val="000000"/>
          <w:sz w:val="24"/>
          <w:szCs w:val="24"/>
        </w:rPr>
        <w:t>Paulo Mukundi e</w:t>
      </w:r>
      <w:r w:rsidR="002B6197" w:rsidRPr="007E3047">
        <w:rPr>
          <w:rFonts w:ascii="Times New Roman" w:hAnsi="Times New Roman"/>
          <w:color w:val="000000"/>
          <w:sz w:val="24"/>
          <w:szCs w:val="24"/>
        </w:rPr>
        <w:t xml:space="preserve"> outros membros do MRLB</w:t>
      </w:r>
      <w:r w:rsidRPr="007E3047">
        <w:rPr>
          <w:rStyle w:val="FootnoteReference"/>
          <w:rFonts w:ascii="Times New Roman" w:hAnsi="Times New Roman"/>
          <w:color w:val="000000"/>
          <w:sz w:val="24"/>
          <w:szCs w:val="24"/>
        </w:rPr>
        <w:footnoteReference w:id="68"/>
      </w:r>
      <w:r w:rsidRPr="007E3047">
        <w:rPr>
          <w:rFonts w:ascii="Times New Roman" w:hAnsi="Times New Roman"/>
          <w:color w:val="000000"/>
          <w:sz w:val="24"/>
          <w:szCs w:val="24"/>
        </w:rPr>
        <w:t xml:space="preserve">. O Estado concedeu indenização em dinheiro à Lupita Lopez e disponibilizou programas de atenção psicossocial. </w:t>
      </w:r>
    </w:p>
    <w:p w:rsidR="00C354F9" w:rsidRPr="007E3047" w:rsidRDefault="00C354F9" w:rsidP="00B73CDC">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Visto que Cardenal já reconheceu sua responsabilidade pelos fatos expostos, através das suas próprias instituições (Comissão da Verdade</w:t>
      </w:r>
      <w:r w:rsidR="00B97B40" w:rsidRPr="007E3047">
        <w:rPr>
          <w:rFonts w:ascii="Times New Roman" w:hAnsi="Times New Roman"/>
          <w:color w:val="000000"/>
          <w:sz w:val="24"/>
          <w:szCs w:val="24"/>
        </w:rPr>
        <w:t xml:space="preserve"> e Esclareci</w:t>
      </w:r>
      <w:r w:rsidR="005429F5" w:rsidRPr="007E3047">
        <w:rPr>
          <w:rFonts w:ascii="Times New Roman" w:hAnsi="Times New Roman"/>
          <w:color w:val="000000"/>
          <w:sz w:val="24"/>
          <w:szCs w:val="24"/>
        </w:rPr>
        <w:t>mento</w:t>
      </w:r>
      <w:r w:rsidRPr="007E3047">
        <w:rPr>
          <w:rFonts w:ascii="Times New Roman" w:hAnsi="Times New Roman"/>
          <w:color w:val="000000"/>
          <w:sz w:val="24"/>
          <w:szCs w:val="24"/>
        </w:rPr>
        <w:t xml:space="preserve"> e Tribunal Transicional Especializado), não há razão para ser responsabilizado internacio</w:t>
      </w:r>
      <w:r w:rsidR="002B6197" w:rsidRPr="007E3047">
        <w:rPr>
          <w:rFonts w:ascii="Times New Roman" w:hAnsi="Times New Roman"/>
          <w:color w:val="000000"/>
          <w:sz w:val="24"/>
          <w:szCs w:val="24"/>
        </w:rPr>
        <w:t>nalmente. Ao ratificarem a CADH</w:t>
      </w:r>
      <w:r w:rsidRPr="007E3047">
        <w:rPr>
          <w:rFonts w:ascii="Times New Roman" w:hAnsi="Times New Roman"/>
          <w:color w:val="000000"/>
          <w:sz w:val="24"/>
          <w:szCs w:val="24"/>
        </w:rPr>
        <w:t xml:space="preserve"> os Estados-parte contraem o dever de garantir e efetivar os direitos </w:t>
      </w:r>
      <w:r w:rsidR="002B6197" w:rsidRPr="007E3047">
        <w:rPr>
          <w:rFonts w:ascii="Times New Roman" w:hAnsi="Times New Roman"/>
          <w:color w:val="000000"/>
          <w:sz w:val="24"/>
          <w:szCs w:val="24"/>
        </w:rPr>
        <w:t xml:space="preserve">nela </w:t>
      </w:r>
      <w:r w:rsidRPr="007E3047">
        <w:rPr>
          <w:rFonts w:ascii="Times New Roman" w:hAnsi="Times New Roman"/>
          <w:color w:val="000000"/>
          <w:sz w:val="24"/>
          <w:szCs w:val="24"/>
        </w:rPr>
        <w:t xml:space="preserve">contidos, sendo um instrumento fundamental para </w:t>
      </w:r>
      <w:r w:rsidR="00AC289B" w:rsidRPr="007E3047">
        <w:rPr>
          <w:rFonts w:ascii="Times New Roman" w:hAnsi="Times New Roman"/>
          <w:color w:val="000000"/>
          <w:sz w:val="24"/>
          <w:szCs w:val="24"/>
        </w:rPr>
        <w:t xml:space="preserve">assegurar </w:t>
      </w:r>
      <w:r w:rsidR="002B6197" w:rsidRPr="007E3047">
        <w:rPr>
          <w:rFonts w:ascii="Times New Roman" w:hAnsi="Times New Roman"/>
          <w:color w:val="000000"/>
          <w:sz w:val="24"/>
          <w:szCs w:val="24"/>
        </w:rPr>
        <w:t xml:space="preserve">os direitos humanos na América. </w:t>
      </w:r>
      <w:r w:rsidRPr="007E3047">
        <w:rPr>
          <w:rFonts w:ascii="Times New Roman" w:hAnsi="Times New Roman"/>
          <w:color w:val="000000"/>
          <w:sz w:val="24"/>
          <w:szCs w:val="24"/>
        </w:rPr>
        <w:t xml:space="preserve">Contudo, esta proteção internacional tem caráter subsidiário, não devendo atuar quando os Estados-parte já reconhecem a sua responsabilidade </w:t>
      </w:r>
      <w:r w:rsidR="00E942BC" w:rsidRPr="007E3047">
        <w:rPr>
          <w:rFonts w:ascii="Times New Roman" w:hAnsi="Times New Roman"/>
          <w:color w:val="000000"/>
          <w:sz w:val="24"/>
          <w:szCs w:val="24"/>
        </w:rPr>
        <w:t>perante a</w:t>
      </w:r>
      <w:r w:rsidRPr="007E3047">
        <w:rPr>
          <w:rFonts w:ascii="Times New Roman" w:hAnsi="Times New Roman"/>
          <w:color w:val="000000"/>
          <w:sz w:val="24"/>
          <w:szCs w:val="24"/>
        </w:rPr>
        <w:t xml:space="preserve"> violação e agem conforme os ditames dispostos em tal documento legal</w:t>
      </w:r>
      <w:r w:rsidR="00AC289B" w:rsidRPr="007E3047">
        <w:rPr>
          <w:rStyle w:val="FootnoteReference"/>
          <w:rFonts w:ascii="Times New Roman" w:hAnsi="Times New Roman"/>
          <w:color w:val="000000"/>
          <w:sz w:val="24"/>
          <w:szCs w:val="24"/>
        </w:rPr>
        <w:footnoteReference w:id="69"/>
      </w:r>
      <w:r w:rsidRPr="007E3047">
        <w:rPr>
          <w:rFonts w:ascii="Times New Roman" w:hAnsi="Times New Roman"/>
          <w:color w:val="000000"/>
          <w:sz w:val="24"/>
          <w:szCs w:val="24"/>
        </w:rPr>
        <w:t xml:space="preserve">. </w:t>
      </w:r>
    </w:p>
    <w:p w:rsidR="00C354F9" w:rsidRPr="007E3047" w:rsidRDefault="00B73CDC" w:rsidP="00C71FA6">
      <w:pPr>
        <w:pStyle w:val="HTMLPreformatted"/>
        <w:shd w:val="clear" w:color="auto" w:fill="FFFFFF"/>
        <w:spacing w:line="480" w:lineRule="auto"/>
        <w:jc w:val="both"/>
        <w:rPr>
          <w:rFonts w:ascii="Times New Roman" w:hAnsi="Times New Roman" w:cs="Times New Roman"/>
          <w:color w:val="212121"/>
          <w:sz w:val="24"/>
          <w:szCs w:val="24"/>
        </w:rPr>
      </w:pPr>
      <w:r w:rsidRPr="007E3047">
        <w:rPr>
          <w:rFonts w:ascii="Times New Roman" w:hAnsi="Times New Roman" w:cs="Times New Roman"/>
          <w:color w:val="000000"/>
          <w:sz w:val="24"/>
          <w:szCs w:val="24"/>
        </w:rPr>
        <w:tab/>
      </w:r>
      <w:r w:rsidR="00AD4937" w:rsidRPr="007E3047">
        <w:rPr>
          <w:rFonts w:ascii="Times New Roman" w:hAnsi="Times New Roman" w:cs="Times New Roman"/>
          <w:color w:val="000000"/>
          <w:sz w:val="24"/>
          <w:szCs w:val="24"/>
        </w:rPr>
        <w:t xml:space="preserve">A </w:t>
      </w:r>
      <w:r w:rsidR="00C354F9" w:rsidRPr="007E3047">
        <w:rPr>
          <w:rFonts w:ascii="Times New Roman" w:hAnsi="Times New Roman" w:cs="Times New Roman"/>
          <w:color w:val="000000"/>
          <w:sz w:val="24"/>
          <w:szCs w:val="24"/>
        </w:rPr>
        <w:t>Corte IDH já decidiu neste sentido no caso Las</w:t>
      </w:r>
      <w:r w:rsidR="002B6197" w:rsidRPr="007E3047">
        <w:rPr>
          <w:rFonts w:ascii="Times New Roman" w:hAnsi="Times New Roman" w:cs="Times New Roman"/>
          <w:color w:val="000000"/>
          <w:sz w:val="24"/>
          <w:szCs w:val="24"/>
        </w:rPr>
        <w:t xml:space="preserve"> </w:t>
      </w:r>
      <w:r w:rsidR="00C354F9" w:rsidRPr="007E3047">
        <w:rPr>
          <w:rFonts w:ascii="Times New Roman" w:hAnsi="Times New Roman" w:cs="Times New Roman"/>
          <w:color w:val="000000"/>
          <w:sz w:val="24"/>
          <w:szCs w:val="24"/>
        </w:rPr>
        <w:t xml:space="preserve">Palmeras vs. Colômbia. A </w:t>
      </w:r>
      <w:r w:rsidR="001D7395" w:rsidRPr="007E3047">
        <w:rPr>
          <w:rFonts w:ascii="Times New Roman" w:hAnsi="Times New Roman" w:cs="Times New Roman"/>
          <w:color w:val="000000"/>
          <w:sz w:val="24"/>
          <w:szCs w:val="24"/>
        </w:rPr>
        <w:t>CIDH</w:t>
      </w:r>
      <w:r w:rsidR="00C354F9" w:rsidRPr="007E3047">
        <w:rPr>
          <w:rFonts w:ascii="Times New Roman" w:hAnsi="Times New Roman" w:cs="Times New Roman"/>
          <w:color w:val="000000"/>
          <w:sz w:val="24"/>
          <w:szCs w:val="24"/>
        </w:rPr>
        <w:t xml:space="preserve"> requereu a responsabilização internacional do Estado col</w:t>
      </w:r>
      <w:r w:rsidR="002B6197" w:rsidRPr="007E3047">
        <w:rPr>
          <w:rFonts w:ascii="Times New Roman" w:hAnsi="Times New Roman" w:cs="Times New Roman"/>
          <w:color w:val="000000"/>
          <w:sz w:val="24"/>
          <w:szCs w:val="24"/>
        </w:rPr>
        <w:t>ombiano pela morte das vítimas. En</w:t>
      </w:r>
      <w:r w:rsidR="00C354F9" w:rsidRPr="007E3047">
        <w:rPr>
          <w:rFonts w:ascii="Times New Roman" w:hAnsi="Times New Roman" w:cs="Times New Roman"/>
          <w:color w:val="000000"/>
          <w:sz w:val="24"/>
          <w:szCs w:val="24"/>
        </w:rPr>
        <w:t xml:space="preserve">tretanto, o </w:t>
      </w:r>
      <w:r w:rsidR="00176E0E" w:rsidRPr="007E3047">
        <w:rPr>
          <w:rFonts w:ascii="Times New Roman" w:hAnsi="Times New Roman" w:cs="Times New Roman"/>
          <w:color w:val="000000"/>
          <w:sz w:val="24"/>
          <w:szCs w:val="24"/>
        </w:rPr>
        <w:t>Conselho de Estado da Colômbia</w:t>
      </w:r>
      <w:r w:rsidR="00C354F9" w:rsidRPr="007E3047">
        <w:rPr>
          <w:rFonts w:ascii="Times New Roman" w:hAnsi="Times New Roman" w:cs="Times New Roman"/>
          <w:color w:val="000000"/>
          <w:sz w:val="24"/>
          <w:szCs w:val="24"/>
        </w:rPr>
        <w:t xml:space="preserve"> já havia reconhecido, em última instância</w:t>
      </w:r>
      <w:r w:rsidR="00E917E6" w:rsidRPr="007E3047">
        <w:rPr>
          <w:rFonts w:ascii="Times New Roman" w:hAnsi="Times New Roman" w:cs="Times New Roman"/>
          <w:color w:val="000000"/>
          <w:sz w:val="24"/>
          <w:szCs w:val="24"/>
        </w:rPr>
        <w:t xml:space="preserve">, a </w:t>
      </w:r>
      <w:r w:rsidR="00E917E6" w:rsidRPr="007E3047">
        <w:rPr>
          <w:rFonts w:ascii="Times New Roman" w:hAnsi="Times New Roman" w:cs="Times New Roman"/>
          <w:color w:val="000000"/>
          <w:sz w:val="24"/>
          <w:szCs w:val="24"/>
        </w:rPr>
        <w:lastRenderedPageBreak/>
        <w:t xml:space="preserve">responsabilidade do </w:t>
      </w:r>
      <w:r w:rsidR="002B6197" w:rsidRPr="007E3047">
        <w:rPr>
          <w:rFonts w:ascii="Times New Roman" w:hAnsi="Times New Roman" w:cs="Times New Roman"/>
          <w:color w:val="000000"/>
          <w:sz w:val="24"/>
          <w:szCs w:val="24"/>
        </w:rPr>
        <w:t>Estado</w:t>
      </w:r>
      <w:r w:rsidR="00C354F9" w:rsidRPr="007E3047">
        <w:rPr>
          <w:rFonts w:ascii="Times New Roman" w:hAnsi="Times New Roman" w:cs="Times New Roman"/>
          <w:color w:val="000000"/>
          <w:sz w:val="24"/>
          <w:szCs w:val="24"/>
        </w:rPr>
        <w:t>. A Corte IDH se pronunciou no sentido de que</w:t>
      </w:r>
      <w:r w:rsidR="002B6197" w:rsidRPr="007E3047">
        <w:rPr>
          <w:rFonts w:ascii="Times New Roman" w:hAnsi="Times New Roman" w:cs="Times New Roman"/>
          <w:color w:val="000000"/>
          <w:sz w:val="24"/>
          <w:szCs w:val="24"/>
        </w:rPr>
        <w:t xml:space="preserve"> </w:t>
      </w:r>
      <w:r w:rsidR="00C71FA6" w:rsidRPr="007E3047">
        <w:rPr>
          <w:rFonts w:ascii="Times New Roman" w:hAnsi="Times New Roman" w:cs="Times New Roman"/>
          <w:color w:val="000000"/>
          <w:sz w:val="24"/>
          <w:szCs w:val="24"/>
        </w:rPr>
        <w:t>“</w:t>
      </w:r>
      <w:r w:rsidR="00C71FA6" w:rsidRPr="007E3047">
        <w:rPr>
          <w:rFonts w:ascii="Times New Roman" w:hAnsi="Times New Roman" w:cs="Times New Roman"/>
          <w:color w:val="212121"/>
          <w:sz w:val="24"/>
          <w:szCs w:val="24"/>
        </w:rPr>
        <w:t>quando uma questão foi definitivamente resolvida em ordem interna de acordo com as disposiç</w:t>
      </w:r>
      <w:r w:rsidR="00B87042" w:rsidRPr="007E3047">
        <w:rPr>
          <w:rFonts w:ascii="Times New Roman" w:hAnsi="Times New Roman" w:cs="Times New Roman"/>
          <w:color w:val="212121"/>
          <w:sz w:val="24"/>
          <w:szCs w:val="24"/>
        </w:rPr>
        <w:t>ões da Convenção</w:t>
      </w:r>
      <w:r w:rsidR="00C71FA6" w:rsidRPr="007E3047">
        <w:rPr>
          <w:rFonts w:ascii="Times New Roman" w:hAnsi="Times New Roman" w:cs="Times New Roman"/>
          <w:color w:val="212121"/>
          <w:sz w:val="24"/>
          <w:szCs w:val="24"/>
        </w:rPr>
        <w:t>, não é necessário trazê-la a este Tribunal p</w:t>
      </w:r>
      <w:r w:rsidR="00F82845" w:rsidRPr="007E3047">
        <w:rPr>
          <w:rFonts w:ascii="Times New Roman" w:hAnsi="Times New Roman" w:cs="Times New Roman"/>
          <w:color w:val="212121"/>
          <w:sz w:val="24"/>
          <w:szCs w:val="24"/>
        </w:rPr>
        <w:t>ara "aprovação" ou "confirmação</w:t>
      </w:r>
      <w:r w:rsidR="00C71FA6" w:rsidRPr="007E3047">
        <w:rPr>
          <w:rFonts w:ascii="Times New Roman" w:hAnsi="Times New Roman" w:cs="Times New Roman"/>
          <w:color w:val="212121"/>
          <w:sz w:val="24"/>
          <w:szCs w:val="24"/>
        </w:rPr>
        <w:t>”</w:t>
      </w:r>
      <w:r w:rsidR="00C354F9" w:rsidRPr="007E3047">
        <w:rPr>
          <w:rStyle w:val="FootnoteReference"/>
          <w:rFonts w:ascii="Times New Roman" w:hAnsi="Times New Roman" w:cs="Times New Roman"/>
          <w:color w:val="000000"/>
          <w:sz w:val="24"/>
          <w:szCs w:val="24"/>
        </w:rPr>
        <w:footnoteReference w:id="70"/>
      </w:r>
      <w:r w:rsidR="00C354F9" w:rsidRPr="007E3047">
        <w:rPr>
          <w:rFonts w:ascii="Times New Roman" w:hAnsi="Times New Roman" w:cs="Times New Roman"/>
          <w:color w:val="000000"/>
          <w:sz w:val="24"/>
          <w:szCs w:val="24"/>
        </w:rPr>
        <w:t>.</w:t>
      </w:r>
    </w:p>
    <w:p w:rsidR="00C71FA6" w:rsidRPr="007E3047" w:rsidRDefault="00C354F9" w:rsidP="00510313">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Ante o exposto, verifica-se que </w:t>
      </w:r>
      <w:r w:rsidR="002B6197" w:rsidRPr="007E3047">
        <w:rPr>
          <w:rFonts w:ascii="Times New Roman" w:hAnsi="Times New Roman"/>
          <w:color w:val="000000"/>
          <w:sz w:val="24"/>
          <w:szCs w:val="24"/>
        </w:rPr>
        <w:t xml:space="preserve">Cardenal não deve ser responsabilizada internacionalmente </w:t>
      </w:r>
      <w:r w:rsidR="009673C9" w:rsidRPr="007E3047">
        <w:rPr>
          <w:rFonts w:ascii="Times New Roman" w:hAnsi="Times New Roman"/>
          <w:color w:val="000000"/>
          <w:sz w:val="24"/>
          <w:szCs w:val="24"/>
        </w:rPr>
        <w:t xml:space="preserve">pela </w:t>
      </w:r>
      <w:r w:rsidRPr="007E3047">
        <w:rPr>
          <w:rFonts w:ascii="Times New Roman" w:hAnsi="Times New Roman"/>
          <w:color w:val="000000"/>
          <w:sz w:val="24"/>
          <w:szCs w:val="24"/>
        </w:rPr>
        <w:t>violação dos arts. 4, 5 e 7 d</w:t>
      </w:r>
      <w:r w:rsidR="009673C9" w:rsidRPr="007E3047">
        <w:rPr>
          <w:rFonts w:ascii="Times New Roman" w:hAnsi="Times New Roman"/>
          <w:color w:val="000000"/>
          <w:sz w:val="24"/>
          <w:szCs w:val="24"/>
        </w:rPr>
        <w:t>a CADH.</w:t>
      </w:r>
    </w:p>
    <w:p w:rsidR="00DA0498" w:rsidRPr="007E3047" w:rsidRDefault="00062E04" w:rsidP="00DA0498">
      <w:pPr>
        <w:spacing w:after="0" w:line="480" w:lineRule="auto"/>
        <w:jc w:val="both"/>
        <w:rPr>
          <w:rFonts w:ascii="Times New Roman" w:eastAsia="Times New Roman" w:hAnsi="Times New Roman"/>
          <w:b/>
          <w:sz w:val="24"/>
          <w:szCs w:val="24"/>
        </w:rPr>
      </w:pPr>
      <w:r w:rsidRPr="007E3047">
        <w:rPr>
          <w:rFonts w:ascii="Times New Roman" w:hAnsi="Times New Roman"/>
          <w:b/>
          <w:color w:val="000000"/>
          <w:sz w:val="24"/>
          <w:szCs w:val="24"/>
        </w:rPr>
        <w:t>6.5 Da não violação ao art. 24 (igualdade perante a lei)</w:t>
      </w:r>
      <w:r w:rsidR="0039362C" w:rsidRPr="007E3047">
        <w:rPr>
          <w:rFonts w:ascii="Times New Roman" w:hAnsi="Times New Roman"/>
          <w:b/>
          <w:color w:val="000000"/>
          <w:sz w:val="24"/>
          <w:szCs w:val="24"/>
        </w:rPr>
        <w:t xml:space="preserve"> c/c 1.1 </w:t>
      </w:r>
      <w:r w:rsidR="0039362C" w:rsidRPr="007E3047">
        <w:rPr>
          <w:rFonts w:ascii="Times New Roman" w:eastAsia="Times New Roman" w:hAnsi="Times New Roman"/>
          <w:b/>
          <w:sz w:val="24"/>
          <w:szCs w:val="24"/>
        </w:rPr>
        <w:t>(</w:t>
      </w:r>
      <w:r w:rsidR="00DA0498" w:rsidRPr="007E3047">
        <w:rPr>
          <w:rFonts w:ascii="Times New Roman" w:eastAsia="Times New Roman" w:hAnsi="Times New Roman"/>
          <w:b/>
          <w:sz w:val="24"/>
          <w:szCs w:val="24"/>
        </w:rPr>
        <w:t>obrigação</w:t>
      </w:r>
      <w:r w:rsidR="0039362C" w:rsidRPr="007E3047">
        <w:rPr>
          <w:rFonts w:ascii="Times New Roman" w:eastAsia="Times New Roman" w:hAnsi="Times New Roman"/>
          <w:b/>
          <w:sz w:val="24"/>
          <w:szCs w:val="24"/>
        </w:rPr>
        <w:t xml:space="preserve"> de adotar disposições de direito interno)</w:t>
      </w:r>
    </w:p>
    <w:p w:rsidR="003F50C2" w:rsidRPr="007E3047" w:rsidRDefault="00B87042" w:rsidP="00DA0498">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A Corte IDH já manifestou reiteradamente que a CADH não proíbe todas as distinções de tratamento, diferenciando “distinções” de </w:t>
      </w:r>
      <w:r w:rsidR="001D3E92" w:rsidRPr="007E3047">
        <w:rPr>
          <w:rFonts w:ascii="Times New Roman" w:hAnsi="Times New Roman"/>
          <w:color w:val="000000"/>
          <w:sz w:val="24"/>
          <w:szCs w:val="24"/>
        </w:rPr>
        <w:t>“discriminações”</w:t>
      </w:r>
      <w:r w:rsidRPr="007E3047">
        <w:rPr>
          <w:rStyle w:val="FootnoteReference"/>
          <w:rFonts w:ascii="Times New Roman" w:hAnsi="Times New Roman"/>
          <w:color w:val="000000"/>
          <w:sz w:val="24"/>
          <w:szCs w:val="24"/>
        </w:rPr>
        <w:footnoteReference w:id="71"/>
      </w:r>
      <w:r w:rsidRPr="007E3047">
        <w:rPr>
          <w:rFonts w:ascii="Times New Roman" w:hAnsi="Times New Roman"/>
          <w:color w:val="000000"/>
          <w:sz w:val="24"/>
          <w:szCs w:val="24"/>
        </w:rPr>
        <w:t xml:space="preserve">, de maneira que as primeiras constituem diferenças compatíveis com a CADH por serem razoáveis e objetivas, enquanto as segundas constituem diferenças arbitrárias que redundam em </w:t>
      </w:r>
      <w:r w:rsidR="001D3E92" w:rsidRPr="007E3047">
        <w:rPr>
          <w:rFonts w:ascii="Times New Roman" w:hAnsi="Times New Roman"/>
          <w:color w:val="000000"/>
          <w:sz w:val="24"/>
          <w:szCs w:val="24"/>
        </w:rPr>
        <w:t>detrimentos de direitos humanos</w:t>
      </w:r>
      <w:r w:rsidRPr="007E3047">
        <w:rPr>
          <w:rStyle w:val="FootnoteReference"/>
          <w:rFonts w:ascii="Times New Roman" w:hAnsi="Times New Roman"/>
          <w:color w:val="000000"/>
          <w:sz w:val="24"/>
          <w:szCs w:val="24"/>
        </w:rPr>
        <w:footnoteReference w:id="72"/>
      </w:r>
      <w:r w:rsidR="00C15D6B" w:rsidRPr="007E3047">
        <w:rPr>
          <w:rFonts w:ascii="Times New Roman" w:hAnsi="Times New Roman"/>
          <w:color w:val="000000"/>
          <w:sz w:val="24"/>
          <w:szCs w:val="24"/>
        </w:rPr>
        <w:t>.</w:t>
      </w:r>
    </w:p>
    <w:p w:rsidR="00B87042" w:rsidRPr="007E3047" w:rsidRDefault="00B87042" w:rsidP="008454DB">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Alega Annika</w:t>
      </w:r>
      <w:r w:rsidR="001D3E92" w:rsidRPr="007E3047">
        <w:rPr>
          <w:rFonts w:ascii="Times New Roman" w:hAnsi="Times New Roman"/>
          <w:color w:val="000000"/>
          <w:sz w:val="24"/>
          <w:szCs w:val="24"/>
        </w:rPr>
        <w:t xml:space="preserve"> </w:t>
      </w:r>
      <w:r w:rsidRPr="007E3047">
        <w:rPr>
          <w:rFonts w:ascii="Times New Roman" w:hAnsi="Times New Roman"/>
          <w:color w:val="000000"/>
          <w:sz w:val="24"/>
          <w:szCs w:val="24"/>
        </w:rPr>
        <w:t>Bolt que</w:t>
      </w:r>
      <w:r w:rsidR="007F703D" w:rsidRPr="007E3047">
        <w:rPr>
          <w:rFonts w:ascii="Times New Roman" w:hAnsi="Times New Roman"/>
          <w:color w:val="000000"/>
          <w:sz w:val="24"/>
          <w:szCs w:val="24"/>
        </w:rPr>
        <w:t xml:space="preserve"> o Estado teria violado o art.</w:t>
      </w:r>
      <w:r w:rsidRPr="007E3047">
        <w:rPr>
          <w:rFonts w:ascii="Times New Roman" w:hAnsi="Times New Roman"/>
          <w:color w:val="000000"/>
          <w:sz w:val="24"/>
          <w:szCs w:val="24"/>
        </w:rPr>
        <w:t xml:space="preserve"> 24 da CADH em relação ao seu marido</w:t>
      </w:r>
      <w:r w:rsidR="001D3E92" w:rsidRPr="007E3047">
        <w:rPr>
          <w:rFonts w:ascii="Times New Roman" w:hAnsi="Times New Roman"/>
          <w:color w:val="000000"/>
          <w:sz w:val="24"/>
          <w:szCs w:val="24"/>
        </w:rPr>
        <w:t>,</w:t>
      </w:r>
      <w:r w:rsidRPr="007E3047">
        <w:rPr>
          <w:rFonts w:ascii="Times New Roman" w:hAnsi="Times New Roman"/>
          <w:color w:val="000000"/>
          <w:sz w:val="24"/>
          <w:szCs w:val="24"/>
        </w:rPr>
        <w:t xml:space="preserve"> Ricardo Bolt</w:t>
      </w:r>
      <w:r w:rsidR="001D3E92" w:rsidRPr="007E3047">
        <w:rPr>
          <w:rFonts w:ascii="Times New Roman" w:hAnsi="Times New Roman"/>
          <w:color w:val="000000"/>
          <w:sz w:val="24"/>
          <w:szCs w:val="24"/>
        </w:rPr>
        <w:t>,</w:t>
      </w:r>
      <w:r w:rsidRPr="007E3047">
        <w:rPr>
          <w:rFonts w:ascii="Times New Roman" w:hAnsi="Times New Roman"/>
          <w:color w:val="000000"/>
          <w:sz w:val="24"/>
          <w:szCs w:val="24"/>
        </w:rPr>
        <w:t xml:space="preserve"> e </w:t>
      </w:r>
      <w:r w:rsidR="001D3E92" w:rsidRPr="007E3047">
        <w:rPr>
          <w:rFonts w:ascii="Times New Roman" w:hAnsi="Times New Roman"/>
          <w:color w:val="000000"/>
          <w:sz w:val="24"/>
          <w:szCs w:val="24"/>
        </w:rPr>
        <w:t>à Comunidade Boneca.</w:t>
      </w:r>
    </w:p>
    <w:p w:rsidR="0036003D" w:rsidRPr="007E3047" w:rsidRDefault="00E05032" w:rsidP="00131018">
      <w:pPr>
        <w:spacing w:after="0" w:line="480" w:lineRule="auto"/>
        <w:ind w:firstLine="708"/>
        <w:jc w:val="both"/>
        <w:rPr>
          <w:rFonts w:ascii="Times New Roman" w:hAnsi="Times New Roman"/>
          <w:sz w:val="24"/>
        </w:rPr>
      </w:pPr>
      <w:r w:rsidRPr="007E3047">
        <w:rPr>
          <w:rFonts w:ascii="Times New Roman" w:hAnsi="Times New Roman"/>
          <w:sz w:val="24"/>
        </w:rPr>
        <w:t xml:space="preserve">A </w:t>
      </w:r>
      <w:r w:rsidR="001D7395" w:rsidRPr="007E3047">
        <w:rPr>
          <w:rFonts w:ascii="Times New Roman" w:hAnsi="Times New Roman"/>
          <w:sz w:val="24"/>
        </w:rPr>
        <w:t>CIDH</w:t>
      </w:r>
      <w:r w:rsidRPr="007E3047">
        <w:rPr>
          <w:rFonts w:ascii="Times New Roman" w:hAnsi="Times New Roman"/>
          <w:sz w:val="24"/>
        </w:rPr>
        <w:t xml:space="preserve"> já destacou como uma boa prática que os Estados adotem normas em seu </w:t>
      </w:r>
      <w:r w:rsidR="00363252" w:rsidRPr="007E3047">
        <w:rPr>
          <w:rFonts w:ascii="Times New Roman" w:hAnsi="Times New Roman"/>
          <w:sz w:val="24"/>
        </w:rPr>
        <w:t>âmbito</w:t>
      </w:r>
      <w:r w:rsidRPr="007E3047">
        <w:rPr>
          <w:rFonts w:ascii="Times New Roman" w:hAnsi="Times New Roman"/>
          <w:sz w:val="24"/>
        </w:rPr>
        <w:t xml:space="preserve"> interno </w:t>
      </w:r>
      <w:r w:rsidR="00363252" w:rsidRPr="007E3047">
        <w:rPr>
          <w:rFonts w:ascii="Times New Roman" w:hAnsi="Times New Roman"/>
          <w:sz w:val="24"/>
        </w:rPr>
        <w:t xml:space="preserve">reconhecendo e protegendo </w:t>
      </w:r>
      <w:r w:rsidRPr="007E3047">
        <w:rPr>
          <w:rFonts w:ascii="Times New Roman" w:hAnsi="Times New Roman"/>
          <w:sz w:val="24"/>
        </w:rPr>
        <w:t>os direitos dos povos indígenas e tribais e de seus membros</w:t>
      </w:r>
      <w:r w:rsidRPr="007E3047">
        <w:rPr>
          <w:rStyle w:val="FootnoteReference"/>
          <w:rFonts w:ascii="Times New Roman" w:hAnsi="Times New Roman"/>
          <w:sz w:val="24"/>
        </w:rPr>
        <w:footnoteReference w:id="73"/>
      </w:r>
      <w:r w:rsidR="001D3E92" w:rsidRPr="007E3047">
        <w:rPr>
          <w:rFonts w:ascii="Times New Roman" w:hAnsi="Times New Roman"/>
          <w:sz w:val="24"/>
        </w:rPr>
        <w:t>. C</w:t>
      </w:r>
      <w:r w:rsidRPr="007E3047">
        <w:rPr>
          <w:rFonts w:ascii="Times New Roman" w:hAnsi="Times New Roman"/>
          <w:sz w:val="24"/>
        </w:rPr>
        <w:t>ontudo</w:t>
      </w:r>
      <w:r w:rsidR="00170C45" w:rsidRPr="007E3047">
        <w:rPr>
          <w:rFonts w:ascii="Times New Roman" w:hAnsi="Times New Roman"/>
          <w:sz w:val="24"/>
        </w:rPr>
        <w:t>,</w:t>
      </w:r>
      <w:r w:rsidRPr="007E3047">
        <w:rPr>
          <w:rFonts w:ascii="Times New Roman" w:hAnsi="Times New Roman"/>
          <w:sz w:val="24"/>
        </w:rPr>
        <w:t xml:space="preserve"> a legislação juridicamente favorável “por si só não pode gar</w:t>
      </w:r>
      <w:r w:rsidR="0036003D" w:rsidRPr="007E3047">
        <w:rPr>
          <w:rFonts w:ascii="Times New Roman" w:hAnsi="Times New Roman"/>
          <w:sz w:val="24"/>
        </w:rPr>
        <w:t>antir os direitos destes povos”</w:t>
      </w:r>
      <w:r w:rsidRPr="007E3047">
        <w:rPr>
          <w:rStyle w:val="FootnoteReference"/>
          <w:rFonts w:ascii="Times New Roman" w:hAnsi="Times New Roman"/>
          <w:sz w:val="24"/>
        </w:rPr>
        <w:footnoteReference w:id="74"/>
      </w:r>
      <w:r w:rsidRPr="007E3047">
        <w:rPr>
          <w:rFonts w:ascii="Times New Roman" w:hAnsi="Times New Roman"/>
          <w:sz w:val="24"/>
        </w:rPr>
        <w:t xml:space="preserve">. </w:t>
      </w:r>
    </w:p>
    <w:p w:rsidR="00124C11" w:rsidRPr="007E3047" w:rsidRDefault="00131018" w:rsidP="00131018">
      <w:pPr>
        <w:spacing w:after="0" w:line="480" w:lineRule="auto"/>
        <w:ind w:firstLine="708"/>
        <w:jc w:val="both"/>
        <w:rPr>
          <w:rFonts w:ascii="Times New Roman" w:hAnsi="Times New Roman"/>
          <w:sz w:val="24"/>
        </w:rPr>
      </w:pPr>
      <w:r w:rsidRPr="007E3047">
        <w:rPr>
          <w:rFonts w:ascii="Times New Roman" w:hAnsi="Times New Roman"/>
          <w:sz w:val="24"/>
        </w:rPr>
        <w:t xml:space="preserve">A fim de cumprir as disposições </w:t>
      </w:r>
      <w:r w:rsidR="00F05FC0" w:rsidRPr="007E3047">
        <w:rPr>
          <w:rFonts w:ascii="Times New Roman" w:hAnsi="Times New Roman"/>
          <w:sz w:val="24"/>
        </w:rPr>
        <w:t>contidas na Convenção</w:t>
      </w:r>
      <w:r w:rsidRPr="007E3047">
        <w:rPr>
          <w:rFonts w:ascii="Times New Roman" w:hAnsi="Times New Roman"/>
          <w:sz w:val="24"/>
        </w:rPr>
        <w:t xml:space="preserve"> 169 da OIT</w:t>
      </w:r>
      <w:r w:rsidR="00F05FC0" w:rsidRPr="007E3047">
        <w:rPr>
          <w:rFonts w:ascii="Times New Roman" w:hAnsi="Times New Roman"/>
          <w:sz w:val="24"/>
        </w:rPr>
        <w:t>,</w:t>
      </w:r>
      <w:r w:rsidR="0036003D" w:rsidRPr="007E3047">
        <w:rPr>
          <w:rFonts w:ascii="Times New Roman" w:hAnsi="Times New Roman"/>
          <w:sz w:val="24"/>
        </w:rPr>
        <w:t xml:space="preserve"> </w:t>
      </w:r>
      <w:r w:rsidRPr="007E3047">
        <w:rPr>
          <w:rFonts w:ascii="Times New Roman" w:hAnsi="Times New Roman"/>
          <w:sz w:val="24"/>
        </w:rPr>
        <w:t xml:space="preserve">Cardenal </w:t>
      </w:r>
      <w:r w:rsidR="003B6F33" w:rsidRPr="007E3047">
        <w:rPr>
          <w:rFonts w:ascii="Times New Roman" w:hAnsi="Times New Roman"/>
          <w:sz w:val="24"/>
        </w:rPr>
        <w:t>criou</w:t>
      </w:r>
      <w:r w:rsidR="000A34A8" w:rsidRPr="007E3047">
        <w:rPr>
          <w:rFonts w:ascii="Times New Roman" w:hAnsi="Times New Roman"/>
          <w:sz w:val="24"/>
        </w:rPr>
        <w:t xml:space="preserve"> uma Comissão de Alto Ní</w:t>
      </w:r>
      <w:r w:rsidR="0036003D" w:rsidRPr="007E3047">
        <w:rPr>
          <w:rFonts w:ascii="Times New Roman" w:hAnsi="Times New Roman"/>
          <w:sz w:val="24"/>
        </w:rPr>
        <w:t>vel que buscou junto à</w:t>
      </w:r>
      <w:r w:rsidR="003B6F33" w:rsidRPr="007E3047">
        <w:rPr>
          <w:rFonts w:ascii="Times New Roman" w:hAnsi="Times New Roman"/>
          <w:sz w:val="24"/>
        </w:rPr>
        <w:t xml:space="preserve">s autoridades tradicionais indígenas </w:t>
      </w:r>
      <w:r w:rsidR="006B34AA" w:rsidRPr="007E3047">
        <w:rPr>
          <w:rFonts w:ascii="Times New Roman" w:hAnsi="Times New Roman"/>
          <w:sz w:val="24"/>
        </w:rPr>
        <w:t xml:space="preserve">as melhores </w:t>
      </w:r>
      <w:r w:rsidR="006B34AA" w:rsidRPr="007E3047">
        <w:rPr>
          <w:rFonts w:ascii="Times New Roman" w:hAnsi="Times New Roman"/>
          <w:sz w:val="24"/>
        </w:rPr>
        <w:lastRenderedPageBreak/>
        <w:t>formas de implementá</w:t>
      </w:r>
      <w:r w:rsidR="003B6F33" w:rsidRPr="007E3047">
        <w:rPr>
          <w:rFonts w:ascii="Times New Roman" w:hAnsi="Times New Roman"/>
          <w:sz w:val="24"/>
        </w:rPr>
        <w:t>-la. Em consonância com o entendimento da Corte IDH</w:t>
      </w:r>
      <w:r w:rsidR="00170C45" w:rsidRPr="007E3047">
        <w:rPr>
          <w:rFonts w:ascii="Times New Roman" w:hAnsi="Times New Roman"/>
          <w:sz w:val="24"/>
        </w:rPr>
        <w:t xml:space="preserve"> e da referida Convenção</w:t>
      </w:r>
      <w:r w:rsidR="0036003D" w:rsidRPr="007E3047">
        <w:rPr>
          <w:rFonts w:ascii="Times New Roman" w:hAnsi="Times New Roman"/>
          <w:sz w:val="24"/>
        </w:rPr>
        <w:t xml:space="preserve"> 169</w:t>
      </w:r>
      <w:r w:rsidR="003B6F33" w:rsidRPr="007E3047">
        <w:rPr>
          <w:rFonts w:ascii="Times New Roman" w:hAnsi="Times New Roman"/>
          <w:sz w:val="24"/>
        </w:rPr>
        <w:t>, o Estado pretende adotar medidas de regulamentação respeitando o direito à consulta prévi</w:t>
      </w:r>
      <w:r w:rsidR="00170C45" w:rsidRPr="007E3047">
        <w:rPr>
          <w:rFonts w:ascii="Times New Roman" w:hAnsi="Times New Roman"/>
          <w:sz w:val="24"/>
        </w:rPr>
        <w:t>a dos povos e comunidades indí</w:t>
      </w:r>
      <w:r w:rsidR="003B6F33" w:rsidRPr="007E3047">
        <w:rPr>
          <w:rFonts w:ascii="Times New Roman" w:hAnsi="Times New Roman"/>
          <w:sz w:val="24"/>
        </w:rPr>
        <w:t xml:space="preserve">genas e tribais </w:t>
      </w:r>
      <w:r w:rsidR="003B6F33" w:rsidRPr="007E3047">
        <w:rPr>
          <w:rStyle w:val="FootnoteReference"/>
          <w:rFonts w:ascii="Times New Roman" w:hAnsi="Times New Roman"/>
          <w:sz w:val="24"/>
        </w:rPr>
        <w:footnoteReference w:id="75"/>
      </w:r>
      <w:r w:rsidR="00170C45" w:rsidRPr="007E3047">
        <w:rPr>
          <w:rFonts w:ascii="Times New Roman" w:hAnsi="Times New Roman"/>
          <w:sz w:val="24"/>
        </w:rPr>
        <w:t>.</w:t>
      </w:r>
    </w:p>
    <w:p w:rsidR="00124C11" w:rsidRPr="007E3047" w:rsidRDefault="00124C11" w:rsidP="00124C11">
      <w:pPr>
        <w:spacing w:after="0" w:line="480" w:lineRule="auto"/>
        <w:ind w:firstLine="708"/>
        <w:jc w:val="both"/>
        <w:rPr>
          <w:rFonts w:ascii="Times New Roman" w:hAnsi="Times New Roman"/>
          <w:sz w:val="24"/>
        </w:rPr>
      </w:pPr>
      <w:r w:rsidRPr="007E3047">
        <w:rPr>
          <w:rFonts w:ascii="Times New Roman" w:hAnsi="Times New Roman"/>
          <w:sz w:val="24"/>
        </w:rPr>
        <w:t>A Constitui</w:t>
      </w:r>
      <w:r w:rsidR="00E76355" w:rsidRPr="007E3047">
        <w:rPr>
          <w:rFonts w:ascii="Times New Roman" w:hAnsi="Times New Roman"/>
          <w:sz w:val="24"/>
        </w:rPr>
        <w:t>çã</w:t>
      </w:r>
      <w:r w:rsidR="0036003D" w:rsidRPr="007E3047">
        <w:rPr>
          <w:rFonts w:ascii="Times New Roman" w:hAnsi="Times New Roman"/>
          <w:sz w:val="24"/>
        </w:rPr>
        <w:t xml:space="preserve">o de Cardenal deu a devida atenção </w:t>
      </w:r>
      <w:r w:rsidR="006435DA" w:rsidRPr="007E3047">
        <w:rPr>
          <w:rFonts w:ascii="Times New Roman" w:hAnsi="Times New Roman"/>
          <w:sz w:val="24"/>
        </w:rPr>
        <w:t>à</w:t>
      </w:r>
      <w:r w:rsidR="00377D32" w:rsidRPr="007E3047">
        <w:rPr>
          <w:rFonts w:ascii="Times New Roman" w:hAnsi="Times New Roman"/>
          <w:sz w:val="24"/>
        </w:rPr>
        <w:t xml:space="preserve"> diversidade é</w:t>
      </w:r>
      <w:r w:rsidRPr="007E3047">
        <w:rPr>
          <w:rFonts w:ascii="Times New Roman" w:hAnsi="Times New Roman"/>
          <w:sz w:val="24"/>
        </w:rPr>
        <w:t>tnica</w:t>
      </w:r>
      <w:r w:rsidR="0036003D" w:rsidRPr="007E3047">
        <w:rPr>
          <w:rFonts w:ascii="Times New Roman" w:hAnsi="Times New Roman"/>
          <w:sz w:val="24"/>
        </w:rPr>
        <w:t xml:space="preserve">, sendo que </w:t>
      </w:r>
      <w:r w:rsidR="00377D32" w:rsidRPr="007E3047">
        <w:rPr>
          <w:rFonts w:ascii="Times New Roman" w:hAnsi="Times New Roman"/>
          <w:sz w:val="24"/>
        </w:rPr>
        <w:t>o</w:t>
      </w:r>
      <w:r w:rsidRPr="007E3047">
        <w:rPr>
          <w:rFonts w:ascii="Times New Roman" w:hAnsi="Times New Roman"/>
          <w:sz w:val="24"/>
        </w:rPr>
        <w:t xml:space="preserve"> princípio imperativo de proteção igualitária e efetiva da lei e da não discriminação determina que os Estados devem se abster de produzir leis ou atos normativos em âmbito interno de caráter </w:t>
      </w:r>
      <w:r w:rsidR="00FA4004" w:rsidRPr="007E3047">
        <w:rPr>
          <w:rFonts w:ascii="Times New Roman" w:hAnsi="Times New Roman"/>
          <w:sz w:val="24"/>
        </w:rPr>
        <w:t xml:space="preserve">ou efeitos </w:t>
      </w:r>
      <w:r w:rsidRPr="007E3047">
        <w:rPr>
          <w:rFonts w:ascii="Times New Roman" w:hAnsi="Times New Roman"/>
          <w:sz w:val="24"/>
        </w:rPr>
        <w:t>discriminatório</w:t>
      </w:r>
      <w:r w:rsidR="00FA4004" w:rsidRPr="007E3047">
        <w:rPr>
          <w:rFonts w:ascii="Times New Roman" w:hAnsi="Times New Roman"/>
          <w:sz w:val="24"/>
        </w:rPr>
        <w:t>s</w:t>
      </w:r>
      <w:r w:rsidRPr="007E3047">
        <w:rPr>
          <w:rFonts w:ascii="Times New Roman" w:hAnsi="Times New Roman"/>
          <w:sz w:val="24"/>
        </w:rPr>
        <w:t xml:space="preserve"> nos diferentes grupos de uma população no momento em </w:t>
      </w:r>
      <w:r w:rsidR="0036003D" w:rsidRPr="007E3047">
        <w:rPr>
          <w:rFonts w:ascii="Times New Roman" w:hAnsi="Times New Roman"/>
          <w:sz w:val="24"/>
        </w:rPr>
        <w:t>que forem exercer seus direitos</w:t>
      </w:r>
      <w:r w:rsidRPr="007E3047">
        <w:rPr>
          <w:rStyle w:val="FootnoteReference"/>
          <w:rFonts w:ascii="Times New Roman" w:hAnsi="Times New Roman"/>
          <w:sz w:val="24"/>
        </w:rPr>
        <w:footnoteReference w:id="76"/>
      </w:r>
      <w:r w:rsidR="00FA4004" w:rsidRPr="007E3047">
        <w:rPr>
          <w:rFonts w:ascii="Times New Roman" w:hAnsi="Times New Roman"/>
          <w:sz w:val="24"/>
        </w:rPr>
        <w:t>.</w:t>
      </w:r>
    </w:p>
    <w:p w:rsidR="00124C11" w:rsidRPr="007E3047" w:rsidRDefault="00473CBC" w:rsidP="00E05032">
      <w:pPr>
        <w:spacing w:after="0" w:line="480" w:lineRule="auto"/>
        <w:ind w:firstLine="708"/>
        <w:jc w:val="both"/>
        <w:rPr>
          <w:rFonts w:ascii="Times New Roman" w:hAnsi="Times New Roman"/>
          <w:sz w:val="24"/>
        </w:rPr>
      </w:pPr>
      <w:r w:rsidRPr="007E3047">
        <w:rPr>
          <w:rFonts w:ascii="Times New Roman" w:hAnsi="Times New Roman"/>
          <w:sz w:val="24"/>
        </w:rPr>
        <w:t>Devido à</w:t>
      </w:r>
      <w:r w:rsidR="00124C11" w:rsidRPr="007E3047">
        <w:rPr>
          <w:rFonts w:ascii="Times New Roman" w:hAnsi="Times New Roman"/>
          <w:sz w:val="24"/>
        </w:rPr>
        <w:t xml:space="preserve"> conexão intrínseca que os integrantes </w:t>
      </w:r>
      <w:r w:rsidR="0036003D" w:rsidRPr="007E3047">
        <w:rPr>
          <w:rFonts w:ascii="Times New Roman" w:hAnsi="Times New Roman"/>
          <w:sz w:val="24"/>
        </w:rPr>
        <w:t>dos povos indígenas e tribais tê</w:t>
      </w:r>
      <w:r w:rsidR="00124C11" w:rsidRPr="007E3047">
        <w:rPr>
          <w:rFonts w:ascii="Times New Roman" w:hAnsi="Times New Roman"/>
          <w:sz w:val="24"/>
        </w:rPr>
        <w:t xml:space="preserve">m com seu território, a proteção </w:t>
      </w:r>
      <w:r w:rsidRPr="007E3047">
        <w:rPr>
          <w:rFonts w:ascii="Times New Roman" w:hAnsi="Times New Roman"/>
          <w:sz w:val="24"/>
        </w:rPr>
        <w:t xml:space="preserve">do direito à </w:t>
      </w:r>
      <w:r w:rsidR="00124C11" w:rsidRPr="007E3047">
        <w:rPr>
          <w:rFonts w:ascii="Times New Roman" w:hAnsi="Times New Roman"/>
          <w:sz w:val="24"/>
        </w:rPr>
        <w:t xml:space="preserve">sua posse, </w:t>
      </w:r>
      <w:r w:rsidRPr="007E3047">
        <w:rPr>
          <w:rFonts w:ascii="Times New Roman" w:hAnsi="Times New Roman"/>
          <w:sz w:val="24"/>
        </w:rPr>
        <w:t>a</w:t>
      </w:r>
      <w:r w:rsidR="00124C11" w:rsidRPr="007E3047">
        <w:rPr>
          <w:rFonts w:ascii="Times New Roman" w:hAnsi="Times New Roman"/>
          <w:sz w:val="24"/>
        </w:rPr>
        <w:t>o uso e gozo é necessária pa</w:t>
      </w:r>
      <w:r w:rsidRPr="007E3047">
        <w:rPr>
          <w:rFonts w:ascii="Times New Roman" w:hAnsi="Times New Roman"/>
          <w:sz w:val="24"/>
        </w:rPr>
        <w:t>ra garantir a sua sobrevivência</w:t>
      </w:r>
      <w:r w:rsidR="0036003D" w:rsidRPr="007E3047">
        <w:rPr>
          <w:rFonts w:ascii="Times New Roman" w:hAnsi="Times New Roman"/>
          <w:sz w:val="24"/>
        </w:rPr>
        <w:t>. O</w:t>
      </w:r>
      <w:r w:rsidR="00124C11" w:rsidRPr="007E3047">
        <w:rPr>
          <w:rFonts w:ascii="Times New Roman" w:hAnsi="Times New Roman"/>
          <w:sz w:val="24"/>
        </w:rPr>
        <w:t xml:space="preserve">u seja, o direito a usar e usufruir do território </w:t>
      </w:r>
      <w:r w:rsidR="00131018" w:rsidRPr="007E3047">
        <w:rPr>
          <w:rFonts w:ascii="Times New Roman" w:hAnsi="Times New Roman"/>
          <w:sz w:val="24"/>
        </w:rPr>
        <w:t>careceria de se</w:t>
      </w:r>
      <w:r w:rsidR="00124C11" w:rsidRPr="007E3047">
        <w:rPr>
          <w:rFonts w:ascii="Times New Roman" w:hAnsi="Times New Roman"/>
          <w:sz w:val="24"/>
        </w:rPr>
        <w:t xml:space="preserve">ntido no contexto dos povos indígenas </w:t>
      </w:r>
      <w:r w:rsidR="00131018" w:rsidRPr="007E3047">
        <w:rPr>
          <w:rFonts w:ascii="Times New Roman" w:hAnsi="Times New Roman"/>
          <w:sz w:val="24"/>
        </w:rPr>
        <w:t>e tri</w:t>
      </w:r>
      <w:r w:rsidR="00124C11" w:rsidRPr="007E3047">
        <w:rPr>
          <w:rFonts w:ascii="Times New Roman" w:hAnsi="Times New Roman"/>
          <w:sz w:val="24"/>
        </w:rPr>
        <w:t xml:space="preserve">bais </w:t>
      </w:r>
      <w:r w:rsidR="00131018" w:rsidRPr="007E3047">
        <w:rPr>
          <w:rFonts w:ascii="Times New Roman" w:hAnsi="Times New Roman"/>
          <w:sz w:val="24"/>
        </w:rPr>
        <w:t>se</w:t>
      </w:r>
      <w:r w:rsidR="0036003D" w:rsidRPr="007E3047">
        <w:rPr>
          <w:rFonts w:ascii="Times New Roman" w:hAnsi="Times New Roman"/>
          <w:sz w:val="24"/>
        </w:rPr>
        <w:t xml:space="preserve"> não estivesse vinculado à</w:t>
      </w:r>
      <w:r w:rsidR="00124C11" w:rsidRPr="007E3047">
        <w:rPr>
          <w:rFonts w:ascii="Times New Roman" w:hAnsi="Times New Roman"/>
          <w:sz w:val="24"/>
        </w:rPr>
        <w:t xml:space="preserve"> proteção dos recursos naturais que se encontram no seu território</w:t>
      </w:r>
      <w:r w:rsidR="00124C11" w:rsidRPr="007E3047">
        <w:rPr>
          <w:rStyle w:val="FootnoteReference"/>
          <w:rFonts w:ascii="Times New Roman" w:hAnsi="Times New Roman"/>
          <w:sz w:val="24"/>
        </w:rPr>
        <w:footnoteReference w:id="77"/>
      </w:r>
      <w:r w:rsidRPr="007E3047">
        <w:rPr>
          <w:rFonts w:ascii="Times New Roman" w:hAnsi="Times New Roman"/>
          <w:sz w:val="24"/>
        </w:rPr>
        <w:t>.</w:t>
      </w:r>
      <w:r w:rsidR="00131018" w:rsidRPr="007E3047">
        <w:rPr>
          <w:rFonts w:ascii="Times New Roman" w:hAnsi="Times New Roman"/>
          <w:sz w:val="24"/>
        </w:rPr>
        <w:t xml:space="preserve"> Implementou-se</w:t>
      </w:r>
      <w:r w:rsidR="0036003D" w:rsidRPr="007E3047">
        <w:rPr>
          <w:rFonts w:ascii="Times New Roman" w:hAnsi="Times New Roman"/>
          <w:sz w:val="24"/>
        </w:rPr>
        <w:t>, ainda,</w:t>
      </w:r>
      <w:r w:rsidR="00131018" w:rsidRPr="007E3047">
        <w:rPr>
          <w:rFonts w:ascii="Times New Roman" w:hAnsi="Times New Roman"/>
          <w:sz w:val="24"/>
        </w:rPr>
        <w:t xml:space="preserve"> um programa especifico de entreg</w:t>
      </w:r>
      <w:r w:rsidRPr="007E3047">
        <w:rPr>
          <w:rFonts w:ascii="Times New Roman" w:hAnsi="Times New Roman"/>
          <w:sz w:val="24"/>
        </w:rPr>
        <w:t xml:space="preserve">as de terra à Comunidade Boneca que constitui em desapropriações e adjudicações </w:t>
      </w:r>
      <w:r w:rsidR="005953B2" w:rsidRPr="007E3047">
        <w:rPr>
          <w:rFonts w:ascii="Times New Roman" w:hAnsi="Times New Roman"/>
          <w:sz w:val="24"/>
        </w:rPr>
        <w:t>de propriedades</w:t>
      </w:r>
      <w:r w:rsidR="00CE2FDC" w:rsidRPr="007E3047">
        <w:rPr>
          <w:rStyle w:val="FootnoteReference"/>
          <w:rFonts w:ascii="Times New Roman" w:hAnsi="Times New Roman"/>
          <w:sz w:val="24"/>
        </w:rPr>
        <w:footnoteReference w:id="78"/>
      </w:r>
      <w:r w:rsidR="0036003D" w:rsidRPr="007E3047">
        <w:rPr>
          <w:rFonts w:ascii="Times New Roman" w:hAnsi="Times New Roman"/>
          <w:sz w:val="24"/>
        </w:rPr>
        <w:t>.</w:t>
      </w:r>
    </w:p>
    <w:p w:rsidR="00131018" w:rsidRPr="007E3047" w:rsidRDefault="00131018" w:rsidP="00E05032">
      <w:pPr>
        <w:spacing w:after="0" w:line="480" w:lineRule="auto"/>
        <w:ind w:firstLine="708"/>
        <w:jc w:val="both"/>
        <w:rPr>
          <w:rFonts w:ascii="Times New Roman" w:hAnsi="Times New Roman"/>
          <w:sz w:val="24"/>
        </w:rPr>
      </w:pPr>
      <w:r w:rsidRPr="007E3047">
        <w:rPr>
          <w:rFonts w:ascii="Times New Roman" w:hAnsi="Times New Roman"/>
          <w:sz w:val="24"/>
        </w:rPr>
        <w:t>Constata-se que o Povo Boneca ainda possui os mesmos direitos reconhecidos constitucionalmente ao resto da população</w:t>
      </w:r>
      <w:r w:rsidRPr="007E3047">
        <w:rPr>
          <w:rStyle w:val="FootnoteReference"/>
          <w:rFonts w:ascii="Times New Roman" w:hAnsi="Times New Roman"/>
          <w:sz w:val="24"/>
        </w:rPr>
        <w:footnoteReference w:id="79"/>
      </w:r>
      <w:r w:rsidRPr="007E3047">
        <w:rPr>
          <w:rFonts w:ascii="Times New Roman" w:hAnsi="Times New Roman"/>
          <w:sz w:val="24"/>
        </w:rPr>
        <w:t xml:space="preserve"> e </w:t>
      </w:r>
      <w:r w:rsidR="00473CBC" w:rsidRPr="007E3047">
        <w:rPr>
          <w:rFonts w:ascii="Times New Roman" w:hAnsi="Times New Roman"/>
          <w:sz w:val="24"/>
        </w:rPr>
        <w:t xml:space="preserve">um </w:t>
      </w:r>
      <w:r w:rsidRPr="007E3047">
        <w:rPr>
          <w:rFonts w:ascii="Times New Roman" w:hAnsi="Times New Roman"/>
          <w:sz w:val="24"/>
        </w:rPr>
        <w:t>partido politico próprio.</w:t>
      </w:r>
    </w:p>
    <w:p w:rsidR="008F6536" w:rsidRPr="007E3047" w:rsidRDefault="00271450" w:rsidP="008F6536">
      <w:pPr>
        <w:spacing w:after="0" w:line="480" w:lineRule="auto"/>
        <w:ind w:firstLine="708"/>
        <w:jc w:val="both"/>
        <w:rPr>
          <w:rFonts w:ascii="Times New Roman" w:hAnsi="Times New Roman"/>
          <w:sz w:val="24"/>
        </w:rPr>
      </w:pPr>
      <w:r w:rsidRPr="007E3047">
        <w:rPr>
          <w:rFonts w:ascii="Times New Roman" w:hAnsi="Times New Roman"/>
          <w:sz w:val="24"/>
        </w:rPr>
        <w:t>Nas palavras</w:t>
      </w:r>
      <w:r w:rsidR="0006798B" w:rsidRPr="007E3047">
        <w:rPr>
          <w:rFonts w:ascii="Times New Roman" w:hAnsi="Times New Roman"/>
          <w:sz w:val="24"/>
        </w:rPr>
        <w:t xml:space="preserve"> de Boaventura de Souza Santos</w:t>
      </w:r>
      <w:r w:rsidR="0036003D" w:rsidRPr="007E3047">
        <w:rPr>
          <w:rFonts w:ascii="Times New Roman" w:hAnsi="Times New Roman"/>
          <w:sz w:val="24"/>
        </w:rPr>
        <w:t>, "t</w:t>
      </w:r>
      <w:r w:rsidR="0006798B" w:rsidRPr="007E3047">
        <w:rPr>
          <w:rFonts w:ascii="Times New Roman" w:hAnsi="Times New Roman"/>
          <w:sz w:val="24"/>
        </w:rPr>
        <w:t xml:space="preserve">emos o direito a ser iguais quando a nossa diferença nos inferioriza; e temos o direito a ser diferentes quando a nossa igualdade nos </w:t>
      </w:r>
      <w:r w:rsidR="0006798B" w:rsidRPr="007E3047">
        <w:rPr>
          <w:rFonts w:ascii="Times New Roman" w:hAnsi="Times New Roman"/>
          <w:sz w:val="24"/>
        </w:rPr>
        <w:lastRenderedPageBreak/>
        <w:t>descaracteriza. Daí a necessidade de uma igualdade que reconheça as diferenças e de uma diferença que não produza, aliment</w:t>
      </w:r>
      <w:r w:rsidR="005974FA" w:rsidRPr="007E3047">
        <w:rPr>
          <w:rFonts w:ascii="Times New Roman" w:hAnsi="Times New Roman"/>
          <w:sz w:val="24"/>
        </w:rPr>
        <w:t>e ou reproduza as desigualdades</w:t>
      </w:r>
      <w:r w:rsidR="0006798B" w:rsidRPr="007E3047">
        <w:rPr>
          <w:rFonts w:ascii="Times New Roman" w:hAnsi="Times New Roman"/>
          <w:sz w:val="24"/>
        </w:rPr>
        <w:t>"</w:t>
      </w:r>
      <w:r w:rsidRPr="007E3047">
        <w:rPr>
          <w:rStyle w:val="FootnoteReference"/>
          <w:rFonts w:ascii="Times New Roman" w:hAnsi="Times New Roman"/>
          <w:sz w:val="24"/>
        </w:rPr>
        <w:footnoteReference w:id="80"/>
      </w:r>
      <w:r w:rsidR="005974FA" w:rsidRPr="007E3047">
        <w:rPr>
          <w:rFonts w:ascii="Times New Roman" w:hAnsi="Times New Roman"/>
          <w:sz w:val="24"/>
        </w:rPr>
        <w:t xml:space="preserve">. </w:t>
      </w:r>
    </w:p>
    <w:p w:rsidR="00104D2C" w:rsidRPr="007E3047" w:rsidRDefault="0039362C" w:rsidP="008F6536">
      <w:pPr>
        <w:spacing w:after="0" w:line="480" w:lineRule="auto"/>
        <w:ind w:firstLine="708"/>
        <w:jc w:val="both"/>
        <w:rPr>
          <w:rFonts w:ascii="Times New Roman" w:hAnsi="Times New Roman"/>
          <w:sz w:val="24"/>
        </w:rPr>
      </w:pPr>
      <w:r w:rsidRPr="007E3047">
        <w:rPr>
          <w:rFonts w:ascii="Times New Roman" w:hAnsi="Times New Roman"/>
          <w:sz w:val="24"/>
        </w:rPr>
        <w:t xml:space="preserve">Em razão disso, verifica-se </w:t>
      </w:r>
      <w:r w:rsidR="0036003D" w:rsidRPr="007E3047">
        <w:rPr>
          <w:rFonts w:ascii="Times New Roman" w:hAnsi="Times New Roman"/>
          <w:sz w:val="24"/>
        </w:rPr>
        <w:t>que o</w:t>
      </w:r>
      <w:r w:rsidR="003653C8" w:rsidRPr="007E3047">
        <w:rPr>
          <w:rFonts w:ascii="Times New Roman" w:hAnsi="Times New Roman"/>
          <w:sz w:val="24"/>
        </w:rPr>
        <w:t xml:space="preserve"> Estado</w:t>
      </w:r>
      <w:r w:rsidR="0036003D" w:rsidRPr="007E3047">
        <w:rPr>
          <w:rFonts w:ascii="Times New Roman" w:hAnsi="Times New Roman"/>
          <w:sz w:val="24"/>
        </w:rPr>
        <w:t xml:space="preserve"> não deve ser responsabilizado</w:t>
      </w:r>
      <w:r w:rsidR="003653C8" w:rsidRPr="007E3047">
        <w:rPr>
          <w:rFonts w:ascii="Times New Roman" w:hAnsi="Times New Roman"/>
          <w:sz w:val="24"/>
        </w:rPr>
        <w:t xml:space="preserve"> pela violação do art.</w:t>
      </w:r>
      <w:r w:rsidRPr="007E3047">
        <w:rPr>
          <w:rFonts w:ascii="Times New Roman" w:hAnsi="Times New Roman"/>
          <w:sz w:val="24"/>
        </w:rPr>
        <w:t xml:space="preserve"> 24 da CADH.</w:t>
      </w:r>
    </w:p>
    <w:p w:rsidR="00711D67" w:rsidRPr="007E3047" w:rsidRDefault="00711D67" w:rsidP="008F6536">
      <w:pPr>
        <w:spacing w:after="0" w:line="480" w:lineRule="auto"/>
        <w:ind w:firstLine="708"/>
        <w:jc w:val="both"/>
        <w:rPr>
          <w:rFonts w:ascii="Times New Roman" w:hAnsi="Times New Roman"/>
          <w:sz w:val="24"/>
        </w:rPr>
      </w:pPr>
    </w:p>
    <w:p w:rsidR="00076483" w:rsidRPr="007E3047" w:rsidRDefault="00D70682" w:rsidP="00C71FA6">
      <w:pPr>
        <w:spacing w:after="0" w:line="480" w:lineRule="auto"/>
        <w:jc w:val="both"/>
        <w:rPr>
          <w:rFonts w:ascii="Times New Roman" w:hAnsi="Times New Roman"/>
          <w:b/>
          <w:sz w:val="24"/>
          <w:szCs w:val="24"/>
        </w:rPr>
      </w:pPr>
      <w:r w:rsidRPr="007E3047">
        <w:rPr>
          <w:rFonts w:ascii="Times New Roman" w:hAnsi="Times New Roman"/>
          <w:b/>
          <w:sz w:val="24"/>
          <w:szCs w:val="24"/>
        </w:rPr>
        <w:t xml:space="preserve">7. </w:t>
      </w:r>
      <w:r w:rsidR="00711D67" w:rsidRPr="007E3047">
        <w:rPr>
          <w:rFonts w:ascii="Times New Roman" w:hAnsi="Times New Roman"/>
          <w:b/>
          <w:sz w:val="24"/>
          <w:szCs w:val="24"/>
        </w:rPr>
        <w:t>SOLICITAÇÃO DE ASSISTÊNCIA</w:t>
      </w:r>
    </w:p>
    <w:p w:rsidR="00C5174E" w:rsidRPr="007E3047" w:rsidRDefault="00C71FA6" w:rsidP="0007206E">
      <w:pPr>
        <w:spacing w:after="0" w:line="480" w:lineRule="auto"/>
        <w:ind w:firstLine="708"/>
        <w:jc w:val="both"/>
        <w:rPr>
          <w:rFonts w:ascii="Times New Roman" w:hAnsi="Times New Roman"/>
          <w:sz w:val="24"/>
          <w:szCs w:val="24"/>
        </w:rPr>
      </w:pPr>
      <w:r w:rsidRPr="007E3047">
        <w:rPr>
          <w:rFonts w:ascii="Times New Roman" w:hAnsi="Times New Roman"/>
          <w:sz w:val="24"/>
          <w:szCs w:val="24"/>
        </w:rPr>
        <w:t xml:space="preserve">Tendo por base </w:t>
      </w:r>
      <w:r w:rsidR="0036003D" w:rsidRPr="007E3047">
        <w:rPr>
          <w:rFonts w:ascii="Times New Roman" w:hAnsi="Times New Roman"/>
          <w:sz w:val="24"/>
          <w:szCs w:val="24"/>
        </w:rPr>
        <w:t>todo o exposto</w:t>
      </w:r>
      <w:r w:rsidRPr="007E3047">
        <w:rPr>
          <w:rFonts w:ascii="Times New Roman" w:hAnsi="Times New Roman"/>
          <w:sz w:val="24"/>
          <w:szCs w:val="24"/>
        </w:rPr>
        <w:t xml:space="preserve">, o Estado de Cardenal vem, respeitosamente, apresentar sua </w:t>
      </w:r>
      <w:r w:rsidR="008F6536" w:rsidRPr="007E3047">
        <w:rPr>
          <w:rFonts w:ascii="Times New Roman" w:hAnsi="Times New Roman"/>
          <w:sz w:val="24"/>
          <w:szCs w:val="24"/>
        </w:rPr>
        <w:t>demanda</w:t>
      </w:r>
      <w:r w:rsidR="0036003D" w:rsidRPr="007E3047">
        <w:rPr>
          <w:rFonts w:ascii="Times New Roman" w:hAnsi="Times New Roman"/>
          <w:sz w:val="24"/>
          <w:szCs w:val="24"/>
        </w:rPr>
        <w:t xml:space="preserve"> perante a Corte IDH em face do R</w:t>
      </w:r>
      <w:r w:rsidR="008F6536" w:rsidRPr="007E3047">
        <w:rPr>
          <w:rFonts w:ascii="Times New Roman" w:hAnsi="Times New Roman"/>
          <w:sz w:val="24"/>
          <w:szCs w:val="24"/>
        </w:rPr>
        <w:t xml:space="preserve">elatório de mérito emitido pela </w:t>
      </w:r>
      <w:r w:rsidR="001D7395" w:rsidRPr="007E3047">
        <w:rPr>
          <w:rFonts w:ascii="Times New Roman" w:hAnsi="Times New Roman"/>
          <w:sz w:val="24"/>
          <w:szCs w:val="24"/>
        </w:rPr>
        <w:t>CIDH</w:t>
      </w:r>
      <w:r w:rsidR="008F6536" w:rsidRPr="007E3047">
        <w:rPr>
          <w:rFonts w:ascii="Times New Roman" w:hAnsi="Times New Roman"/>
          <w:sz w:val="24"/>
          <w:szCs w:val="24"/>
        </w:rPr>
        <w:t xml:space="preserve"> em janeiro de 2013</w:t>
      </w:r>
      <w:r w:rsidRPr="007E3047">
        <w:rPr>
          <w:rFonts w:ascii="Times New Roman" w:hAnsi="Times New Roman"/>
          <w:sz w:val="24"/>
          <w:szCs w:val="24"/>
        </w:rPr>
        <w:t>,</w:t>
      </w:r>
      <w:r w:rsidR="0036003D" w:rsidRPr="007E3047">
        <w:rPr>
          <w:rFonts w:ascii="Times New Roman" w:hAnsi="Times New Roman"/>
          <w:sz w:val="24"/>
          <w:szCs w:val="24"/>
        </w:rPr>
        <w:t xml:space="preserve"> </w:t>
      </w:r>
      <w:r w:rsidR="008F6536" w:rsidRPr="007E3047">
        <w:rPr>
          <w:rFonts w:ascii="Times New Roman" w:hAnsi="Times New Roman"/>
          <w:sz w:val="24"/>
          <w:szCs w:val="24"/>
        </w:rPr>
        <w:t>a fim de requerer</w:t>
      </w:r>
      <w:r w:rsidR="00C5174E" w:rsidRPr="007E3047">
        <w:rPr>
          <w:rFonts w:ascii="Times New Roman" w:hAnsi="Times New Roman"/>
          <w:sz w:val="24"/>
          <w:szCs w:val="24"/>
        </w:rPr>
        <w:t>:</w:t>
      </w:r>
    </w:p>
    <w:p w:rsidR="00C5174E" w:rsidRPr="007E3047" w:rsidRDefault="0036003D" w:rsidP="00C5174E">
      <w:pPr>
        <w:pStyle w:val="ListParagraph"/>
        <w:numPr>
          <w:ilvl w:val="0"/>
          <w:numId w:val="13"/>
        </w:numPr>
        <w:spacing w:after="0" w:line="480" w:lineRule="auto"/>
        <w:jc w:val="both"/>
        <w:rPr>
          <w:rFonts w:ascii="Times New Roman" w:hAnsi="Times New Roman"/>
          <w:b/>
          <w:bCs/>
          <w:sz w:val="24"/>
          <w:szCs w:val="24"/>
        </w:rPr>
      </w:pPr>
      <w:r w:rsidRPr="007E3047">
        <w:rPr>
          <w:rFonts w:ascii="Times New Roman" w:hAnsi="Times New Roman"/>
          <w:sz w:val="24"/>
          <w:szCs w:val="24"/>
        </w:rPr>
        <w:t>Q</w:t>
      </w:r>
      <w:r w:rsidR="00C5174E" w:rsidRPr="007E3047">
        <w:rPr>
          <w:rFonts w:ascii="Times New Roman" w:hAnsi="Times New Roman"/>
          <w:sz w:val="24"/>
          <w:szCs w:val="24"/>
        </w:rPr>
        <w:t>ue sejam conhecidas e julgadas proce</w:t>
      </w:r>
      <w:r w:rsidR="008F6536" w:rsidRPr="007E3047">
        <w:rPr>
          <w:rFonts w:ascii="Times New Roman" w:hAnsi="Times New Roman"/>
          <w:sz w:val="24"/>
          <w:szCs w:val="24"/>
        </w:rPr>
        <w:t xml:space="preserve">dentes as </w:t>
      </w:r>
      <w:r w:rsidRPr="007E3047">
        <w:rPr>
          <w:rFonts w:ascii="Times New Roman" w:hAnsi="Times New Roman"/>
          <w:sz w:val="24"/>
          <w:szCs w:val="24"/>
        </w:rPr>
        <w:t xml:space="preserve">exceções </w:t>
      </w:r>
      <w:r w:rsidR="008F6536" w:rsidRPr="007E3047">
        <w:rPr>
          <w:rFonts w:ascii="Times New Roman" w:hAnsi="Times New Roman"/>
          <w:sz w:val="24"/>
          <w:szCs w:val="24"/>
        </w:rPr>
        <w:t>preliminares arguidas;</w:t>
      </w:r>
    </w:p>
    <w:p w:rsidR="00C71FA6" w:rsidRPr="007E3047" w:rsidRDefault="0036003D" w:rsidP="00C5174E">
      <w:pPr>
        <w:pStyle w:val="ListParagraph"/>
        <w:numPr>
          <w:ilvl w:val="0"/>
          <w:numId w:val="13"/>
        </w:numPr>
        <w:spacing w:after="0" w:line="480" w:lineRule="auto"/>
        <w:jc w:val="both"/>
        <w:rPr>
          <w:rStyle w:val="BookTitle"/>
          <w:rFonts w:ascii="Times New Roman" w:hAnsi="Times New Roman"/>
          <w:smallCaps w:val="0"/>
          <w:spacing w:val="0"/>
          <w:sz w:val="24"/>
          <w:szCs w:val="24"/>
        </w:rPr>
      </w:pPr>
      <w:r w:rsidRPr="007E3047">
        <w:rPr>
          <w:rFonts w:ascii="Times New Roman" w:hAnsi="Times New Roman"/>
          <w:sz w:val="24"/>
          <w:szCs w:val="24"/>
        </w:rPr>
        <w:t>C</w:t>
      </w:r>
      <w:r w:rsidR="00C5174E" w:rsidRPr="007E3047">
        <w:rPr>
          <w:rFonts w:ascii="Times New Roman" w:hAnsi="Times New Roman"/>
          <w:sz w:val="24"/>
          <w:szCs w:val="24"/>
        </w:rPr>
        <w:t>aso esta Corte</w:t>
      </w:r>
      <w:r w:rsidRPr="007E3047">
        <w:rPr>
          <w:rFonts w:ascii="Times New Roman" w:hAnsi="Times New Roman"/>
          <w:sz w:val="24"/>
          <w:szCs w:val="24"/>
        </w:rPr>
        <w:t xml:space="preserve"> IDH</w:t>
      </w:r>
      <w:r w:rsidR="00C5174E" w:rsidRPr="007E3047">
        <w:rPr>
          <w:rFonts w:ascii="Times New Roman" w:hAnsi="Times New Roman"/>
          <w:sz w:val="24"/>
          <w:szCs w:val="24"/>
        </w:rPr>
        <w:t xml:space="preserve"> assim não entenda</w:t>
      </w:r>
      <w:r w:rsidR="008F6536" w:rsidRPr="007E3047">
        <w:rPr>
          <w:rFonts w:ascii="Times New Roman" w:hAnsi="Times New Roman"/>
          <w:sz w:val="24"/>
          <w:szCs w:val="24"/>
        </w:rPr>
        <w:t>,</w:t>
      </w:r>
      <w:r w:rsidRPr="007E3047">
        <w:rPr>
          <w:rFonts w:ascii="Times New Roman" w:hAnsi="Times New Roman"/>
          <w:sz w:val="24"/>
          <w:szCs w:val="24"/>
        </w:rPr>
        <w:t xml:space="preserve"> </w:t>
      </w:r>
      <w:r w:rsidR="008F6536" w:rsidRPr="007E3047">
        <w:rPr>
          <w:rFonts w:ascii="Times New Roman" w:hAnsi="Times New Roman"/>
          <w:sz w:val="24"/>
          <w:szCs w:val="24"/>
        </w:rPr>
        <w:t xml:space="preserve">que </w:t>
      </w:r>
      <w:r w:rsidR="00C5174E" w:rsidRPr="007E3047">
        <w:rPr>
          <w:rFonts w:ascii="Times New Roman" w:hAnsi="Times New Roman"/>
          <w:sz w:val="24"/>
          <w:szCs w:val="24"/>
        </w:rPr>
        <w:t xml:space="preserve">seja </w:t>
      </w:r>
      <w:r w:rsidR="008F6536" w:rsidRPr="007E3047">
        <w:rPr>
          <w:rFonts w:ascii="Times New Roman" w:hAnsi="Times New Roman"/>
          <w:sz w:val="24"/>
          <w:szCs w:val="24"/>
        </w:rPr>
        <w:t xml:space="preserve">reconhecida a </w:t>
      </w:r>
      <w:r w:rsidR="008F6536" w:rsidRPr="007E3047">
        <w:rPr>
          <w:rFonts w:ascii="Times New Roman" w:hAnsi="Times New Roman"/>
          <w:b/>
          <w:sz w:val="24"/>
          <w:szCs w:val="24"/>
        </w:rPr>
        <w:t>não</w:t>
      </w:r>
      <w:r w:rsidR="008F6536" w:rsidRPr="007E3047">
        <w:rPr>
          <w:rFonts w:ascii="Times New Roman" w:hAnsi="Times New Roman"/>
          <w:sz w:val="24"/>
          <w:szCs w:val="24"/>
        </w:rPr>
        <w:t xml:space="preserve"> </w:t>
      </w:r>
      <w:r w:rsidR="00C71FA6" w:rsidRPr="007E3047">
        <w:rPr>
          <w:rFonts w:ascii="Times New Roman" w:hAnsi="Times New Roman"/>
          <w:sz w:val="24"/>
          <w:szCs w:val="24"/>
        </w:rPr>
        <w:t>responsabilidade internacional do Estado p</w:t>
      </w:r>
      <w:r w:rsidR="008F6536" w:rsidRPr="007E3047">
        <w:rPr>
          <w:rFonts w:ascii="Times New Roman" w:hAnsi="Times New Roman"/>
          <w:sz w:val="24"/>
          <w:szCs w:val="24"/>
        </w:rPr>
        <w:t>elas</w:t>
      </w:r>
      <w:r w:rsidRPr="007E3047">
        <w:rPr>
          <w:rFonts w:ascii="Times New Roman" w:hAnsi="Times New Roman"/>
          <w:sz w:val="24"/>
          <w:szCs w:val="24"/>
        </w:rPr>
        <w:t xml:space="preserve"> supostas violações d</w:t>
      </w:r>
      <w:r w:rsidR="00C71FA6" w:rsidRPr="007E3047">
        <w:rPr>
          <w:rFonts w:ascii="Times New Roman" w:hAnsi="Times New Roman"/>
          <w:sz w:val="24"/>
          <w:szCs w:val="24"/>
        </w:rPr>
        <w:t xml:space="preserve">os artigos 3º, 4º, 5º, 7º, 8º, 24 e 25 à luz dos artigos 1.1 e 2 da CADH. </w:t>
      </w:r>
    </w:p>
    <w:p w:rsidR="00C71FA6" w:rsidRPr="007E3047" w:rsidRDefault="00C71FA6" w:rsidP="00B54E53">
      <w:pPr>
        <w:spacing w:line="480" w:lineRule="auto"/>
        <w:jc w:val="both"/>
        <w:rPr>
          <w:rFonts w:ascii="Times New Roman" w:hAnsi="Times New Roman"/>
          <w:b/>
          <w:sz w:val="24"/>
        </w:rPr>
      </w:pPr>
    </w:p>
    <w:sectPr w:rsidR="00C71FA6" w:rsidRPr="007E3047" w:rsidSect="007E3047">
      <w:headerReference w:type="default" r:id="rId12"/>
      <w:footerReference w:type="default" r:id="rId13"/>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6E8" w:rsidRDefault="00DD56E8" w:rsidP="005750A8">
      <w:pPr>
        <w:spacing w:after="0" w:line="240" w:lineRule="auto"/>
      </w:pPr>
      <w:r>
        <w:separator/>
      </w:r>
    </w:p>
  </w:endnote>
  <w:endnote w:type="continuationSeparator" w:id="0">
    <w:p w:rsidR="00DD56E8" w:rsidRDefault="00DD56E8" w:rsidP="0057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E0" w:rsidRDefault="00C50BE0">
    <w:pPr>
      <w:pStyle w:val="Footer"/>
      <w:jc w:val="right"/>
    </w:pPr>
    <w:r>
      <w:fldChar w:fldCharType="begin"/>
    </w:r>
    <w:r>
      <w:instrText xml:space="preserve"> PAGE   \* MERGEFORMAT </w:instrText>
    </w:r>
    <w:r>
      <w:fldChar w:fldCharType="separate"/>
    </w:r>
    <w:r w:rsidR="00634A80">
      <w:rPr>
        <w:noProof/>
      </w:rPr>
      <w:t>1</w:t>
    </w:r>
    <w:r>
      <w:rPr>
        <w:noProof/>
      </w:rPr>
      <w:fldChar w:fldCharType="end"/>
    </w:r>
  </w:p>
  <w:p w:rsidR="00C50BE0" w:rsidRDefault="00C5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6E8" w:rsidRDefault="00DD56E8" w:rsidP="005750A8">
      <w:pPr>
        <w:spacing w:after="0" w:line="240" w:lineRule="auto"/>
      </w:pPr>
      <w:r>
        <w:separator/>
      </w:r>
    </w:p>
  </w:footnote>
  <w:footnote w:type="continuationSeparator" w:id="0">
    <w:p w:rsidR="00DD56E8" w:rsidRDefault="00DD56E8" w:rsidP="005750A8">
      <w:pPr>
        <w:spacing w:after="0" w:line="240" w:lineRule="auto"/>
      </w:pPr>
      <w:r>
        <w:continuationSeparator/>
      </w:r>
    </w:p>
  </w:footnote>
  <w:footnote w:id="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28.</w:t>
      </w:r>
    </w:p>
  </w:footnote>
  <w:footnote w:id="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58.</w:t>
      </w:r>
    </w:p>
  </w:footnote>
  <w:footnote w:id="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Pr>
          <w:rFonts w:ascii="Times New Roman" w:hAnsi="Times New Roman"/>
        </w:rPr>
        <w:t>Corte IDH.</w:t>
      </w:r>
      <w:r w:rsidRPr="00B85892">
        <w:rPr>
          <w:rFonts w:ascii="Times New Roman" w:hAnsi="Times New Roman"/>
        </w:rPr>
        <w:t xml:space="preserve"> Caso </w:t>
      </w:r>
      <w:r w:rsidRPr="00B85892">
        <w:rPr>
          <w:rFonts w:ascii="Times New Roman" w:hAnsi="Times New Roman"/>
          <w:i/>
        </w:rPr>
        <w:t xml:space="preserve">Durand Ugarte vs. </w:t>
      </w:r>
      <w:r>
        <w:rPr>
          <w:rFonts w:ascii="Times New Roman" w:hAnsi="Times New Roman"/>
          <w:i/>
        </w:rPr>
        <w:t>Peru</w:t>
      </w:r>
      <w:r w:rsidRPr="00B85892">
        <w:rPr>
          <w:rFonts w:ascii="Times New Roman" w:hAnsi="Times New Roman"/>
        </w:rPr>
        <w:t>, Sentença de Mérito, 2000, Série C, nº 89, par. 69.</w:t>
      </w:r>
    </w:p>
  </w:footnote>
  <w:footnote w:id="4">
    <w:p w:rsidR="00C50BE0" w:rsidRPr="007E3047"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7E3047">
        <w:rPr>
          <w:rFonts w:ascii="Times New Roman" w:hAnsi="Times New Roman"/>
        </w:rPr>
        <w:t xml:space="preserve"> Corte IDH. </w:t>
      </w:r>
      <w:r w:rsidRPr="007E3047">
        <w:rPr>
          <w:rFonts w:ascii="Times New Roman" w:hAnsi="Times New Roman"/>
          <w:bCs/>
        </w:rPr>
        <w:t xml:space="preserve">Caso </w:t>
      </w:r>
      <w:r w:rsidRPr="007E3047">
        <w:rPr>
          <w:rFonts w:ascii="Times New Roman" w:hAnsi="Times New Roman"/>
          <w:bCs/>
          <w:i/>
        </w:rPr>
        <w:t>Juan Humberto Sánchez vs. Honduras</w:t>
      </w:r>
      <w:r w:rsidRPr="007E3047">
        <w:rPr>
          <w:rFonts w:ascii="Times New Roman" w:hAnsi="Times New Roman"/>
          <w:bCs/>
        </w:rPr>
        <w:t>. Sentença de Exceções Preliminares, Mérito, Reparações e Custas,</w:t>
      </w:r>
      <w:r w:rsidRPr="007E3047">
        <w:rPr>
          <w:rFonts w:ascii="Times New Roman" w:hAnsi="Times New Roman"/>
        </w:rPr>
        <w:t xml:space="preserve"> 2003, Serie C, nº 99, par. 86; Corte IDH. Caso </w:t>
      </w:r>
      <w:r w:rsidRPr="007E3047">
        <w:rPr>
          <w:rFonts w:ascii="Times New Roman" w:hAnsi="Times New Roman"/>
          <w:i/>
        </w:rPr>
        <w:t>Bulacio vs. Argentina.</w:t>
      </w:r>
      <w:r w:rsidRPr="007E3047">
        <w:rPr>
          <w:rFonts w:ascii="Times New Roman" w:hAnsi="Times New Roman"/>
        </w:rPr>
        <w:t xml:space="preserve"> Sentença de Mérito, Reparações e Custas, 2003, Serie C, n</w:t>
      </w:r>
      <w:r w:rsidRPr="007E3047">
        <w:rPr>
          <w:rFonts w:ascii="Times New Roman" w:hAnsi="Times New Roman"/>
          <w:vertAlign w:val="superscript"/>
        </w:rPr>
        <w:t>o</w:t>
      </w:r>
      <w:r w:rsidRPr="007E3047">
        <w:rPr>
          <w:rFonts w:ascii="Times New Roman" w:hAnsi="Times New Roman"/>
        </w:rPr>
        <w:t xml:space="preserve"> 100,  par. 124.</w:t>
      </w:r>
    </w:p>
  </w:footnote>
  <w:footnote w:id="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lang w:val="es-ES"/>
        </w:rPr>
        <w:t xml:space="preserve"> LEDESMA, Héctor Faúndez. </w:t>
      </w:r>
      <w:r w:rsidRPr="00B85892">
        <w:rPr>
          <w:rFonts w:ascii="Times New Roman" w:hAnsi="Times New Roman"/>
          <w:i/>
          <w:lang w:val="es-ES"/>
        </w:rPr>
        <w:t>El Sistema Interamericano de Protección de los Derechos Humanos: aspectos institucionales e procesales</w:t>
      </w:r>
      <w:r w:rsidRPr="00B85892">
        <w:rPr>
          <w:rFonts w:ascii="Times New Roman" w:hAnsi="Times New Roman"/>
          <w:lang w:val="es-ES"/>
        </w:rPr>
        <w:t xml:space="preserve">. </w:t>
      </w:r>
      <w:r w:rsidRPr="00B85892">
        <w:rPr>
          <w:rFonts w:ascii="Times New Roman" w:hAnsi="Times New Roman"/>
        </w:rPr>
        <w:t xml:space="preserve">IIDH: São José, 1999, pág. 228. </w:t>
      </w:r>
    </w:p>
  </w:footnote>
  <w:footnote w:id="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Masacre de Santo Domingo</w:t>
      </w:r>
      <w:r w:rsidRPr="00B85892">
        <w:rPr>
          <w:rFonts w:ascii="Times New Roman" w:hAnsi="Times New Roman"/>
        </w:rPr>
        <w:t xml:space="preserve"> </w:t>
      </w:r>
      <w:r>
        <w:rPr>
          <w:rFonts w:ascii="Times New Roman" w:hAnsi="Times New Roman"/>
          <w:i/>
        </w:rPr>
        <w:t>v</w:t>
      </w:r>
      <w:r w:rsidRPr="00B85892">
        <w:rPr>
          <w:rFonts w:ascii="Times New Roman" w:hAnsi="Times New Roman"/>
          <w:i/>
        </w:rPr>
        <w:t xml:space="preserve">s. </w:t>
      </w:r>
      <w:r w:rsidRPr="007E3047">
        <w:rPr>
          <w:rFonts w:ascii="Times New Roman" w:hAnsi="Times New Roman"/>
          <w:i/>
        </w:rPr>
        <w:t>Colombia</w:t>
      </w:r>
      <w:r w:rsidRPr="007E3047">
        <w:rPr>
          <w:rFonts w:ascii="Times New Roman" w:hAnsi="Times New Roman"/>
        </w:rPr>
        <w:t>. Sentença de Exceções Preliminares, Mérito e Reparações, 2012, Serie C, n</w:t>
      </w:r>
      <w:r w:rsidRPr="007E3047">
        <w:rPr>
          <w:rFonts w:ascii="Times New Roman" w:hAnsi="Times New Roman"/>
          <w:vertAlign w:val="superscript"/>
        </w:rPr>
        <w:t>o</w:t>
      </w:r>
      <w:r w:rsidRPr="007E3047">
        <w:rPr>
          <w:rFonts w:ascii="Times New Roman" w:hAnsi="Times New Roman"/>
        </w:rPr>
        <w:t xml:space="preserve"> 259, par. 142. Corte IDH. Caso </w:t>
      </w:r>
      <w:r w:rsidRPr="007E3047">
        <w:rPr>
          <w:rFonts w:ascii="Times New Roman" w:hAnsi="Times New Roman"/>
          <w:i/>
        </w:rPr>
        <w:t>Acevedo Jaramillo e outros</w:t>
      </w:r>
      <w:r w:rsidRPr="007E3047">
        <w:rPr>
          <w:rFonts w:ascii="Times New Roman" w:hAnsi="Times New Roman"/>
        </w:rPr>
        <w:t xml:space="preserve"> </w:t>
      </w:r>
      <w:r w:rsidRPr="007E3047">
        <w:rPr>
          <w:rFonts w:ascii="Times New Roman" w:hAnsi="Times New Roman"/>
          <w:i/>
        </w:rPr>
        <w:t>vs. Peru</w:t>
      </w:r>
      <w:r w:rsidRPr="007E3047">
        <w:rPr>
          <w:rFonts w:ascii="Times New Roman" w:hAnsi="Times New Roman"/>
        </w:rPr>
        <w:t xml:space="preserve">. Interpretação da Sentença de Exceções Preliminares, Mérito, Reparações e Custas, </w:t>
      </w:r>
      <w:r w:rsidRPr="00B85892">
        <w:rPr>
          <w:rFonts w:ascii="Times New Roman" w:hAnsi="Times New Roman"/>
        </w:rPr>
        <w:t>2006,</w:t>
      </w:r>
      <w:r>
        <w:rPr>
          <w:rFonts w:ascii="Times New Roman" w:hAnsi="Times New Roman"/>
        </w:rPr>
        <w:t xml:space="preserve"> Serie C, n</w:t>
      </w:r>
      <w:r w:rsidRPr="00577F97">
        <w:rPr>
          <w:rFonts w:ascii="Times New Roman" w:hAnsi="Times New Roman"/>
          <w:vertAlign w:val="superscript"/>
        </w:rPr>
        <w:t>o</w:t>
      </w:r>
      <w:r>
        <w:rPr>
          <w:rFonts w:ascii="Times New Roman" w:hAnsi="Times New Roman"/>
        </w:rPr>
        <w:t xml:space="preserve"> 157, par</w:t>
      </w:r>
      <w:r w:rsidRPr="00B85892">
        <w:rPr>
          <w:rFonts w:ascii="Times New Roman" w:hAnsi="Times New Roman"/>
        </w:rPr>
        <w:t>. 66.</w:t>
      </w:r>
    </w:p>
  </w:footnote>
  <w:footnote w:id="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24.</w:t>
      </w:r>
    </w:p>
  </w:footnote>
  <w:footnote w:id="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xml:space="preserve">, par. 50. </w:t>
      </w:r>
    </w:p>
  </w:footnote>
  <w:footnote w:id="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nº 21.</w:t>
      </w:r>
    </w:p>
  </w:footnote>
  <w:footnote w:id="1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Informação disponível em </w:t>
      </w:r>
      <w:hyperlink r:id="rId1" w:history="1">
        <w:r w:rsidRPr="00B85892">
          <w:rPr>
            <w:rStyle w:val="Hyperlink"/>
            <w:rFonts w:ascii="Times New Roman" w:hAnsi="Times New Roman"/>
            <w:color w:val="auto"/>
          </w:rPr>
          <w:t>http://www.militarypower.com.br/mundo.htm</w:t>
        </w:r>
      </w:hyperlink>
      <w:r w:rsidRPr="00B85892">
        <w:rPr>
          <w:rFonts w:ascii="Times New Roman" w:hAnsi="Times New Roman"/>
        </w:rPr>
        <w:t>. Argentina atualmente conta com 45.500, Cuba com 40.000.</w:t>
      </w:r>
    </w:p>
  </w:footnote>
  <w:footnote w:id="11">
    <w:p w:rsidR="00C50BE0" w:rsidRPr="0020085D"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Convenção de Viena dos Direitos dos Tratados, art. 53. Corte IDH. </w:t>
      </w:r>
      <w:r w:rsidRPr="00D1190E">
        <w:rPr>
          <w:rFonts w:ascii="Times New Roman" w:hAnsi="Times New Roman"/>
        </w:rPr>
        <w:t xml:space="preserve">Caso </w:t>
      </w:r>
      <w:r w:rsidRPr="00D1190E">
        <w:rPr>
          <w:rFonts w:ascii="Times New Roman" w:hAnsi="Times New Roman"/>
          <w:i/>
        </w:rPr>
        <w:t>Gomes Lund e outros vs Brasil</w:t>
      </w:r>
      <w:r>
        <w:rPr>
          <w:rFonts w:ascii="Times New Roman" w:hAnsi="Times New Roman"/>
          <w:i/>
        </w:rPr>
        <w:t>.</w:t>
      </w:r>
      <w:r w:rsidRPr="00B85892">
        <w:rPr>
          <w:rFonts w:ascii="Times New Roman" w:hAnsi="Times New Roman"/>
        </w:rPr>
        <w:t xml:space="preserve"> Voto fundamentado do juiz </w:t>
      </w:r>
      <w:r w:rsidRPr="00B85892">
        <w:rPr>
          <w:rFonts w:ascii="Times New Roman" w:hAnsi="Times New Roman"/>
          <w:i/>
        </w:rPr>
        <w:t>ad hoc</w:t>
      </w:r>
      <w:r w:rsidRPr="00B85892">
        <w:rPr>
          <w:rFonts w:ascii="Times New Roman" w:hAnsi="Times New Roman"/>
        </w:rPr>
        <w:t xml:space="preserve"> Roberto Caldas, </w:t>
      </w:r>
      <w:r>
        <w:rPr>
          <w:rFonts w:ascii="Times New Roman" w:hAnsi="Times New Roman"/>
        </w:rPr>
        <w:t>Serie C, n</w:t>
      </w:r>
      <w:r w:rsidRPr="00B10FC5">
        <w:rPr>
          <w:rFonts w:ascii="Times New Roman" w:hAnsi="Times New Roman"/>
          <w:vertAlign w:val="superscript"/>
        </w:rPr>
        <w:t>o</w:t>
      </w:r>
      <w:r>
        <w:rPr>
          <w:rFonts w:ascii="Times New Roman" w:hAnsi="Times New Roman"/>
        </w:rPr>
        <w:t xml:space="preserve"> 219, </w:t>
      </w:r>
      <w:r w:rsidRPr="00B85892">
        <w:rPr>
          <w:rFonts w:ascii="Times New Roman" w:hAnsi="Times New Roman"/>
        </w:rPr>
        <w:t xml:space="preserve">pars. </w:t>
      </w:r>
      <w:r w:rsidRPr="0020085D">
        <w:rPr>
          <w:rFonts w:ascii="Times New Roman" w:hAnsi="Times New Roman"/>
        </w:rPr>
        <w:t xml:space="preserve">3, 18 e 19. </w:t>
      </w:r>
    </w:p>
  </w:footnote>
  <w:footnote w:id="12">
    <w:p w:rsidR="00C50BE0" w:rsidRPr="0020085D"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20085D">
        <w:rPr>
          <w:rFonts w:ascii="Times New Roman" w:hAnsi="Times New Roman"/>
        </w:rPr>
        <w:t xml:space="preserve"> Estatuto de Roma, art. 5.1.</w:t>
      </w:r>
    </w:p>
  </w:footnote>
  <w:footnote w:id="13">
    <w:p w:rsidR="00C50BE0" w:rsidRPr="00B85892" w:rsidRDefault="00C50BE0" w:rsidP="00B85892">
      <w:pPr>
        <w:pStyle w:val="FootnoteText"/>
        <w:jc w:val="both"/>
        <w:rPr>
          <w:rFonts w:ascii="Times New Roman" w:hAnsi="Times New Roman"/>
          <w:lang w:val="en-US"/>
        </w:rPr>
      </w:pPr>
      <w:r w:rsidRPr="00B85892">
        <w:rPr>
          <w:rStyle w:val="FootnoteReference"/>
          <w:rFonts w:ascii="Times New Roman" w:hAnsi="Times New Roman"/>
        </w:rPr>
        <w:footnoteRef/>
      </w:r>
      <w:r w:rsidRPr="00B85892">
        <w:rPr>
          <w:rFonts w:ascii="Times New Roman" w:hAnsi="Times New Roman"/>
        </w:rPr>
        <w:t xml:space="preserve"> TPI. Caso </w:t>
      </w:r>
      <w:r w:rsidRPr="00B85892">
        <w:rPr>
          <w:rFonts w:ascii="Times New Roman" w:hAnsi="Times New Roman"/>
          <w:i/>
        </w:rPr>
        <w:t>Germain Katanga e Mathieu Ngudjolo Chui</w:t>
      </w:r>
      <w:r w:rsidRPr="00B85892">
        <w:rPr>
          <w:rFonts w:ascii="Times New Roman" w:hAnsi="Times New Roman"/>
        </w:rPr>
        <w:t xml:space="preserve"> </w:t>
      </w:r>
      <w:r w:rsidRPr="00B85892">
        <w:rPr>
          <w:rFonts w:ascii="Times New Roman" w:hAnsi="Times New Roman"/>
          <w:i/>
        </w:rPr>
        <w:t>(República Democrática do Congo) vs Procurador</w:t>
      </w:r>
      <w:r w:rsidRPr="00B85892">
        <w:rPr>
          <w:rFonts w:ascii="Times New Roman" w:hAnsi="Times New Roman"/>
        </w:rPr>
        <w:t xml:space="preserve">. </w:t>
      </w:r>
      <w:r w:rsidRPr="00631A8F">
        <w:rPr>
          <w:rFonts w:ascii="Times New Roman" w:hAnsi="Times New Roman"/>
          <w:lang w:val="en-US"/>
        </w:rPr>
        <w:t>Sentença nº. ICC-01/04-01/0</w:t>
      </w:r>
      <w:r w:rsidRPr="00B85892">
        <w:rPr>
          <w:rFonts w:ascii="Times New Roman" w:hAnsi="Times New Roman"/>
          <w:lang w:val="en-US"/>
        </w:rPr>
        <w:t>7, par. 487-488.</w:t>
      </w:r>
    </w:p>
  </w:footnote>
  <w:footnote w:id="14">
    <w:p w:rsidR="00C50BE0" w:rsidRPr="00B85892" w:rsidRDefault="00C50BE0" w:rsidP="00B85892">
      <w:pPr>
        <w:pStyle w:val="FootnoteText"/>
        <w:jc w:val="both"/>
        <w:rPr>
          <w:rFonts w:ascii="Times New Roman" w:hAnsi="Times New Roman"/>
          <w:lang w:val="en-US"/>
        </w:rPr>
      </w:pPr>
      <w:r w:rsidRPr="00B85892">
        <w:rPr>
          <w:rStyle w:val="FootnoteReference"/>
          <w:rFonts w:ascii="Times New Roman" w:hAnsi="Times New Roman"/>
        </w:rPr>
        <w:footnoteRef/>
      </w:r>
      <w:r w:rsidRPr="00B85892">
        <w:rPr>
          <w:rFonts w:ascii="Times New Roman" w:hAnsi="Times New Roman"/>
          <w:lang w:val="en-GB"/>
        </w:rPr>
        <w:t xml:space="preserve"> CIJ, </w:t>
      </w:r>
      <w:r w:rsidRPr="00B85892">
        <w:rPr>
          <w:rFonts w:ascii="Times New Roman" w:hAnsi="Times New Roman"/>
          <w:i/>
          <w:lang w:val="en-GB"/>
        </w:rPr>
        <w:t>Legality of the threat or use of Nuclear Weapons</w:t>
      </w:r>
      <w:r w:rsidRPr="00B85892">
        <w:rPr>
          <w:rFonts w:ascii="Times New Roman" w:hAnsi="Times New Roman"/>
          <w:lang w:val="en-GB"/>
        </w:rPr>
        <w:t xml:space="preserve">. </w:t>
      </w:r>
      <w:r w:rsidRPr="00B85892">
        <w:rPr>
          <w:rFonts w:ascii="Times New Roman" w:hAnsi="Times New Roman"/>
          <w:lang w:val="en-US"/>
        </w:rPr>
        <w:t>Advisory opinion. Reports 1996, p. 240.</w:t>
      </w:r>
    </w:p>
  </w:footnote>
  <w:footnote w:id="1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631A8F">
        <w:rPr>
          <w:rFonts w:ascii="Times New Roman" w:hAnsi="Times New Roman"/>
          <w:lang w:val="en-US"/>
        </w:rPr>
        <w:t xml:space="preserve"> Corte IDH. </w:t>
      </w:r>
      <w:r w:rsidRPr="00B85892">
        <w:rPr>
          <w:rFonts w:ascii="Times New Roman" w:hAnsi="Times New Roman"/>
        </w:rPr>
        <w:t xml:space="preserve">Caso </w:t>
      </w:r>
      <w:r w:rsidR="001F3971">
        <w:rPr>
          <w:rFonts w:ascii="Times New Roman" w:hAnsi="Times New Roman"/>
          <w:i/>
        </w:rPr>
        <w:t>dos Mas</w:t>
      </w:r>
      <w:r w:rsidRPr="00B85892">
        <w:rPr>
          <w:rFonts w:ascii="Times New Roman" w:hAnsi="Times New Roman"/>
          <w:i/>
        </w:rPr>
        <w:t>acres de el Mozote e Lugares Vizinhos vs El Salvador</w:t>
      </w:r>
      <w:r w:rsidRPr="00B85892">
        <w:rPr>
          <w:rStyle w:val="Strong"/>
          <w:rFonts w:ascii="Times New Roman" w:hAnsi="Times New Roman"/>
          <w:b w:val="0"/>
          <w:shd w:val="clear" w:color="auto" w:fill="FFFFFF"/>
        </w:rPr>
        <w:t>.</w:t>
      </w:r>
      <w:r>
        <w:rPr>
          <w:rStyle w:val="Strong"/>
          <w:rFonts w:ascii="Times New Roman" w:hAnsi="Times New Roman"/>
          <w:b w:val="0"/>
          <w:shd w:val="clear" w:color="auto" w:fill="FFFFFF"/>
        </w:rPr>
        <w:t xml:space="preserve"> Sentença de Mérito, Reparações e Custas, 2</w:t>
      </w:r>
      <w:r w:rsidRPr="007E3047">
        <w:rPr>
          <w:rStyle w:val="Strong"/>
          <w:rFonts w:ascii="Times New Roman" w:hAnsi="Times New Roman"/>
          <w:b w:val="0"/>
          <w:shd w:val="clear" w:color="auto" w:fill="FFFFFF"/>
        </w:rPr>
        <w:t>012, Serie C, n</w:t>
      </w:r>
      <w:r w:rsidRPr="007E3047">
        <w:rPr>
          <w:rStyle w:val="Strong"/>
          <w:rFonts w:ascii="Times New Roman" w:hAnsi="Times New Roman"/>
          <w:b w:val="0"/>
          <w:shd w:val="clear" w:color="auto" w:fill="FFFFFF"/>
          <w:vertAlign w:val="superscript"/>
        </w:rPr>
        <w:t>o</w:t>
      </w:r>
      <w:r w:rsidRPr="007E3047">
        <w:rPr>
          <w:rStyle w:val="Strong"/>
          <w:rFonts w:ascii="Times New Roman" w:hAnsi="Times New Roman"/>
          <w:b w:val="0"/>
          <w:shd w:val="clear" w:color="auto" w:fill="FFFFFF"/>
        </w:rPr>
        <w:t xml:space="preserve"> 252</w:t>
      </w:r>
      <w:r w:rsidRPr="007E3047">
        <w:rPr>
          <w:rFonts w:ascii="Times New Roman" w:hAnsi="Times New Roman"/>
        </w:rPr>
        <w:t xml:space="preserve">, par. 141. Corte IDH. Caso </w:t>
      </w:r>
      <w:r w:rsidRPr="007E3047">
        <w:rPr>
          <w:rFonts w:ascii="Times New Roman" w:hAnsi="Times New Roman"/>
          <w:i/>
        </w:rPr>
        <w:t>de las Masacres de Ituango vs. Colombia</w:t>
      </w:r>
      <w:r w:rsidRPr="007E3047">
        <w:rPr>
          <w:rFonts w:ascii="Times New Roman" w:hAnsi="Times New Roman"/>
        </w:rPr>
        <w:t>. Sentença de Exceções Preliminares, Mérito, Reparações e Custas, 2006 Serie C, n</w:t>
      </w:r>
      <w:r w:rsidRPr="007E3047">
        <w:rPr>
          <w:rFonts w:ascii="Times New Roman" w:hAnsi="Times New Roman"/>
          <w:vertAlign w:val="superscript"/>
        </w:rPr>
        <w:t>o</w:t>
      </w:r>
      <w:r w:rsidRPr="007E3047">
        <w:rPr>
          <w:rFonts w:ascii="Times New Roman" w:hAnsi="Times New Roman"/>
        </w:rPr>
        <w:t xml:space="preserve"> 148, par. 179. </w:t>
      </w:r>
      <w:r w:rsidRPr="00B85892">
        <w:rPr>
          <w:rFonts w:ascii="Times New Roman" w:hAnsi="Times New Roman"/>
          <w:lang w:val="es-ES"/>
        </w:rPr>
        <w:t xml:space="preserve">Corte IDH. Caso </w:t>
      </w:r>
      <w:r w:rsidRPr="00B85892">
        <w:rPr>
          <w:rFonts w:ascii="Times New Roman" w:hAnsi="Times New Roman"/>
          <w:i/>
          <w:lang w:val="es-ES"/>
        </w:rPr>
        <w:t>de la Masacre de Mapiripán vs. Colombia</w:t>
      </w:r>
      <w:r w:rsidRPr="00B85892">
        <w:rPr>
          <w:rFonts w:ascii="Times New Roman" w:hAnsi="Times New Roman"/>
          <w:lang w:val="es-ES"/>
        </w:rPr>
        <w:t xml:space="preserve">. </w:t>
      </w:r>
      <w:r w:rsidRPr="007E3047">
        <w:rPr>
          <w:rFonts w:ascii="Times New Roman" w:hAnsi="Times New Roman"/>
        </w:rPr>
        <w:t>Sentença de Mérito, Reparações e Custas, 2005, Serie C, n</w:t>
      </w:r>
      <w:r w:rsidRPr="007E3047">
        <w:rPr>
          <w:rFonts w:ascii="Times New Roman" w:hAnsi="Times New Roman"/>
          <w:vertAlign w:val="superscript"/>
        </w:rPr>
        <w:t>o</w:t>
      </w:r>
      <w:r w:rsidRPr="007E3047">
        <w:rPr>
          <w:rFonts w:ascii="Times New Roman" w:hAnsi="Times New Roman"/>
        </w:rPr>
        <w:t xml:space="preserve"> 134, pars. 114, 153, 172 e 191. Corte IDH. Caso </w:t>
      </w:r>
      <w:r w:rsidRPr="007E3047">
        <w:rPr>
          <w:rFonts w:ascii="Times New Roman" w:hAnsi="Times New Roman"/>
          <w:i/>
        </w:rPr>
        <w:t>de la Masacre de las Dos Erres vs. Guatemala</w:t>
      </w:r>
      <w:r w:rsidRPr="007E3047">
        <w:rPr>
          <w:rFonts w:ascii="Times New Roman" w:hAnsi="Times New Roman"/>
        </w:rPr>
        <w:t xml:space="preserve">. Sentença de Exceções Preliminares, Mérito, Reparações e Custas, 2009, </w:t>
      </w:r>
      <w:r w:rsidRPr="00B85892">
        <w:rPr>
          <w:rFonts w:ascii="Times New Roman" w:hAnsi="Times New Roman"/>
        </w:rPr>
        <w:t>Serie C</w:t>
      </w:r>
      <w:r>
        <w:rPr>
          <w:rFonts w:ascii="Times New Roman" w:hAnsi="Times New Roman"/>
        </w:rPr>
        <w:t>, n</w:t>
      </w:r>
      <w:r w:rsidRPr="00D2677D">
        <w:rPr>
          <w:rFonts w:ascii="Times New Roman" w:hAnsi="Times New Roman"/>
          <w:vertAlign w:val="superscript"/>
        </w:rPr>
        <w:t>o</w:t>
      </w:r>
      <w:r w:rsidRPr="00B85892">
        <w:rPr>
          <w:rFonts w:ascii="Times New Roman" w:hAnsi="Times New Roman"/>
        </w:rPr>
        <w:t xml:space="preserve"> 211, par. 191. </w:t>
      </w:r>
    </w:p>
  </w:footnote>
  <w:footnote w:id="1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Como, por exemplo, os casos Gomes Lund e outros vs. Brasil, Barrios Alto vs. Peru e Las Palmeras vs. Colômbia.</w:t>
      </w:r>
    </w:p>
  </w:footnote>
  <w:footnote w:id="1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 45.</w:t>
      </w:r>
    </w:p>
  </w:footnote>
  <w:footnote w:id="18">
    <w:p w:rsidR="00C50BE0" w:rsidRPr="00B85892" w:rsidRDefault="00C50BE0" w:rsidP="00B85892">
      <w:pPr>
        <w:pStyle w:val="FootnoteText"/>
        <w:jc w:val="both"/>
        <w:rPr>
          <w:rFonts w:ascii="Times New Roman" w:hAnsi="Times New Roman"/>
          <w:lang w:val="es-ES"/>
        </w:rPr>
      </w:pPr>
      <w:r w:rsidRPr="00B85892">
        <w:rPr>
          <w:rStyle w:val="FootnoteReference"/>
          <w:rFonts w:ascii="Times New Roman" w:hAnsi="Times New Roman"/>
        </w:rPr>
        <w:footnoteRef/>
      </w:r>
      <w:r w:rsidRPr="00B85892">
        <w:rPr>
          <w:rFonts w:ascii="Times New Roman" w:hAnsi="Times New Roman"/>
        </w:rPr>
        <w:t xml:space="preserve"> Pode-se averiguar tal constatação, a partir da interpretação do art. 5.3 da CADH, o qual dispõe que “a pena não pode passar da pessoa do delinquente”. Ainda, as leis penais de Estados americanos seguem no mesmo sentido. O Código Penal do Brasil (Decreto-Lei n</w:t>
      </w:r>
      <w:r w:rsidRPr="00B85892">
        <w:rPr>
          <w:rFonts w:ascii="Times New Roman" w:hAnsi="Times New Roman"/>
          <w:vertAlign w:val="superscript"/>
        </w:rPr>
        <w:t>o</w:t>
      </w:r>
      <w:r w:rsidRPr="00B85892">
        <w:rPr>
          <w:rFonts w:ascii="Times New Roman" w:hAnsi="Times New Roman"/>
        </w:rPr>
        <w:t xml:space="preserve"> 2.848/1940) prevê: “Art. 107 – Extingue-se a punibilidade: I – pela morte do agente;”. Na mesma linha, o </w:t>
      </w:r>
      <w:r w:rsidRPr="00B85892">
        <w:rPr>
          <w:rFonts w:ascii="Times New Roman" w:hAnsi="Times New Roman"/>
          <w:i/>
        </w:rPr>
        <w:t>Codigo Penal de laNacion Argentina (Ley n</w:t>
      </w:r>
      <w:r w:rsidRPr="00B85892">
        <w:rPr>
          <w:rFonts w:ascii="Times New Roman" w:hAnsi="Times New Roman"/>
          <w:i/>
          <w:vertAlign w:val="superscript"/>
        </w:rPr>
        <w:t>o</w:t>
      </w:r>
      <w:r w:rsidRPr="00B85892">
        <w:rPr>
          <w:rFonts w:ascii="Times New Roman" w:hAnsi="Times New Roman"/>
          <w:i/>
        </w:rPr>
        <w:t xml:space="preserve"> 11.179)</w:t>
      </w:r>
      <w:r w:rsidRPr="00B85892">
        <w:rPr>
          <w:rFonts w:ascii="Times New Roman" w:hAnsi="Times New Roman"/>
        </w:rPr>
        <w:t xml:space="preserve"> dispõe: “</w:t>
      </w:r>
      <w:r w:rsidRPr="00B85892">
        <w:rPr>
          <w:rFonts w:ascii="Times New Roman" w:hAnsi="Times New Roman"/>
          <w:i/>
        </w:rPr>
        <w:t>Articulo 59 – La acción penal se extinguirá: 1º Por lamueredel imputado</w:t>
      </w:r>
      <w:r w:rsidRPr="00B85892">
        <w:rPr>
          <w:rFonts w:ascii="Times New Roman" w:hAnsi="Times New Roman"/>
        </w:rPr>
        <w:t xml:space="preserve">”. </w:t>
      </w:r>
      <w:r w:rsidRPr="00B85892">
        <w:rPr>
          <w:rFonts w:ascii="Times New Roman" w:hAnsi="Times New Roman"/>
          <w:lang w:val="es-ES"/>
        </w:rPr>
        <w:t xml:space="preserve">Ainda, o </w:t>
      </w:r>
      <w:r w:rsidRPr="00B85892">
        <w:rPr>
          <w:rFonts w:ascii="Times New Roman" w:hAnsi="Times New Roman"/>
          <w:i/>
          <w:lang w:val="es-ES"/>
        </w:rPr>
        <w:t>Codigo Penal del Estado de Mexico (Decreto 165)</w:t>
      </w:r>
      <w:r w:rsidRPr="00B85892">
        <w:rPr>
          <w:rFonts w:ascii="Times New Roman" w:hAnsi="Times New Roman"/>
          <w:lang w:val="es-ES"/>
        </w:rPr>
        <w:t xml:space="preserve"> prevê: “</w:t>
      </w:r>
      <w:r w:rsidRPr="00B85892">
        <w:rPr>
          <w:rFonts w:ascii="Times New Roman" w:hAnsi="Times New Roman"/>
          <w:i/>
          <w:lang w:val="es-ES"/>
        </w:rPr>
        <w:t>Artículo 88 – La muertedel inculpado extingue lapretensión punitiva, incluso la pena impuesta, com excepcióndeldecomiso de los instrumentos y efectosdel delito</w:t>
      </w:r>
      <w:r w:rsidRPr="00B85892">
        <w:rPr>
          <w:rFonts w:ascii="Times New Roman" w:hAnsi="Times New Roman"/>
          <w:lang w:val="es-ES"/>
        </w:rPr>
        <w:t xml:space="preserve">”. </w:t>
      </w:r>
    </w:p>
  </w:footnote>
  <w:footnote w:id="1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TRINDADE, Antônio Augusto Cançado. A interação entre o direito internacional e o direito interno na proteção dos direitos humanos. </w:t>
      </w:r>
      <w:r w:rsidRPr="00B85892">
        <w:rPr>
          <w:rFonts w:ascii="Times New Roman" w:hAnsi="Times New Roman"/>
          <w:i/>
          <w:iCs/>
        </w:rPr>
        <w:t>Arquivos do Ministério da Justiça</w:t>
      </w:r>
      <w:r w:rsidRPr="00B85892">
        <w:rPr>
          <w:rFonts w:ascii="Times New Roman" w:hAnsi="Times New Roman"/>
        </w:rPr>
        <w:t>, Brasília, v. 46, n. 182, 1993, p.44.</w:t>
      </w:r>
    </w:p>
  </w:footnote>
  <w:footnote w:id="2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Masacre de Santo Domingo vs. Colombia</w:t>
      </w:r>
      <w:r w:rsidRPr="00B85892">
        <w:rPr>
          <w:rFonts w:ascii="Times New Roman" w:hAnsi="Times New Roman"/>
        </w:rPr>
        <w:t>. Sentença de Exceções Preliminares, Mérito e Reparações, 2012. Serie C, nº 259, par. 142.</w:t>
      </w:r>
    </w:p>
  </w:footnote>
  <w:footnote w:id="21">
    <w:p w:rsidR="00C50BE0" w:rsidRPr="00B85892" w:rsidRDefault="00C50BE0" w:rsidP="00B85892">
      <w:pPr>
        <w:pStyle w:val="FootnoteText"/>
        <w:jc w:val="both"/>
        <w:rPr>
          <w:rFonts w:ascii="Times New Roman" w:hAnsi="Times New Roman"/>
          <w:i/>
        </w:rPr>
      </w:pPr>
      <w:r w:rsidRPr="00B85892">
        <w:rPr>
          <w:rStyle w:val="FootnoteReference"/>
          <w:rFonts w:ascii="Times New Roman" w:hAnsi="Times New Roman"/>
        </w:rPr>
        <w:footnoteRef/>
      </w:r>
      <w:r w:rsidRPr="00B85892">
        <w:rPr>
          <w:rFonts w:ascii="Times New Roman" w:hAnsi="Times New Roman"/>
        </w:rPr>
        <w:t xml:space="preserve"> CIDH. Relatório 86/03. Caso </w:t>
      </w:r>
      <w:r w:rsidRPr="00B85892">
        <w:rPr>
          <w:rFonts w:ascii="Times New Roman" w:hAnsi="Times New Roman"/>
          <w:i/>
        </w:rPr>
        <w:t>Oscar Cedeño González vs. Costa Rica</w:t>
      </w:r>
      <w:r w:rsidRPr="00B85892">
        <w:rPr>
          <w:rFonts w:ascii="Times New Roman" w:hAnsi="Times New Roman"/>
        </w:rPr>
        <w:t>. Petição 116/01. Par. 31. C</w:t>
      </w:r>
      <w:r>
        <w:rPr>
          <w:rFonts w:ascii="Times New Roman" w:hAnsi="Times New Roman"/>
        </w:rPr>
        <w:t>IDH. Resolução 29/88, Caso nº 9260, Relatório Anual da C</w:t>
      </w:r>
      <w:r w:rsidRPr="00B85892">
        <w:rPr>
          <w:rFonts w:ascii="Times New Roman" w:hAnsi="Times New Roman"/>
        </w:rPr>
        <w:t>IDH 1987-1988, par 5.</w:t>
      </w:r>
    </w:p>
  </w:footnote>
  <w:footnote w:id="22">
    <w:p w:rsidR="00C50BE0" w:rsidRPr="007E3047" w:rsidRDefault="00C50BE0" w:rsidP="00B85892">
      <w:pPr>
        <w:pStyle w:val="FootnoteText"/>
        <w:jc w:val="both"/>
        <w:rPr>
          <w:rFonts w:ascii="Times New Roman" w:hAnsi="Times New Roman"/>
          <w:i/>
          <w:lang w:val="es-CO"/>
        </w:rPr>
      </w:pPr>
      <w:r w:rsidRPr="00B85892">
        <w:rPr>
          <w:rStyle w:val="FootnoteReference"/>
          <w:rFonts w:ascii="Times New Roman" w:hAnsi="Times New Roman"/>
        </w:rPr>
        <w:footnoteRef/>
      </w:r>
      <w:r w:rsidRPr="00B85892">
        <w:rPr>
          <w:rFonts w:ascii="Times New Roman" w:hAnsi="Times New Roman"/>
        </w:rPr>
        <w:t xml:space="preserve"> CIDH. </w:t>
      </w:r>
      <w:r w:rsidRPr="00B85892">
        <w:rPr>
          <w:rFonts w:ascii="Times New Roman" w:hAnsi="Times New Roman"/>
          <w:i/>
        </w:rPr>
        <w:t>Marzioni vs. Argentina</w:t>
      </w:r>
      <w:r w:rsidRPr="00B85892">
        <w:rPr>
          <w:rFonts w:ascii="Times New Roman" w:hAnsi="Times New Roman"/>
        </w:rPr>
        <w:t xml:space="preserve">. </w:t>
      </w:r>
      <w:r w:rsidRPr="007E3047">
        <w:rPr>
          <w:rFonts w:ascii="Times New Roman" w:hAnsi="Times New Roman"/>
          <w:lang w:val="es-CO"/>
        </w:rPr>
        <w:t>Caso 11.673, Informe n</w:t>
      </w:r>
      <w:r w:rsidRPr="007E3047">
        <w:rPr>
          <w:rFonts w:ascii="Times New Roman" w:hAnsi="Times New Roman"/>
          <w:vertAlign w:val="superscript"/>
          <w:lang w:val="es-CO"/>
        </w:rPr>
        <w:t>o</w:t>
      </w:r>
      <w:r w:rsidRPr="007E3047">
        <w:rPr>
          <w:rFonts w:ascii="Times New Roman" w:hAnsi="Times New Roman"/>
          <w:lang w:val="es-CO"/>
        </w:rPr>
        <w:t xml:space="preserve"> 39/96, Ed. 7, pág. 76.</w:t>
      </w:r>
    </w:p>
  </w:footnote>
  <w:footnote w:id="2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lang w:val="es-ES"/>
        </w:rPr>
        <w:t xml:space="preserve"> GUEVARA B., José A.; MARTIN Claudia; RODRÍGUEZ-PINZÓN, Diego. </w:t>
      </w:r>
      <w:r w:rsidRPr="00B85892">
        <w:rPr>
          <w:rFonts w:ascii="Times New Roman" w:hAnsi="Times New Roman"/>
          <w:i/>
          <w:lang w:val="es-ES"/>
        </w:rPr>
        <w:t xml:space="preserve">Derecho Internacional de los Derechos Humanos. </w:t>
      </w:r>
      <w:r w:rsidRPr="00B85892">
        <w:rPr>
          <w:rFonts w:ascii="Times New Roman" w:hAnsi="Times New Roman"/>
        </w:rPr>
        <w:t>Distribuiciones Fontamara: Mexico, 2004, pág. 202.</w:t>
      </w:r>
    </w:p>
  </w:footnote>
  <w:footnote w:id="2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shd w:val="clear" w:color="auto" w:fill="FFFFFF"/>
        </w:rPr>
        <w:t xml:space="preserve"> KOSIK, Karel.</w:t>
      </w:r>
      <w:r w:rsidRPr="00B85892">
        <w:rPr>
          <w:rStyle w:val="apple-converted-space"/>
          <w:rFonts w:ascii="Times New Roman" w:hAnsi="Times New Roman"/>
          <w:shd w:val="clear" w:color="auto" w:fill="FFFFFF"/>
        </w:rPr>
        <w:t> </w:t>
      </w:r>
      <w:r w:rsidRPr="00B85892">
        <w:rPr>
          <w:rFonts w:ascii="Times New Roman" w:hAnsi="Times New Roman"/>
          <w:bCs/>
          <w:i/>
          <w:shd w:val="clear" w:color="auto" w:fill="FFFFFF"/>
        </w:rPr>
        <w:t>Dialética do concreto</w:t>
      </w:r>
      <w:r w:rsidRPr="00B85892">
        <w:rPr>
          <w:rFonts w:ascii="Times New Roman" w:hAnsi="Times New Roman"/>
          <w:shd w:val="clear" w:color="auto" w:fill="FFFFFF"/>
        </w:rPr>
        <w:t>. 2. ed. Rio de Janeiro: Paz e Terra, 1976, pág. 49. Segundo o autor:“Um fenômeno social é um fato histórico na medida em que é examinado como momento de um determinado todo; desempenha, portanto, uma função</w:t>
      </w:r>
      <w:r w:rsidRPr="00B85892">
        <w:rPr>
          <w:rStyle w:val="apple-converted-space"/>
          <w:rFonts w:ascii="Times New Roman" w:hAnsi="Times New Roman"/>
          <w:shd w:val="clear" w:color="auto" w:fill="FFFFFF"/>
        </w:rPr>
        <w:t> </w:t>
      </w:r>
      <w:r w:rsidRPr="00B85892">
        <w:rPr>
          <w:rFonts w:ascii="Times New Roman" w:hAnsi="Times New Roman"/>
          <w:i/>
          <w:iCs/>
          <w:shd w:val="clear" w:color="auto" w:fill="FFFFFF"/>
        </w:rPr>
        <w:t>dupla</w:t>
      </w:r>
      <w:r w:rsidRPr="00B85892">
        <w:rPr>
          <w:rFonts w:ascii="Times New Roman" w:hAnsi="Times New Roman"/>
          <w:shd w:val="clear" w:color="auto" w:fill="FFFFFF"/>
        </w:rPr>
        <w:t>, a única capaz de dele fazer efetivamente um fato histórico: de um lado, definir a si mesmo, e de outro, definir o todo; ser ao mesmo tempo produtor e produto; ser revelador e ao mesmo tempo determinado; ser revelador e ao mesmo tempo decifrar a si mesmo; conquistar o próprio significado autêntico e ao mesmo tempo conferir sentido a algo mais. Esta recíproca conexão e mediação da parte e do todo significam a um só tempo: os fatos isolados são abstrações, são momentos artificiosamente separados do todo, os quais só quando inseridos no todo correspondente adquirem verdade e concreticidade.”</w:t>
      </w:r>
    </w:p>
  </w:footnote>
  <w:footnote w:id="2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GALEANO, Eduardo. </w:t>
      </w:r>
      <w:r w:rsidRPr="00B85892">
        <w:rPr>
          <w:rFonts w:ascii="Times New Roman" w:hAnsi="Times New Roman"/>
          <w:i/>
        </w:rPr>
        <w:t>As veias abertas da América Latina</w:t>
      </w:r>
      <w:r w:rsidRPr="00B85892">
        <w:rPr>
          <w:rFonts w:ascii="Times New Roman" w:hAnsi="Times New Roman"/>
        </w:rPr>
        <w:t xml:space="preserve">. Paz e Terra: Rio de Janeiro, 1978. </w:t>
      </w:r>
    </w:p>
  </w:footnote>
  <w:footnote w:id="2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FRANCA, Ludmila. </w:t>
      </w:r>
      <w:r w:rsidRPr="00B85892">
        <w:rPr>
          <w:rFonts w:ascii="Times New Roman" w:hAnsi="Times New Roman"/>
          <w:i/>
        </w:rPr>
        <w:t>América Latina e as ditaduras militares: fatores históricos</w:t>
      </w:r>
      <w:r w:rsidRPr="00B85892">
        <w:rPr>
          <w:rFonts w:ascii="Times New Roman" w:hAnsi="Times New Roman"/>
        </w:rPr>
        <w:t xml:space="preserve">. Disponível em: </w:t>
      </w:r>
      <w:hyperlink r:id="rId2" w:tgtFrame="_blank" w:history="1">
        <w:r w:rsidRPr="00B85892">
          <w:rPr>
            <w:rStyle w:val="Hyperlink"/>
            <w:rFonts w:ascii="Times New Roman" w:hAnsi="Times New Roman"/>
            <w:color w:val="auto"/>
            <w:shd w:val="clear" w:color="auto" w:fill="FFFFFF"/>
          </w:rPr>
          <w:t>https://norbertobobbio.wordpress.com/2011/06/27/america-latina-e-as-ditaduras-militares-fatores-historicos/</w:t>
        </w:r>
      </w:hyperlink>
      <w:r w:rsidRPr="00B85892">
        <w:rPr>
          <w:rFonts w:ascii="Times New Roman" w:hAnsi="Times New Roman"/>
        </w:rPr>
        <w:t>. Accesso em: 20 de março de 2015.</w:t>
      </w:r>
    </w:p>
  </w:footnote>
  <w:footnote w:id="2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COGGIOLA, Osvaldo. </w:t>
      </w:r>
      <w:r w:rsidRPr="00B85892">
        <w:rPr>
          <w:rFonts w:ascii="Times New Roman" w:hAnsi="Times New Roman"/>
          <w:i/>
        </w:rPr>
        <w:t>Governos militares na América Latina</w:t>
      </w:r>
      <w:r w:rsidRPr="00B85892">
        <w:rPr>
          <w:rFonts w:ascii="Times New Roman" w:hAnsi="Times New Roman"/>
        </w:rPr>
        <w:t>. Contexto: São Paulo, 2001, págs. 94 e 95.</w:t>
      </w:r>
    </w:p>
  </w:footnote>
  <w:footnote w:id="2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Em decorrência de tais leis, foram julgados os seguintes casos pela Corte IDH: Gelman vs. Uruguai, Gomes Lund e outros vs. Brasil (“Guerrilha do Araguaia”), La Cantuta vs. Peru e Almonacid Arellano e outro vs. Chile.</w:t>
      </w:r>
    </w:p>
  </w:footnote>
  <w:footnote w:id="2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14.</w:t>
      </w:r>
    </w:p>
  </w:footnote>
  <w:footnote w:id="3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shd w:val="clear" w:color="auto" w:fill="FFFFFF"/>
        </w:rPr>
        <w:t xml:space="preserve"> BAHIA. Superintendência de Estudos Econômicos e Sociais da Bahia (SEI). Estrutura do produto interno bruto da América Latina por países, 2012/2013. Disponível em: &lt;</w:t>
      </w:r>
      <w:hyperlink r:id="rId3" w:tgtFrame="_blank" w:history="1">
        <w:r w:rsidRPr="00B85892">
          <w:rPr>
            <w:rStyle w:val="Hyperlink"/>
            <w:rFonts w:ascii="Times New Roman" w:hAnsi="Times New Roman"/>
            <w:color w:val="auto"/>
            <w:shd w:val="clear" w:color="auto" w:fill="FFFFFF"/>
          </w:rPr>
          <w:t>http://www.sei.ba.gov.br/index.php?option=com_content&amp;id=137&amp;Itemid=221</w:t>
        </w:r>
      </w:hyperlink>
      <w:r w:rsidRPr="00B85892">
        <w:rPr>
          <w:rFonts w:ascii="Times New Roman" w:hAnsi="Times New Roman"/>
          <w:shd w:val="clear" w:color="auto" w:fill="FFFFFF"/>
        </w:rPr>
        <w:t>&gt;. Acesso em: 16 mar. 2015.</w:t>
      </w:r>
      <w:r w:rsidRPr="00B85892">
        <w:rPr>
          <w:rFonts w:ascii="Times New Roman" w:hAnsi="Times New Roman"/>
        </w:rPr>
        <w:t>Conforme este documento, verifica-se que o país com o menor PIB da América Latina em 2013 foi o de Dominica, com 0,01%, sendo que a República Cardenal, conforme exposto no caso hipotético, corresponde ao segundo país com o menor PIB do continente. Destaca-se que o PIB do Haiti, no mesmo ano, correspondeu a 0,14% (décimo menor PIB) e o do Brasil, maior do PIB do continente, foi de 37,02%.</w:t>
      </w:r>
    </w:p>
  </w:footnote>
  <w:footnote w:id="3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26.</w:t>
      </w:r>
    </w:p>
  </w:footnote>
  <w:footnote w:id="3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56.</w:t>
      </w:r>
    </w:p>
  </w:footnote>
  <w:footnote w:id="3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SCHINCARIOL, Rafael. </w:t>
      </w:r>
      <w:r w:rsidRPr="00B85892">
        <w:rPr>
          <w:rFonts w:ascii="Times New Roman" w:hAnsi="Times New Roman"/>
          <w:i/>
        </w:rPr>
        <w:t>Justiça de Transição e Reconhecimento: uma análise do caso brasileiro</w:t>
      </w:r>
      <w:r w:rsidRPr="00B85892">
        <w:rPr>
          <w:rFonts w:ascii="Times New Roman" w:hAnsi="Times New Roman"/>
        </w:rPr>
        <w:t>. 2013.  Faculdade de Direito da Universidade de São Paulo, São Paulo. 2013, pág. 14.</w:t>
      </w:r>
    </w:p>
  </w:footnote>
  <w:footnote w:id="34">
    <w:p w:rsidR="00C50BE0" w:rsidRPr="007E3047"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Corte IDH.</w:t>
      </w:r>
      <w:r w:rsidRPr="00B85892">
        <w:rPr>
          <w:rFonts w:ascii="Times New Roman" w:hAnsi="Times New Roman"/>
        </w:rPr>
        <w:t xml:space="preserve"> Caso </w:t>
      </w:r>
      <w:r w:rsidRPr="00B85892">
        <w:rPr>
          <w:rFonts w:ascii="Times New Roman" w:hAnsi="Times New Roman"/>
          <w:i/>
        </w:rPr>
        <w:t>Cas</w:t>
      </w:r>
      <w:r>
        <w:rPr>
          <w:rFonts w:ascii="Times New Roman" w:hAnsi="Times New Roman"/>
          <w:i/>
        </w:rPr>
        <w:t>tillo Petruzzi e outros vs. Peru</w:t>
      </w:r>
      <w:r w:rsidRPr="00B85892">
        <w:rPr>
          <w:rFonts w:ascii="Times New Roman" w:hAnsi="Times New Roman"/>
        </w:rPr>
        <w:t>.</w:t>
      </w:r>
      <w:r>
        <w:rPr>
          <w:rFonts w:ascii="Times New Roman" w:hAnsi="Times New Roman"/>
        </w:rPr>
        <w:t xml:space="preserve"> Sentença de Mérito, Reparações e Custas,</w:t>
      </w:r>
      <w:r w:rsidRPr="007E3047">
        <w:rPr>
          <w:rFonts w:ascii="Times New Roman" w:hAnsi="Times New Roman"/>
        </w:rPr>
        <w:t xml:space="preserve"> 1999, </w:t>
      </w:r>
      <w:r w:rsidRPr="00B85892">
        <w:rPr>
          <w:rFonts w:ascii="Times New Roman" w:hAnsi="Times New Roman"/>
        </w:rPr>
        <w:t xml:space="preserve">Serie C, nº 52, par. 207. Corte IDH. Caso </w:t>
      </w:r>
      <w:r w:rsidRPr="00B85892">
        <w:rPr>
          <w:rFonts w:ascii="Times New Roman" w:hAnsi="Times New Roman"/>
          <w:i/>
        </w:rPr>
        <w:t>“Cinco Pensionistas” vs. Peru</w:t>
      </w:r>
      <w:r>
        <w:rPr>
          <w:rFonts w:ascii="Times New Roman" w:hAnsi="Times New Roman"/>
        </w:rPr>
        <w:t>. Sentença de Mérito, Reparações e Custas, 2003,</w:t>
      </w:r>
      <w:r w:rsidRPr="00B85892">
        <w:rPr>
          <w:rFonts w:ascii="Times New Roman" w:hAnsi="Times New Roman"/>
        </w:rPr>
        <w:t xml:space="preserve"> </w:t>
      </w:r>
      <w:r w:rsidRPr="007E3047">
        <w:rPr>
          <w:rFonts w:ascii="Times New Roman" w:hAnsi="Times New Roman"/>
        </w:rPr>
        <w:t xml:space="preserve">Serie C, nº 98, par. 164. Corte IDH. Caso </w:t>
      </w:r>
      <w:r w:rsidRPr="007E3047">
        <w:rPr>
          <w:rFonts w:ascii="Times New Roman" w:hAnsi="Times New Roman"/>
          <w:i/>
        </w:rPr>
        <w:t>“La Última Tentación de Cristo” (Olmedo Bustos e outros) vs. Chile</w:t>
      </w:r>
      <w:r w:rsidRPr="007E3047">
        <w:rPr>
          <w:rFonts w:ascii="Times New Roman" w:hAnsi="Times New Roman"/>
        </w:rPr>
        <w:t>. Sentença de Exceções Preliminares, Mérito, Reparações e Custas, 2001, Serie C, n</w:t>
      </w:r>
      <w:r w:rsidRPr="007E3047">
        <w:rPr>
          <w:rFonts w:ascii="Times New Roman" w:hAnsi="Times New Roman"/>
          <w:vertAlign w:val="superscript"/>
        </w:rPr>
        <w:t>o</w:t>
      </w:r>
      <w:r w:rsidRPr="007E3047">
        <w:rPr>
          <w:rFonts w:ascii="Times New Roman" w:hAnsi="Times New Roman"/>
        </w:rPr>
        <w:t xml:space="preserve"> 73, par. 87. Corte IDH. Caso </w:t>
      </w:r>
      <w:r w:rsidRPr="007E3047">
        <w:rPr>
          <w:rFonts w:ascii="Times New Roman" w:hAnsi="Times New Roman"/>
          <w:i/>
        </w:rPr>
        <w:t>Baena Ricardo e outros vs. Panamá</w:t>
      </w:r>
      <w:r w:rsidRPr="007E3047">
        <w:rPr>
          <w:rFonts w:ascii="Times New Roman" w:hAnsi="Times New Roman"/>
        </w:rPr>
        <w:t>. Sentença de Mérito, Reparações e Custas, 2001, Serie C, n</w:t>
      </w:r>
      <w:r w:rsidRPr="007E3047">
        <w:rPr>
          <w:rFonts w:ascii="Times New Roman" w:hAnsi="Times New Roman"/>
          <w:vertAlign w:val="superscript"/>
        </w:rPr>
        <w:t>o</w:t>
      </w:r>
      <w:r w:rsidRPr="007E3047">
        <w:rPr>
          <w:rFonts w:ascii="Times New Roman" w:hAnsi="Times New Roman"/>
        </w:rPr>
        <w:t xml:space="preserve"> 172, par. 179. Corte IDH. Caso </w:t>
      </w:r>
      <w:r w:rsidRPr="007E3047">
        <w:rPr>
          <w:rFonts w:ascii="Times New Roman" w:hAnsi="Times New Roman"/>
          <w:i/>
        </w:rPr>
        <w:t>Durand y Ugarte</w:t>
      </w:r>
      <w:r w:rsidRPr="007E3047">
        <w:rPr>
          <w:rFonts w:ascii="Times New Roman" w:hAnsi="Times New Roman"/>
        </w:rPr>
        <w:t xml:space="preserve"> </w:t>
      </w:r>
      <w:r w:rsidRPr="007E3047">
        <w:rPr>
          <w:rFonts w:ascii="Times New Roman" w:hAnsi="Times New Roman"/>
          <w:i/>
        </w:rPr>
        <w:t>vs Peru.</w:t>
      </w:r>
      <w:r w:rsidRPr="007E3047">
        <w:rPr>
          <w:rFonts w:ascii="Times New Roman" w:hAnsi="Times New Roman"/>
        </w:rPr>
        <w:t xml:space="preserve"> Sentença de Mérito, 2000, Serie C, n</w:t>
      </w:r>
      <w:r w:rsidRPr="007E3047">
        <w:rPr>
          <w:rFonts w:ascii="Times New Roman" w:hAnsi="Times New Roman"/>
          <w:vertAlign w:val="superscript"/>
        </w:rPr>
        <w:t>o</w:t>
      </w:r>
      <w:r w:rsidRPr="007E3047">
        <w:rPr>
          <w:rFonts w:ascii="Times New Roman" w:hAnsi="Times New Roman"/>
        </w:rPr>
        <w:t xml:space="preserve"> 168, par. 136.</w:t>
      </w:r>
    </w:p>
  </w:footnote>
  <w:footnote w:id="35">
    <w:p w:rsidR="00C50BE0" w:rsidRPr="007E3047" w:rsidRDefault="00C50BE0" w:rsidP="00B85892">
      <w:pPr>
        <w:pStyle w:val="FootnoteText"/>
        <w:jc w:val="both"/>
        <w:rPr>
          <w:rFonts w:ascii="Times New Roman" w:hAnsi="Times New Roman"/>
          <w:lang w:val="en-US"/>
        </w:rPr>
      </w:pPr>
      <w:r w:rsidRPr="00B85892">
        <w:rPr>
          <w:rStyle w:val="FootnoteReference"/>
          <w:rFonts w:ascii="Times New Roman" w:hAnsi="Times New Roman"/>
        </w:rPr>
        <w:footnoteRef/>
      </w:r>
      <w:r w:rsidRPr="00B85892">
        <w:rPr>
          <w:rFonts w:ascii="Times New Roman" w:hAnsi="Times New Roman"/>
        </w:rPr>
        <w:t xml:space="preserve"> MACHADO, Jónatas E. M. </w:t>
      </w:r>
      <w:r w:rsidRPr="00B85892">
        <w:rPr>
          <w:rFonts w:ascii="Times New Roman" w:hAnsi="Times New Roman"/>
          <w:i/>
        </w:rPr>
        <w:t>Direito Internacional: do paradigma clássico ao pós-11 de setembro</w:t>
      </w:r>
      <w:r w:rsidRPr="00B85892">
        <w:rPr>
          <w:rFonts w:ascii="Times New Roman" w:hAnsi="Times New Roman"/>
        </w:rPr>
        <w:t xml:space="preserve">. </w:t>
      </w:r>
      <w:r w:rsidRPr="007E3047">
        <w:rPr>
          <w:rFonts w:ascii="Times New Roman" w:hAnsi="Times New Roman"/>
          <w:lang w:val="en-US"/>
        </w:rPr>
        <w:t>Universidade de Coimbra: Coimbra, 2006, p. 360.</w:t>
      </w:r>
    </w:p>
  </w:footnote>
  <w:footnote w:id="3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7E3047">
        <w:rPr>
          <w:rFonts w:ascii="Times New Roman" w:hAnsi="Times New Roman"/>
          <w:lang w:val="en-US"/>
        </w:rPr>
        <w:t xml:space="preserve"> BICKFORD, Louis. Transitional Justice. In: The Encyclopedia of Genocide and Crimes against Humanity (Macmillan Reference USA, 2004), vol. 3, pp. 1045-1047. </w:t>
      </w:r>
      <w:r w:rsidRPr="00B85892">
        <w:rPr>
          <w:rFonts w:ascii="Times New Roman" w:hAnsi="Times New Roman"/>
        </w:rPr>
        <w:t>Disponível em: &lt;</w:t>
      </w:r>
      <w:hyperlink r:id="rId4" w:history="1">
        <w:r w:rsidRPr="00B85892">
          <w:rPr>
            <w:rStyle w:val="Hyperlink"/>
            <w:rFonts w:ascii="Times New Roman" w:hAnsi="Times New Roman"/>
            <w:color w:val="auto"/>
          </w:rPr>
          <w:t>www.ictj.org</w:t>
        </w:r>
      </w:hyperlink>
      <w:r w:rsidRPr="00B85892">
        <w:rPr>
          <w:rFonts w:ascii="Times New Roman" w:hAnsi="Times New Roman"/>
        </w:rPr>
        <w:t>&gt;. Acesso em: 10 fev. 2015.</w:t>
      </w:r>
    </w:p>
  </w:footnote>
  <w:footnote w:id="3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pars. 4 e 26.</w:t>
      </w:r>
    </w:p>
  </w:footnote>
  <w:footnote w:id="3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ZYL, Paul Van. </w:t>
      </w:r>
      <w:r w:rsidRPr="00B85892">
        <w:rPr>
          <w:rFonts w:ascii="Times New Roman" w:hAnsi="Times New Roman"/>
          <w:i/>
        </w:rPr>
        <w:t>Promovendo a Justiça Transicional em sociedades pós-conflito</w:t>
      </w:r>
      <w:r w:rsidRPr="00B85892">
        <w:rPr>
          <w:rFonts w:ascii="Times New Roman" w:hAnsi="Times New Roman"/>
        </w:rPr>
        <w:t>. Revista de Anisita política e Justiça de Transição, nº 01, Brasília, 2009, p. 32.</w:t>
      </w:r>
    </w:p>
  </w:footnote>
  <w:footnote w:id="3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i/>
          <w:iCs/>
        </w:rPr>
        <w:t xml:space="preserve"> </w:t>
      </w:r>
      <w:r w:rsidRPr="00B85892">
        <w:rPr>
          <w:rFonts w:ascii="Times New Roman" w:hAnsi="Times New Roman"/>
          <w:iCs/>
        </w:rPr>
        <w:t>Corte IDH. Caso</w:t>
      </w:r>
      <w:r>
        <w:rPr>
          <w:rFonts w:ascii="Times New Roman" w:hAnsi="Times New Roman"/>
          <w:i/>
          <w:iCs/>
        </w:rPr>
        <w:t xml:space="preserve"> Barrios Altos v</w:t>
      </w:r>
      <w:r w:rsidRPr="00B85892">
        <w:rPr>
          <w:rFonts w:ascii="Times New Roman" w:hAnsi="Times New Roman"/>
          <w:i/>
          <w:iCs/>
        </w:rPr>
        <w:t>s</w:t>
      </w:r>
      <w:r>
        <w:rPr>
          <w:rFonts w:ascii="Times New Roman" w:hAnsi="Times New Roman"/>
          <w:i/>
          <w:iCs/>
        </w:rPr>
        <w:t>.</w:t>
      </w:r>
      <w:r w:rsidRPr="00B85892">
        <w:rPr>
          <w:rFonts w:ascii="Times New Roman" w:hAnsi="Times New Roman"/>
          <w:i/>
          <w:iCs/>
        </w:rPr>
        <w:t xml:space="preserve"> Peru</w:t>
      </w:r>
      <w:r w:rsidRPr="00B85892">
        <w:rPr>
          <w:rFonts w:ascii="Times New Roman" w:hAnsi="Times New Roman"/>
        </w:rPr>
        <w:t>.</w:t>
      </w:r>
      <w:r>
        <w:rPr>
          <w:rFonts w:ascii="Times New Roman" w:hAnsi="Times New Roman"/>
        </w:rPr>
        <w:t xml:space="preserve"> Sentença de</w:t>
      </w:r>
      <w:r w:rsidRPr="00B85892">
        <w:rPr>
          <w:rFonts w:ascii="Times New Roman" w:hAnsi="Times New Roman"/>
        </w:rPr>
        <w:t xml:space="preserve"> </w:t>
      </w:r>
      <w:r w:rsidRPr="00B90C50">
        <w:rPr>
          <w:rFonts w:ascii="Times New Roman" w:hAnsi="Times New Roman"/>
          <w:iCs/>
        </w:rPr>
        <w:t>Reparações e Custas</w:t>
      </w:r>
      <w:r>
        <w:rPr>
          <w:rFonts w:ascii="Times New Roman" w:hAnsi="Times New Roman"/>
        </w:rPr>
        <w:t>, 2001, Se</w:t>
      </w:r>
      <w:r w:rsidRPr="00B85892">
        <w:rPr>
          <w:rFonts w:ascii="Times New Roman" w:hAnsi="Times New Roman"/>
        </w:rPr>
        <w:t>rie C</w:t>
      </w:r>
      <w:r>
        <w:rPr>
          <w:rFonts w:ascii="Times New Roman" w:hAnsi="Times New Roman"/>
        </w:rPr>
        <w:t>, nº 109, par. 45. Corte IDH.</w:t>
      </w:r>
      <w:r w:rsidRPr="00B85892">
        <w:rPr>
          <w:rFonts w:ascii="Times New Roman" w:hAnsi="Times New Roman"/>
        </w:rPr>
        <w:t xml:space="preserve"> </w:t>
      </w:r>
      <w:r w:rsidRPr="00E13626">
        <w:rPr>
          <w:rFonts w:ascii="Times New Roman" w:hAnsi="Times New Roman"/>
          <w:iCs/>
        </w:rPr>
        <w:t>Caso</w:t>
      </w:r>
      <w:r w:rsidRPr="00B85892">
        <w:rPr>
          <w:rFonts w:ascii="Times New Roman" w:hAnsi="Times New Roman"/>
          <w:i/>
          <w:iCs/>
        </w:rPr>
        <w:t xml:space="preserve"> Rosendo Cantú e outra</w:t>
      </w:r>
      <w:r>
        <w:rPr>
          <w:rFonts w:ascii="Times New Roman" w:hAnsi="Times New Roman"/>
          <w:i/>
          <w:iCs/>
        </w:rPr>
        <w:t xml:space="preserve"> vs. México</w:t>
      </w:r>
      <w:r>
        <w:rPr>
          <w:rFonts w:ascii="Times New Roman" w:hAnsi="Times New Roman"/>
          <w:iCs/>
        </w:rPr>
        <w:t>. Sentença de Exceção Preliminar, Mérito, Reparações e Custa, 2010, Serie C, n</w:t>
      </w:r>
      <w:r w:rsidRPr="00E13626">
        <w:rPr>
          <w:rFonts w:ascii="Times New Roman" w:hAnsi="Times New Roman"/>
          <w:iCs/>
          <w:vertAlign w:val="superscript"/>
        </w:rPr>
        <w:t>o</w:t>
      </w:r>
      <w:r>
        <w:rPr>
          <w:rFonts w:ascii="Times New Roman" w:hAnsi="Times New Roman"/>
          <w:iCs/>
        </w:rPr>
        <w:t xml:space="preserve"> 216</w:t>
      </w:r>
      <w:r>
        <w:rPr>
          <w:rFonts w:ascii="Times New Roman" w:hAnsi="Times New Roman"/>
        </w:rPr>
        <w:t xml:space="preserve">, par. 252. Corte IDH. </w:t>
      </w:r>
      <w:r w:rsidRPr="00E17849">
        <w:rPr>
          <w:rFonts w:ascii="Times New Roman" w:hAnsi="Times New Roman"/>
          <w:iCs/>
        </w:rPr>
        <w:t>Caso</w:t>
      </w:r>
      <w:r w:rsidRPr="00B85892">
        <w:rPr>
          <w:rFonts w:ascii="Times New Roman" w:hAnsi="Times New Roman"/>
          <w:i/>
          <w:iCs/>
        </w:rPr>
        <w:t xml:space="preserve"> Ibsen Cárdenas e Ibsen</w:t>
      </w:r>
      <w:r>
        <w:rPr>
          <w:rFonts w:ascii="Times New Roman" w:hAnsi="Times New Roman"/>
          <w:i/>
          <w:iCs/>
        </w:rPr>
        <w:t xml:space="preserve"> Peña vs. Bolívia</w:t>
      </w:r>
      <w:r>
        <w:rPr>
          <w:rFonts w:ascii="Times New Roman" w:hAnsi="Times New Roman"/>
          <w:iCs/>
        </w:rPr>
        <w:t>. Sentença de Mérito, Reparações e Custas, 2010</w:t>
      </w:r>
      <w:r w:rsidRPr="00B85892">
        <w:rPr>
          <w:rFonts w:ascii="Times New Roman" w:hAnsi="Times New Roman"/>
        </w:rPr>
        <w:t>,</w:t>
      </w:r>
      <w:r>
        <w:rPr>
          <w:rFonts w:ascii="Times New Roman" w:hAnsi="Times New Roman"/>
        </w:rPr>
        <w:t xml:space="preserve"> Serie C, n</w:t>
      </w:r>
      <w:r w:rsidRPr="00E17849">
        <w:rPr>
          <w:rFonts w:ascii="Times New Roman" w:hAnsi="Times New Roman"/>
          <w:vertAlign w:val="superscript"/>
        </w:rPr>
        <w:t>o</w:t>
      </w:r>
      <w:r>
        <w:rPr>
          <w:rFonts w:ascii="Times New Roman" w:hAnsi="Times New Roman"/>
        </w:rPr>
        <w:t xml:space="preserve"> 217</w:t>
      </w:r>
      <w:r w:rsidRPr="00B85892">
        <w:rPr>
          <w:rFonts w:ascii="Times New Roman" w:hAnsi="Times New Roman"/>
        </w:rPr>
        <w:t>, par. 253.</w:t>
      </w:r>
    </w:p>
  </w:footnote>
  <w:footnote w:id="4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w:t>
      </w:r>
      <w:r w:rsidRPr="00B85892">
        <w:rPr>
          <w:rFonts w:ascii="Times New Roman" w:hAnsi="Times New Roman"/>
          <w:i/>
        </w:rPr>
        <w:t>La Cantuta vs. Peru</w:t>
      </w:r>
      <w:r w:rsidRPr="00B85892">
        <w:rPr>
          <w:rFonts w:ascii="Times New Roman" w:hAnsi="Times New Roman"/>
        </w:rPr>
        <w:t>. Sentença de Mérito, Reparações e Custas, 2006, Série C, n</w:t>
      </w:r>
      <w:r w:rsidRPr="003F69C6">
        <w:rPr>
          <w:rFonts w:ascii="Times New Roman" w:hAnsi="Times New Roman"/>
          <w:vertAlign w:val="superscript"/>
        </w:rPr>
        <w:t xml:space="preserve">o </w:t>
      </w:r>
      <w:r w:rsidRPr="00B85892">
        <w:rPr>
          <w:rFonts w:ascii="Times New Roman" w:hAnsi="Times New Roman"/>
        </w:rPr>
        <w:t>162, p. 25.</w:t>
      </w:r>
    </w:p>
  </w:footnote>
  <w:footnote w:id="4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Resolução Internacional n</w:t>
      </w:r>
      <w:r w:rsidRPr="00B85892">
        <w:rPr>
          <w:rFonts w:ascii="Times New Roman" w:hAnsi="Times New Roman"/>
          <w:vertAlign w:val="superscript"/>
        </w:rPr>
        <w:t>o</w:t>
      </w:r>
      <w:r w:rsidRPr="00B85892">
        <w:rPr>
          <w:rFonts w:ascii="Times New Roman" w:hAnsi="Times New Roman"/>
        </w:rPr>
        <w:t xml:space="preserve"> 67/147 da Organização das Nações Unidas de 2005.</w:t>
      </w:r>
    </w:p>
  </w:footnote>
  <w:footnote w:id="42">
    <w:p w:rsidR="00C50BE0" w:rsidRPr="00B85892" w:rsidRDefault="00C50BE0" w:rsidP="00B85892">
      <w:pPr>
        <w:pStyle w:val="FootnoteText"/>
        <w:jc w:val="both"/>
        <w:rPr>
          <w:rFonts w:ascii="Times New Roman" w:hAnsi="Times New Roman"/>
          <w:i/>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Bámaca Velásquez vs. Guatemala</w:t>
      </w:r>
      <w:r w:rsidRPr="00B85892">
        <w:rPr>
          <w:rFonts w:ascii="Times New Roman" w:hAnsi="Times New Roman"/>
        </w:rPr>
        <w:t xml:space="preserve">. </w:t>
      </w:r>
      <w:r>
        <w:rPr>
          <w:rFonts w:ascii="Times New Roman" w:hAnsi="Times New Roman"/>
        </w:rPr>
        <w:t>Sentença de Reparações e Custas,</w:t>
      </w:r>
      <w:r w:rsidRPr="00B85892">
        <w:rPr>
          <w:rFonts w:ascii="Times New Roman" w:hAnsi="Times New Roman"/>
        </w:rPr>
        <w:t xml:space="preserve"> 2002, </w:t>
      </w:r>
      <w:r>
        <w:rPr>
          <w:rFonts w:ascii="Times New Roman" w:hAnsi="Times New Roman"/>
        </w:rPr>
        <w:t>Seri</w:t>
      </w:r>
      <w:r w:rsidRPr="00B85892">
        <w:rPr>
          <w:rFonts w:ascii="Times New Roman" w:hAnsi="Times New Roman"/>
        </w:rPr>
        <w:t xml:space="preserve">e C, </w:t>
      </w:r>
      <w:r>
        <w:rPr>
          <w:rFonts w:ascii="Times New Roman" w:hAnsi="Times New Roman"/>
        </w:rPr>
        <w:t>n</w:t>
      </w:r>
      <w:r w:rsidRPr="00B85892">
        <w:rPr>
          <w:rFonts w:ascii="Times New Roman" w:hAnsi="Times New Roman"/>
        </w:rPr>
        <w:t>º 91, par. 75. Corte IDH.</w:t>
      </w:r>
      <w:r w:rsidRPr="00B85892">
        <w:rPr>
          <w:rFonts w:ascii="Times New Roman" w:hAnsi="Times New Roman"/>
          <w:i/>
        </w:rPr>
        <w:t xml:space="preserve"> </w:t>
      </w:r>
      <w:r w:rsidRPr="00B85892">
        <w:rPr>
          <w:rFonts w:ascii="Times New Roman" w:hAnsi="Times New Roman"/>
        </w:rPr>
        <w:t xml:space="preserve">Caso </w:t>
      </w:r>
      <w:r>
        <w:rPr>
          <w:rFonts w:ascii="Times New Roman" w:hAnsi="Times New Roman"/>
          <w:i/>
        </w:rPr>
        <w:t xml:space="preserve">Caballero Delgado e </w:t>
      </w:r>
      <w:r w:rsidRPr="00DB447D">
        <w:rPr>
          <w:rFonts w:ascii="Times New Roman" w:hAnsi="Times New Roman"/>
          <w:i/>
        </w:rPr>
        <w:t>Santana</w:t>
      </w:r>
      <w:r>
        <w:rPr>
          <w:rFonts w:ascii="Times New Roman" w:hAnsi="Times New Roman"/>
        </w:rPr>
        <w:t xml:space="preserve"> </w:t>
      </w:r>
      <w:r>
        <w:rPr>
          <w:rFonts w:ascii="Times New Roman" w:hAnsi="Times New Roman"/>
          <w:i/>
        </w:rPr>
        <w:t>vs. Colômbia</w:t>
      </w:r>
      <w:r w:rsidRPr="00B85892">
        <w:rPr>
          <w:rFonts w:ascii="Times New Roman" w:hAnsi="Times New Roman"/>
        </w:rPr>
        <w:t>. Sentença de Mérito, 1995, Serie C, nº. 22, par. 58</w:t>
      </w:r>
    </w:p>
  </w:footnote>
  <w:footnote w:id="43">
    <w:p w:rsidR="00C50BE0" w:rsidRPr="00B85892" w:rsidRDefault="00C50BE0" w:rsidP="00B85892">
      <w:pPr>
        <w:pStyle w:val="FootnoteText"/>
        <w:jc w:val="both"/>
        <w:rPr>
          <w:rFonts w:ascii="Times New Roman" w:hAnsi="Times New Roman"/>
          <w:vertAlign w:val="superscript"/>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Gomes Lund e outros vs. Brasil</w:t>
      </w:r>
      <w:r w:rsidRPr="00B85892">
        <w:rPr>
          <w:rFonts w:ascii="Times New Roman" w:hAnsi="Times New Roman"/>
        </w:rPr>
        <w:t xml:space="preserve"> (“Guerrilha do Araguaia”). Sentença de Exceções Preliminares, Mérito, Reparações e Custas, 2010, Série C, n</w:t>
      </w:r>
      <w:r w:rsidRPr="00B85892">
        <w:rPr>
          <w:rFonts w:ascii="Times New Roman" w:hAnsi="Times New Roman"/>
          <w:vertAlign w:val="superscript"/>
        </w:rPr>
        <w:t>o</w:t>
      </w:r>
      <w:r w:rsidRPr="00B85892">
        <w:rPr>
          <w:rFonts w:ascii="Times New Roman" w:hAnsi="Times New Roman"/>
        </w:rPr>
        <w:t xml:space="preserve"> 219, par. 294.</w:t>
      </w:r>
    </w:p>
  </w:footnote>
  <w:footnote w:id="4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Ivecher Bronstei vs. Peru.</w:t>
      </w:r>
      <w:r w:rsidRPr="00B85892">
        <w:rPr>
          <w:rFonts w:ascii="Times New Roman" w:hAnsi="Times New Roman"/>
        </w:rPr>
        <w:t xml:space="preserve"> Sentença de Mérito, Reparações e Custas, 2001, Série C, n</w:t>
      </w:r>
      <w:r w:rsidRPr="00B85892">
        <w:rPr>
          <w:rFonts w:ascii="Times New Roman" w:hAnsi="Times New Roman"/>
          <w:vertAlign w:val="superscript"/>
        </w:rPr>
        <w:t>o</w:t>
      </w:r>
      <w:r w:rsidRPr="00B85892">
        <w:rPr>
          <w:rFonts w:ascii="Times New Roman" w:hAnsi="Times New Roman"/>
        </w:rPr>
        <w:t xml:space="preserve"> 74, par. 112.</w:t>
      </w:r>
    </w:p>
  </w:footnote>
  <w:footnote w:id="4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Gomes Lund e outros vs. Brasil</w:t>
      </w:r>
      <w:r w:rsidRPr="00B85892">
        <w:rPr>
          <w:rFonts w:ascii="Times New Roman" w:hAnsi="Times New Roman"/>
        </w:rPr>
        <w:t xml:space="preserve"> (“Guerrilha do Araguaia”). Sentença de Exceções Preliminares, Mérito, Reparações e Custas, 2010, Série C, n</w:t>
      </w:r>
      <w:r w:rsidRPr="00B85892">
        <w:rPr>
          <w:rFonts w:ascii="Times New Roman" w:hAnsi="Times New Roman"/>
          <w:vertAlign w:val="superscript"/>
        </w:rPr>
        <w:t>o</w:t>
      </w:r>
      <w:r w:rsidRPr="00B85892">
        <w:rPr>
          <w:rFonts w:ascii="Times New Roman" w:hAnsi="Times New Roman"/>
        </w:rPr>
        <w:t xml:space="preserve">219, par.256(a). </w:t>
      </w:r>
    </w:p>
  </w:footnote>
  <w:footnote w:id="4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O conceito de “máximos responsáveis” pode ser concluído a partir da interpretação do art. 1 c/c</w:t>
      </w:r>
      <w:r>
        <w:rPr>
          <w:rFonts w:ascii="Times New Roman" w:hAnsi="Times New Roman"/>
        </w:rPr>
        <w:t xml:space="preserve"> os arts. 25.1 e 25.2 do Estatut</w:t>
      </w:r>
      <w:r w:rsidRPr="00B85892">
        <w:rPr>
          <w:rFonts w:ascii="Times New Roman" w:hAnsi="Times New Roman"/>
        </w:rPr>
        <w:t>o de Roma.</w:t>
      </w:r>
    </w:p>
  </w:footnote>
  <w:footnote w:id="4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20.</w:t>
      </w:r>
    </w:p>
  </w:footnote>
  <w:footnote w:id="4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da </w:t>
      </w:r>
      <w:r w:rsidRPr="00B85892">
        <w:rPr>
          <w:rFonts w:ascii="Times New Roman" w:hAnsi="Times New Roman"/>
          <w:i/>
        </w:rPr>
        <w:t>Comunidade Mayagna (Sumo) Awas Tingni vs. Nicarágua</w:t>
      </w:r>
      <w:r w:rsidRPr="00B85892">
        <w:rPr>
          <w:rFonts w:ascii="Times New Roman" w:hAnsi="Times New Roman"/>
        </w:rPr>
        <w:t>. Sentença de Mérito, Reparações e Custas, 2001, Serie C, n</w:t>
      </w:r>
      <w:r w:rsidRPr="00B85892">
        <w:rPr>
          <w:rFonts w:ascii="Times New Roman" w:hAnsi="Times New Roman"/>
          <w:vertAlign w:val="superscript"/>
        </w:rPr>
        <w:t>o</w:t>
      </w:r>
      <w:r w:rsidRPr="00B85892">
        <w:rPr>
          <w:rFonts w:ascii="Times New Roman" w:hAnsi="Times New Roman"/>
        </w:rPr>
        <w:t xml:space="preserve"> 79, par. 148.</w:t>
      </w:r>
    </w:p>
  </w:footnote>
  <w:footnote w:id="4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507609">
        <w:rPr>
          <w:rFonts w:ascii="Times New Roman" w:hAnsi="Times New Roman"/>
          <w:i/>
        </w:rPr>
        <w:t>Albán Cornejo e outros vs. Equador</w:t>
      </w:r>
      <w:r w:rsidRPr="00B85892">
        <w:rPr>
          <w:rFonts w:ascii="Times New Roman" w:hAnsi="Times New Roman"/>
        </w:rPr>
        <w:t>. Sentença de Mérito, Reparações e Custas, 2007, Série C, nº 171, par. 61.</w:t>
      </w:r>
    </w:p>
  </w:footnote>
  <w:footnote w:id="5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López Alvarez vs. Honduras</w:t>
      </w:r>
      <w:r w:rsidRPr="00B85892">
        <w:rPr>
          <w:rFonts w:ascii="Times New Roman" w:hAnsi="Times New Roman"/>
        </w:rPr>
        <w:t>. Sentença de Mérito, Reparações e Custas, 2006, Série C, nº 141, Voto Dissidente.</w:t>
      </w:r>
    </w:p>
  </w:footnote>
  <w:footnote w:id="5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Masacres de Ituango vs. Colômbia</w:t>
      </w:r>
      <w:r w:rsidRPr="00B85892">
        <w:rPr>
          <w:rFonts w:ascii="Times New Roman" w:hAnsi="Times New Roman"/>
        </w:rPr>
        <w:t>. Sentença de 01/07/2006, Série C, n°148, par. 287.</w:t>
      </w:r>
    </w:p>
  </w:footnote>
  <w:footnote w:id="5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CIDH, Resolução 2005/81, 61º período de sessões, U. N. Documento E/CN. 4/RES/2005/81 de abril de 2005.</w:t>
      </w:r>
    </w:p>
  </w:footnote>
  <w:footnote w:id="5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Corte IDH. Opinião Consultiva nº 9. </w:t>
      </w:r>
      <w:r w:rsidRPr="00B85892">
        <w:rPr>
          <w:rFonts w:ascii="Times New Roman" w:hAnsi="Times New Roman"/>
          <w:i/>
        </w:rPr>
        <w:t>Garantias Judiciais em Estados de Emergência</w:t>
      </w:r>
      <w:r w:rsidRPr="00B85892">
        <w:rPr>
          <w:rFonts w:ascii="Times New Roman" w:hAnsi="Times New Roman"/>
        </w:rPr>
        <w:t>, 1987, Serie A, n</w:t>
      </w:r>
      <w:r w:rsidRPr="00195C63">
        <w:rPr>
          <w:rFonts w:ascii="Times New Roman" w:hAnsi="Times New Roman"/>
          <w:vertAlign w:val="superscript"/>
        </w:rPr>
        <w:t>o</w:t>
      </w:r>
      <w:r w:rsidRPr="00B85892">
        <w:rPr>
          <w:rFonts w:ascii="Times New Roman" w:hAnsi="Times New Roman"/>
        </w:rPr>
        <w:t xml:space="preserve"> 9, par. 27.</w:t>
      </w:r>
    </w:p>
  </w:footnote>
  <w:footnote w:id="5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Comerciantes vs. Colombia.</w:t>
      </w:r>
      <w:r w:rsidRPr="00B85892">
        <w:rPr>
          <w:rFonts w:ascii="Times New Roman" w:hAnsi="Times New Roman"/>
        </w:rPr>
        <w:t xml:space="preserve"> Sentença de Mérito, Reparações e Custas, 2004, Série C, n</w:t>
      </w:r>
      <w:r w:rsidRPr="009745F7">
        <w:rPr>
          <w:rFonts w:ascii="Times New Roman" w:hAnsi="Times New Roman"/>
          <w:vertAlign w:val="superscript"/>
        </w:rPr>
        <w:t>o</w:t>
      </w:r>
      <w:r w:rsidRPr="00B85892">
        <w:rPr>
          <w:rFonts w:ascii="Times New Roman" w:hAnsi="Times New Roman"/>
        </w:rPr>
        <w:t xml:space="preserve"> 109, par. 163.</w:t>
      </w:r>
    </w:p>
  </w:footnote>
  <w:footnote w:id="55">
    <w:p w:rsidR="00C50BE0" w:rsidRPr="00B85892" w:rsidRDefault="00C50BE0" w:rsidP="00B85892">
      <w:pPr>
        <w:spacing w:after="0" w:line="240" w:lineRule="auto"/>
        <w:jc w:val="both"/>
        <w:rPr>
          <w:rFonts w:ascii="Times New Roman" w:hAnsi="Times New Roman"/>
          <w:bCs/>
          <w:sz w:val="20"/>
          <w:szCs w:val="20"/>
        </w:rPr>
      </w:pPr>
      <w:r w:rsidRPr="00B85892">
        <w:rPr>
          <w:rStyle w:val="FootnoteReference"/>
          <w:rFonts w:ascii="Times New Roman" w:hAnsi="Times New Roman"/>
          <w:sz w:val="20"/>
          <w:szCs w:val="20"/>
        </w:rPr>
        <w:footnoteRef/>
      </w:r>
      <w:r w:rsidRPr="00B85892">
        <w:rPr>
          <w:rFonts w:ascii="Times New Roman" w:hAnsi="Times New Roman"/>
          <w:sz w:val="20"/>
          <w:szCs w:val="20"/>
        </w:rPr>
        <w:t xml:space="preserve"> CAPPELLETTI, Mauro; GARTH, Bryant. </w:t>
      </w:r>
      <w:r w:rsidRPr="00B85892">
        <w:rPr>
          <w:rFonts w:ascii="Times New Roman" w:hAnsi="Times New Roman"/>
          <w:i/>
          <w:sz w:val="20"/>
          <w:szCs w:val="20"/>
        </w:rPr>
        <w:t>Acesso à justiça</w:t>
      </w:r>
      <w:r w:rsidRPr="00B85892">
        <w:rPr>
          <w:rFonts w:ascii="Times New Roman" w:hAnsi="Times New Roman"/>
          <w:sz w:val="20"/>
          <w:szCs w:val="20"/>
        </w:rPr>
        <w:t xml:space="preserve">. </w:t>
      </w:r>
      <w:r w:rsidRPr="00B85892">
        <w:rPr>
          <w:rFonts w:ascii="Times New Roman" w:hAnsi="Times New Roman"/>
          <w:bCs/>
          <w:sz w:val="20"/>
          <w:szCs w:val="20"/>
        </w:rPr>
        <w:t>Porto Alegre: Sergio Antonio Fabris Editor, 2002,</w:t>
      </w:r>
      <w:r w:rsidRPr="00B85892">
        <w:rPr>
          <w:rFonts w:ascii="Times New Roman" w:hAnsi="Times New Roman"/>
          <w:sz w:val="20"/>
          <w:szCs w:val="20"/>
        </w:rPr>
        <w:t xml:space="preserve"> p.12.</w:t>
      </w:r>
    </w:p>
  </w:footnote>
  <w:footnote w:id="56">
    <w:p w:rsidR="00C50BE0" w:rsidRPr="00D23C78" w:rsidRDefault="00C50BE0" w:rsidP="00B85892">
      <w:pPr>
        <w:pStyle w:val="FootnoteText"/>
        <w:jc w:val="both"/>
        <w:rPr>
          <w:rFonts w:ascii="Times New Roman" w:hAnsi="Times New Roman"/>
          <w:sz w:val="22"/>
          <w:szCs w:val="22"/>
        </w:rPr>
      </w:pPr>
      <w:r w:rsidRPr="00D23C78">
        <w:rPr>
          <w:rStyle w:val="FootnoteReference"/>
          <w:rFonts w:ascii="Times New Roman" w:hAnsi="Times New Roman"/>
          <w:szCs w:val="22"/>
        </w:rPr>
        <w:footnoteRef/>
      </w:r>
      <w:r w:rsidRPr="00D23C78">
        <w:rPr>
          <w:rFonts w:ascii="Times New Roman" w:hAnsi="Times New Roman"/>
          <w:szCs w:val="22"/>
        </w:rPr>
        <w:t xml:space="preserve"> </w:t>
      </w:r>
      <w:r w:rsidRPr="00D23C78">
        <w:rPr>
          <w:rFonts w:ascii="Times New Roman" w:hAnsi="Times New Roman"/>
          <w:szCs w:val="22"/>
          <w:shd w:val="clear" w:color="auto" w:fill="FFFFFF"/>
        </w:rPr>
        <w:t>Corte IDH, Caso</w:t>
      </w:r>
      <w:r w:rsidRPr="00D23C78">
        <w:rPr>
          <w:rStyle w:val="apple-converted-space"/>
          <w:rFonts w:ascii="Times New Roman" w:hAnsi="Times New Roman"/>
          <w:szCs w:val="22"/>
          <w:shd w:val="clear" w:color="auto" w:fill="FFFFFF"/>
        </w:rPr>
        <w:t> </w:t>
      </w:r>
      <w:r w:rsidRPr="00D23C78">
        <w:rPr>
          <w:rFonts w:ascii="Times New Roman" w:hAnsi="Times New Roman"/>
          <w:i/>
          <w:iCs/>
          <w:szCs w:val="22"/>
          <w:shd w:val="clear" w:color="auto" w:fill="FFFFFF"/>
        </w:rPr>
        <w:t>Mejía Idrovo vs. Equador.</w:t>
      </w:r>
      <w:r w:rsidRPr="00D23C78">
        <w:rPr>
          <w:rStyle w:val="apple-converted-space"/>
          <w:rFonts w:ascii="Times New Roman" w:hAnsi="Times New Roman"/>
          <w:i/>
          <w:iCs/>
          <w:szCs w:val="22"/>
          <w:shd w:val="clear" w:color="auto" w:fill="FFFFFF"/>
        </w:rPr>
        <w:t> </w:t>
      </w:r>
      <w:r w:rsidRPr="00D23C78">
        <w:rPr>
          <w:rFonts w:ascii="Times New Roman" w:hAnsi="Times New Roman"/>
          <w:szCs w:val="22"/>
          <w:shd w:val="clear" w:color="auto" w:fill="FFFFFF"/>
        </w:rPr>
        <w:t>Sentença de Exceções Preliminares, Mérito, Reparações e Custas, 2011, Série C, nº 228, par. 106</w:t>
      </w:r>
      <w:r>
        <w:rPr>
          <w:rFonts w:ascii="Times New Roman" w:hAnsi="Times New Roman"/>
          <w:szCs w:val="22"/>
          <w:shd w:val="clear" w:color="auto" w:fill="FFFFFF"/>
        </w:rPr>
        <w:t>.</w:t>
      </w:r>
    </w:p>
  </w:footnote>
  <w:footnote w:id="5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Velásquez Rodrigues vs. Honduras</w:t>
      </w:r>
      <w:r w:rsidRPr="00B85892">
        <w:rPr>
          <w:rFonts w:ascii="Times New Roman" w:hAnsi="Times New Roman"/>
        </w:rPr>
        <w:t>. Sentença de Mérito, Reparações e Custas, 1989, Série C, n</w:t>
      </w:r>
      <w:r w:rsidRPr="00B85892">
        <w:rPr>
          <w:rFonts w:ascii="Times New Roman" w:hAnsi="Times New Roman"/>
          <w:vertAlign w:val="superscript"/>
        </w:rPr>
        <w:t>o</w:t>
      </w:r>
      <w:r w:rsidRPr="00B85892">
        <w:rPr>
          <w:rFonts w:ascii="Times New Roman" w:hAnsi="Times New Roman"/>
        </w:rPr>
        <w:t xml:space="preserve"> 7, par. 175. </w:t>
      </w:r>
    </w:p>
  </w:footnote>
  <w:footnote w:id="5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 xml:space="preserve">Acevedo Jaramillo e outros vs. Peru. </w:t>
      </w:r>
      <w:r w:rsidRPr="00B85892">
        <w:rPr>
          <w:rFonts w:ascii="Times New Roman" w:hAnsi="Times New Roman"/>
        </w:rPr>
        <w:t>Sentença de Exceções Preliminares, Mérito, Reparações e Custas, 2006, Serie C, n</w:t>
      </w:r>
      <w:r w:rsidRPr="00B85892">
        <w:rPr>
          <w:rFonts w:ascii="Times New Roman" w:hAnsi="Times New Roman"/>
          <w:vertAlign w:val="superscript"/>
        </w:rPr>
        <w:t>o</w:t>
      </w:r>
      <w:r w:rsidRPr="00B85892">
        <w:rPr>
          <w:rFonts w:ascii="Times New Roman" w:hAnsi="Times New Roman"/>
        </w:rPr>
        <w:t xml:space="preserve"> 144, par. 214.</w:t>
      </w:r>
    </w:p>
  </w:footnote>
  <w:footnote w:id="5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Corte IDH.</w:t>
      </w:r>
      <w:r w:rsidRPr="00B85892">
        <w:rPr>
          <w:rFonts w:ascii="Times New Roman" w:hAnsi="Times New Roman"/>
        </w:rPr>
        <w:t xml:space="preserve"> Caso </w:t>
      </w:r>
      <w:r w:rsidRPr="00E41F97">
        <w:rPr>
          <w:rFonts w:ascii="Times New Roman" w:hAnsi="Times New Roman"/>
          <w:i/>
        </w:rPr>
        <w:t>Bámaca Velásquez vs. Guatemala</w:t>
      </w:r>
      <w:r>
        <w:rPr>
          <w:rFonts w:ascii="Times New Roman" w:hAnsi="Times New Roman"/>
        </w:rPr>
        <w:t>.</w:t>
      </w:r>
      <w:r w:rsidRPr="00B85892">
        <w:rPr>
          <w:rFonts w:ascii="Times New Roman" w:hAnsi="Times New Roman"/>
        </w:rPr>
        <w:t xml:space="preserve"> Sentença de Mérito, Reparações e Custas, 2002, Série C, nº 21, par. </w:t>
      </w:r>
      <w:r>
        <w:rPr>
          <w:rFonts w:ascii="Times New Roman" w:hAnsi="Times New Roman"/>
        </w:rPr>
        <w:t>179</w:t>
      </w:r>
      <w:r w:rsidRPr="00B85892">
        <w:rPr>
          <w:rFonts w:ascii="Times New Roman" w:hAnsi="Times New Roman"/>
        </w:rPr>
        <w:t>.</w:t>
      </w:r>
    </w:p>
  </w:footnote>
  <w:footnote w:id="6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Corte IDH.</w:t>
      </w:r>
      <w:r w:rsidRPr="00B85892">
        <w:rPr>
          <w:rFonts w:ascii="Times New Roman" w:hAnsi="Times New Roman"/>
        </w:rPr>
        <w:t xml:space="preserve"> Caso </w:t>
      </w:r>
      <w:r w:rsidRPr="00B85892">
        <w:rPr>
          <w:rFonts w:ascii="Times New Roman" w:hAnsi="Times New Roman"/>
          <w:i/>
        </w:rPr>
        <w:t>Meninas Yean e Bosico vs. República Dominicana</w:t>
      </w:r>
      <w:r>
        <w:rPr>
          <w:rFonts w:ascii="Times New Roman" w:hAnsi="Times New Roman"/>
        </w:rPr>
        <w:t>. Interpretação da Sentença de Exceções Preliminares, Mérito, Reparações e Custas,</w:t>
      </w:r>
      <w:r w:rsidRPr="00B85892">
        <w:rPr>
          <w:rFonts w:ascii="Times New Roman" w:hAnsi="Times New Roman"/>
        </w:rPr>
        <w:t xml:space="preserve"> 2006, Série C, nº 156, par. 113.</w:t>
      </w:r>
    </w:p>
  </w:footnote>
  <w:footnote w:id="6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w:t>
      </w:r>
      <w:r w:rsidRPr="00B85892">
        <w:rPr>
          <w:rFonts w:ascii="Times New Roman" w:hAnsi="Times New Roman"/>
          <w:i/>
        </w:rPr>
        <w:t xml:space="preserve"> Bámaca Velásquez vs. Guatemala. </w:t>
      </w:r>
      <w:r>
        <w:rPr>
          <w:rFonts w:ascii="Times New Roman" w:hAnsi="Times New Roman"/>
        </w:rPr>
        <w:t xml:space="preserve">Sentença de Exceções Preliminares, Mérito, Reparações e Custas, </w:t>
      </w:r>
      <w:r w:rsidRPr="00B85892">
        <w:rPr>
          <w:rFonts w:ascii="Times New Roman" w:hAnsi="Times New Roman"/>
        </w:rPr>
        <w:t>2000, Serie C, n</w:t>
      </w:r>
      <w:r w:rsidRPr="00B85892">
        <w:rPr>
          <w:rFonts w:ascii="Times New Roman" w:hAnsi="Times New Roman"/>
          <w:vertAlign w:val="superscript"/>
        </w:rPr>
        <w:t>o</w:t>
      </w:r>
      <w:r w:rsidRPr="00B85892">
        <w:rPr>
          <w:rFonts w:ascii="Times New Roman" w:hAnsi="Times New Roman"/>
        </w:rPr>
        <w:t xml:space="preserve"> 70, pars. 179 e 180.</w:t>
      </w:r>
    </w:p>
  </w:footnote>
  <w:footnote w:id="6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Gomes Lund e outros vs. Brasil</w:t>
      </w:r>
      <w:r w:rsidRPr="00B85892">
        <w:rPr>
          <w:rFonts w:ascii="Times New Roman" w:hAnsi="Times New Roman"/>
        </w:rPr>
        <w:t xml:space="preserve"> (“Guerrilha do Araguaia”). Sentença de Exceções Preliminares, Mérito, Reparações e Custas, 2010, Série C, n</w:t>
      </w:r>
      <w:r w:rsidRPr="00B85892">
        <w:rPr>
          <w:rFonts w:ascii="Times New Roman" w:hAnsi="Times New Roman"/>
          <w:vertAlign w:val="superscript"/>
        </w:rPr>
        <w:t>o</w:t>
      </w:r>
      <w:r w:rsidRPr="00B85892">
        <w:rPr>
          <w:rFonts w:ascii="Times New Roman" w:hAnsi="Times New Roman"/>
        </w:rPr>
        <w:t xml:space="preserve"> 219, par. 107.</w:t>
      </w:r>
    </w:p>
  </w:footnote>
  <w:footnote w:id="63">
    <w:p w:rsidR="00C50BE0" w:rsidRPr="00B85892" w:rsidRDefault="00C50BE0" w:rsidP="00B85892">
      <w:pPr>
        <w:pStyle w:val="FootnoteText"/>
        <w:jc w:val="both"/>
        <w:rPr>
          <w:rFonts w:ascii="Times New Roman" w:hAnsi="Times New Roman"/>
          <w:i/>
        </w:rPr>
      </w:pPr>
      <w:r w:rsidRPr="00B85892">
        <w:rPr>
          <w:rStyle w:val="FootnoteReference"/>
          <w:rFonts w:ascii="Times New Roman" w:hAnsi="Times New Roman"/>
        </w:rPr>
        <w:footnoteRef/>
      </w:r>
      <w:r>
        <w:rPr>
          <w:rFonts w:ascii="Times New Roman" w:hAnsi="Times New Roman"/>
        </w:rPr>
        <w:t xml:space="preserve"> </w:t>
      </w:r>
      <w:r w:rsidRPr="00B85892">
        <w:rPr>
          <w:rFonts w:ascii="Times New Roman" w:hAnsi="Times New Roman"/>
        </w:rPr>
        <w:t xml:space="preserve">Corte IDH. Caso </w:t>
      </w:r>
      <w:r w:rsidRPr="00B85892">
        <w:rPr>
          <w:rFonts w:ascii="Times New Roman" w:hAnsi="Times New Roman"/>
          <w:i/>
        </w:rPr>
        <w:t>Goiburú e outros vs. Paraguai.</w:t>
      </w:r>
      <w:r w:rsidRPr="00B85892">
        <w:rPr>
          <w:rFonts w:ascii="Times New Roman" w:hAnsi="Times New Roman"/>
        </w:rPr>
        <w:t xml:space="preserve"> Sentença de Mérito, Reparações e Custas, 2006, Serie C, n</w:t>
      </w:r>
      <w:r w:rsidRPr="00B85892">
        <w:rPr>
          <w:rFonts w:ascii="Times New Roman" w:hAnsi="Times New Roman"/>
          <w:vertAlign w:val="superscript"/>
        </w:rPr>
        <w:t>o</w:t>
      </w:r>
      <w:r>
        <w:rPr>
          <w:rFonts w:ascii="Times New Roman" w:hAnsi="Times New Roman"/>
          <w:vertAlign w:val="superscript"/>
        </w:rPr>
        <w:t xml:space="preserve"> </w:t>
      </w:r>
      <w:r w:rsidRPr="00B85892">
        <w:rPr>
          <w:rFonts w:ascii="Times New Roman" w:hAnsi="Times New Roman"/>
        </w:rPr>
        <w:t>53, par. 96.</w:t>
      </w:r>
    </w:p>
  </w:footnote>
  <w:footnote w:id="6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32.</w:t>
      </w:r>
    </w:p>
  </w:footnote>
  <w:footnote w:id="6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Corte IDH. </w:t>
      </w:r>
      <w:r w:rsidRPr="00B85892">
        <w:rPr>
          <w:rFonts w:ascii="Times New Roman" w:hAnsi="Times New Roman"/>
          <w:lang w:val="es-ES"/>
        </w:rPr>
        <w:t xml:space="preserve">Caso </w:t>
      </w:r>
      <w:r w:rsidRPr="00B85892">
        <w:rPr>
          <w:rFonts w:ascii="Times New Roman" w:hAnsi="Times New Roman"/>
          <w:i/>
          <w:lang w:val="es-ES"/>
        </w:rPr>
        <w:t>Villagrán Morales y o</w:t>
      </w:r>
      <w:r>
        <w:rPr>
          <w:rFonts w:ascii="Times New Roman" w:hAnsi="Times New Roman"/>
          <w:i/>
          <w:lang w:val="es-ES"/>
        </w:rPr>
        <w:t>u</w:t>
      </w:r>
      <w:r w:rsidRPr="00B85892">
        <w:rPr>
          <w:rFonts w:ascii="Times New Roman" w:hAnsi="Times New Roman"/>
          <w:i/>
          <w:lang w:val="es-ES"/>
        </w:rPr>
        <w:t xml:space="preserve">tros vs. Guatemala </w:t>
      </w:r>
      <w:r w:rsidRPr="00B85892">
        <w:rPr>
          <w:rFonts w:ascii="Times New Roman" w:hAnsi="Times New Roman"/>
          <w:lang w:val="es-ES"/>
        </w:rPr>
        <w:t xml:space="preserve">(“Niños de la Calle”). </w:t>
      </w:r>
      <w:r w:rsidRPr="00B85892">
        <w:rPr>
          <w:rFonts w:ascii="Times New Roman" w:hAnsi="Times New Roman"/>
        </w:rPr>
        <w:t>Sentença de Mérito, 1999, Serie C</w:t>
      </w:r>
      <w:r>
        <w:rPr>
          <w:rFonts w:ascii="Times New Roman" w:hAnsi="Times New Roman"/>
        </w:rPr>
        <w:t>,</w:t>
      </w:r>
      <w:r w:rsidRPr="00B85892">
        <w:rPr>
          <w:rFonts w:ascii="Times New Roman" w:hAnsi="Times New Roman"/>
        </w:rPr>
        <w:t xml:space="preserve"> n</w:t>
      </w:r>
      <w:r w:rsidRPr="00B85892">
        <w:rPr>
          <w:rFonts w:ascii="Times New Roman" w:hAnsi="Times New Roman"/>
          <w:vertAlign w:val="superscript"/>
        </w:rPr>
        <w:t>o</w:t>
      </w:r>
      <w:r w:rsidRPr="00B85892">
        <w:rPr>
          <w:rFonts w:ascii="Times New Roman" w:hAnsi="Times New Roman"/>
        </w:rPr>
        <w:t xml:space="preserve"> 65, par. 144.</w:t>
      </w:r>
    </w:p>
  </w:footnote>
  <w:footnote w:id="6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xml:space="preserve">, par. 51. </w:t>
      </w:r>
    </w:p>
  </w:footnote>
  <w:footnote w:id="6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 xml:space="preserve">Bolt e outros vs. República Cardenal, </w:t>
      </w:r>
      <w:r w:rsidRPr="00B85892">
        <w:rPr>
          <w:rFonts w:ascii="Times New Roman" w:hAnsi="Times New Roman"/>
        </w:rPr>
        <w:t>par. 42.</w:t>
      </w:r>
    </w:p>
  </w:footnote>
  <w:footnote w:id="6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pars. 44, 45 e 46.</w:t>
      </w:r>
    </w:p>
  </w:footnote>
  <w:footnote w:id="6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 xml:space="preserve">La Cantuta vs. Peru. </w:t>
      </w:r>
      <w:r w:rsidRPr="00B85892">
        <w:rPr>
          <w:rFonts w:ascii="Times New Roman" w:hAnsi="Times New Roman"/>
        </w:rPr>
        <w:t>Sentença de Mérito, Reparações e Custas, 2006, Serie C, n</w:t>
      </w:r>
      <w:r w:rsidRPr="00B85892">
        <w:rPr>
          <w:rFonts w:ascii="Times New Roman" w:hAnsi="Times New Roman"/>
          <w:vertAlign w:val="superscript"/>
        </w:rPr>
        <w:t>o</w:t>
      </w:r>
      <w:r w:rsidRPr="00B85892">
        <w:rPr>
          <w:rFonts w:ascii="Times New Roman" w:hAnsi="Times New Roman"/>
        </w:rPr>
        <w:t xml:space="preserve"> 162, par. 159.</w:t>
      </w:r>
    </w:p>
  </w:footnote>
  <w:footnote w:id="70">
    <w:p w:rsidR="00C50BE0" w:rsidRPr="007E3047"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lang w:val="es-ES"/>
        </w:rPr>
        <w:t xml:space="preserve"> Corte IDH. Caso </w:t>
      </w:r>
      <w:r w:rsidRPr="00B85892">
        <w:rPr>
          <w:rFonts w:ascii="Times New Roman" w:hAnsi="Times New Roman"/>
          <w:i/>
          <w:lang w:val="es-ES"/>
        </w:rPr>
        <w:t>Las Palmeras vs. Colombia</w:t>
      </w:r>
      <w:r w:rsidRPr="00B85892">
        <w:rPr>
          <w:rFonts w:ascii="Times New Roman" w:hAnsi="Times New Roman"/>
          <w:lang w:val="es-ES"/>
        </w:rPr>
        <w:t xml:space="preserve">. </w:t>
      </w:r>
      <w:r w:rsidRPr="007E3047">
        <w:rPr>
          <w:rFonts w:ascii="Times New Roman" w:hAnsi="Times New Roman"/>
        </w:rPr>
        <w:t>Sentença de Mérito, 2001, Serie C, n</w:t>
      </w:r>
      <w:r w:rsidRPr="007E3047">
        <w:rPr>
          <w:rFonts w:ascii="Times New Roman" w:hAnsi="Times New Roman"/>
          <w:vertAlign w:val="superscript"/>
        </w:rPr>
        <w:t>o</w:t>
      </w:r>
      <w:r w:rsidRPr="007E3047">
        <w:rPr>
          <w:rFonts w:ascii="Times New Roman" w:hAnsi="Times New Roman"/>
        </w:rPr>
        <w:t xml:space="preserve"> 67, par. 33. </w:t>
      </w:r>
    </w:p>
  </w:footnote>
  <w:footnote w:id="71">
    <w:p w:rsidR="00C50BE0" w:rsidRPr="007E3047" w:rsidRDefault="00C50BE0" w:rsidP="00B85892">
      <w:pPr>
        <w:pStyle w:val="FootnoteText"/>
        <w:jc w:val="both"/>
        <w:rPr>
          <w:rFonts w:ascii="Times New Roman" w:hAnsi="Times New Roman"/>
        </w:rPr>
      </w:pPr>
      <w:r w:rsidRPr="00B85E3A">
        <w:rPr>
          <w:rStyle w:val="FootnoteReference"/>
          <w:rFonts w:ascii="Times New Roman" w:hAnsi="Times New Roman"/>
        </w:rPr>
        <w:footnoteRef/>
      </w:r>
      <w:r w:rsidRPr="007E3047">
        <w:rPr>
          <w:rFonts w:ascii="Times New Roman" w:hAnsi="Times New Roman"/>
        </w:rPr>
        <w:t xml:space="preserve"> ONU. Comitê de Direitos Humanos, Observação Geral 18, Não discriminação, 10/11/89, CCPR/C/37, par. 7, e Condição Jurídica e Direitos dos Migrantes Indocumentados. </w:t>
      </w:r>
      <w:r w:rsidR="001F3971" w:rsidRPr="007E3047">
        <w:rPr>
          <w:rFonts w:ascii="Times New Roman" w:hAnsi="Times New Roman"/>
        </w:rPr>
        <w:t>Opinião</w:t>
      </w:r>
      <w:r w:rsidRPr="007E3047">
        <w:rPr>
          <w:rFonts w:ascii="Times New Roman" w:hAnsi="Times New Roman"/>
        </w:rPr>
        <w:t xml:space="preserve"> Consultiva OC-18/03 de 17 de setembro de 2003. Serie A ,n</w:t>
      </w:r>
      <w:r w:rsidRPr="007E3047">
        <w:rPr>
          <w:rFonts w:ascii="Times New Roman" w:hAnsi="Times New Roman"/>
          <w:vertAlign w:val="superscript"/>
        </w:rPr>
        <w:t>o</w:t>
      </w:r>
      <w:r w:rsidRPr="007E3047">
        <w:rPr>
          <w:rFonts w:ascii="Times New Roman" w:hAnsi="Times New Roman"/>
        </w:rPr>
        <w:t xml:space="preserve"> 18, par. 92. </w:t>
      </w:r>
    </w:p>
  </w:footnote>
  <w:footnote w:id="7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7E3047">
        <w:rPr>
          <w:rFonts w:ascii="Times New Roman" w:hAnsi="Times New Roman"/>
        </w:rPr>
        <w:t xml:space="preserve"> Corte IDH. Caso </w:t>
      </w:r>
      <w:r w:rsidRPr="007E3047">
        <w:rPr>
          <w:rFonts w:ascii="Times New Roman" w:hAnsi="Times New Roman"/>
          <w:i/>
        </w:rPr>
        <w:t>Artavia Murillo e outros vs. Costa Rica</w:t>
      </w:r>
      <w:r w:rsidRPr="007E3047">
        <w:rPr>
          <w:rFonts w:ascii="Times New Roman" w:hAnsi="Times New Roman"/>
        </w:rPr>
        <w:t xml:space="preserve">. </w:t>
      </w:r>
      <w:r w:rsidRPr="00B85892">
        <w:rPr>
          <w:rFonts w:ascii="Times New Roman" w:hAnsi="Times New Roman"/>
        </w:rPr>
        <w:t>Sentença de Exceções Preliminares, Mérito, Reparação e Custas, 2012, Serie C, n</w:t>
      </w:r>
      <w:r w:rsidRPr="00CD16AD">
        <w:rPr>
          <w:rFonts w:ascii="Times New Roman" w:hAnsi="Times New Roman"/>
          <w:vertAlign w:val="superscript"/>
        </w:rPr>
        <w:t>o</w:t>
      </w:r>
      <w:r w:rsidRPr="00B85892">
        <w:rPr>
          <w:rFonts w:ascii="Times New Roman" w:hAnsi="Times New Roman"/>
        </w:rPr>
        <w:t xml:space="preserve"> 257, par. 285.</w:t>
      </w:r>
    </w:p>
  </w:footnote>
  <w:footnote w:id="7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CIDH.</w:t>
      </w:r>
      <w:r w:rsidRPr="00B85892">
        <w:rPr>
          <w:rFonts w:ascii="Times New Roman" w:hAnsi="Times New Roman"/>
        </w:rPr>
        <w:t xml:space="preserve"> Democracia e Direitos Humanos na Venezuela. Doc. OEA/Ser.L/V/II, Doc</w:t>
      </w:r>
      <w:r>
        <w:rPr>
          <w:rFonts w:ascii="Times New Roman" w:hAnsi="Times New Roman"/>
        </w:rPr>
        <w:t>. 54, 30 de dezembro de 2009, pars.</w:t>
      </w:r>
      <w:r w:rsidRPr="00B85892">
        <w:rPr>
          <w:rFonts w:ascii="Times New Roman" w:hAnsi="Times New Roman"/>
        </w:rPr>
        <w:t xml:space="preserve"> 1052-1061.</w:t>
      </w:r>
    </w:p>
  </w:footnote>
  <w:footnote w:id="7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Pr>
          <w:rFonts w:ascii="Times New Roman" w:hAnsi="Times New Roman"/>
        </w:rPr>
        <w:t>Corte IDH.</w:t>
      </w:r>
      <w:r w:rsidRPr="00B85892">
        <w:rPr>
          <w:rFonts w:ascii="Times New Roman" w:hAnsi="Times New Roman"/>
        </w:rPr>
        <w:t xml:space="preserve"> Caso </w:t>
      </w:r>
      <w:r w:rsidRPr="00B85892">
        <w:rPr>
          <w:rFonts w:ascii="Times New Roman" w:hAnsi="Times New Roman"/>
          <w:i/>
        </w:rPr>
        <w:t>Sawhoyamaxa vs. Paraguai</w:t>
      </w:r>
      <w:r w:rsidRPr="00B85892">
        <w:rPr>
          <w:rFonts w:ascii="Times New Roman" w:hAnsi="Times New Roman"/>
        </w:rPr>
        <w:t xml:space="preserve">. Sentença de </w:t>
      </w:r>
      <w:r>
        <w:rPr>
          <w:rFonts w:ascii="Times New Roman" w:hAnsi="Times New Roman"/>
        </w:rPr>
        <w:t>Mérito</w:t>
      </w:r>
      <w:r w:rsidRPr="00B85892">
        <w:rPr>
          <w:rFonts w:ascii="Times New Roman" w:hAnsi="Times New Roman"/>
        </w:rPr>
        <w:t>, Rep</w:t>
      </w:r>
      <w:r>
        <w:rPr>
          <w:rFonts w:ascii="Times New Roman" w:hAnsi="Times New Roman"/>
        </w:rPr>
        <w:t>arações e Custas, 2006, Série C,</w:t>
      </w:r>
      <w:r w:rsidRPr="00B85892">
        <w:rPr>
          <w:rFonts w:ascii="Times New Roman" w:hAnsi="Times New Roman"/>
        </w:rPr>
        <w:t xml:space="preserve"> nº 146, par. 113 (b).</w:t>
      </w:r>
    </w:p>
  </w:footnote>
  <w:footnote w:id="75">
    <w:p w:rsidR="00C50BE0" w:rsidRPr="00B85892" w:rsidRDefault="00C50BE0" w:rsidP="00B85892">
      <w:pPr>
        <w:spacing w:after="0" w:line="240" w:lineRule="auto"/>
        <w:jc w:val="both"/>
        <w:rPr>
          <w:rFonts w:ascii="Times New Roman" w:eastAsia="Times New Roman" w:hAnsi="Times New Roman"/>
          <w:sz w:val="20"/>
          <w:szCs w:val="20"/>
          <w:lang w:eastAsia="pt-BR"/>
        </w:rPr>
      </w:pPr>
      <w:r w:rsidRPr="00B85892">
        <w:rPr>
          <w:rStyle w:val="FootnoteReference"/>
          <w:rFonts w:ascii="Times New Roman" w:hAnsi="Times New Roman"/>
          <w:sz w:val="20"/>
          <w:szCs w:val="20"/>
        </w:rPr>
        <w:footnoteRef/>
      </w:r>
      <w:r w:rsidRPr="00B85892">
        <w:rPr>
          <w:rFonts w:ascii="Times New Roman" w:hAnsi="Times New Roman"/>
          <w:sz w:val="20"/>
          <w:szCs w:val="20"/>
        </w:rPr>
        <w:t xml:space="preserve"> </w:t>
      </w:r>
      <w:r>
        <w:rPr>
          <w:rFonts w:ascii="Times New Roman" w:eastAsia="Times New Roman" w:hAnsi="Times New Roman"/>
          <w:sz w:val="20"/>
          <w:szCs w:val="20"/>
          <w:lang w:eastAsia="pt-BR"/>
        </w:rPr>
        <w:t>Corte IDH.</w:t>
      </w:r>
      <w:r w:rsidRPr="00B85892">
        <w:rPr>
          <w:rFonts w:ascii="Times New Roman" w:eastAsia="Times New Roman" w:hAnsi="Times New Roman"/>
          <w:sz w:val="20"/>
          <w:szCs w:val="20"/>
          <w:lang w:eastAsia="pt-BR"/>
        </w:rPr>
        <w:t xml:space="preserve"> Caso </w:t>
      </w:r>
      <w:r w:rsidRPr="00B85892">
        <w:rPr>
          <w:rFonts w:ascii="Times New Roman" w:eastAsia="Times New Roman" w:hAnsi="Times New Roman"/>
          <w:i/>
          <w:sz w:val="20"/>
          <w:szCs w:val="20"/>
          <w:lang w:eastAsia="pt-BR"/>
        </w:rPr>
        <w:t>Povo Indígena Kichwa de Sarayaku vs. Equador</w:t>
      </w:r>
      <w:r>
        <w:rPr>
          <w:rFonts w:ascii="Times New Roman" w:eastAsia="Times New Roman" w:hAnsi="Times New Roman"/>
          <w:sz w:val="20"/>
          <w:szCs w:val="20"/>
          <w:lang w:eastAsia="pt-BR"/>
        </w:rPr>
        <w:t>.</w:t>
      </w:r>
      <w:r w:rsidRPr="00B85892">
        <w:rPr>
          <w:rFonts w:ascii="Times New Roman" w:eastAsia="Times New Roman" w:hAnsi="Times New Roman"/>
          <w:sz w:val="20"/>
          <w:szCs w:val="20"/>
          <w:lang w:eastAsia="pt-BR"/>
        </w:rPr>
        <w:t xml:space="preserve"> Sentença de Mérito e Reparações, 2012, Série C, </w:t>
      </w:r>
      <w:r>
        <w:rPr>
          <w:rFonts w:ascii="Times New Roman" w:eastAsia="Times New Roman" w:hAnsi="Times New Roman"/>
          <w:sz w:val="20"/>
          <w:szCs w:val="20"/>
          <w:lang w:eastAsia="pt-BR"/>
        </w:rPr>
        <w:t>nº 245, fls. 107, par. 5. Art.</w:t>
      </w:r>
      <w:r w:rsidRPr="00B85892">
        <w:rPr>
          <w:rFonts w:ascii="Times New Roman" w:eastAsia="Times New Roman" w:hAnsi="Times New Roman"/>
          <w:sz w:val="20"/>
          <w:szCs w:val="20"/>
          <w:lang w:eastAsia="pt-BR"/>
        </w:rPr>
        <w:t xml:space="preserve"> 6, Convenção 169 da OIT.</w:t>
      </w:r>
    </w:p>
  </w:footnote>
  <w:footnote w:id="7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i/>
        </w:rPr>
        <w:t xml:space="preserve"> </w:t>
      </w:r>
      <w:r w:rsidRPr="00B85892">
        <w:rPr>
          <w:rFonts w:ascii="Times New Roman" w:hAnsi="Times New Roman"/>
        </w:rPr>
        <w:t>Corte IDH</w:t>
      </w:r>
      <w:r w:rsidRPr="00B85892">
        <w:rPr>
          <w:rFonts w:ascii="Times New Roman" w:hAnsi="Times New Roman"/>
          <w:i/>
        </w:rPr>
        <w:t xml:space="preserve">. </w:t>
      </w:r>
      <w:r w:rsidRPr="00B85892">
        <w:rPr>
          <w:rFonts w:ascii="Times New Roman" w:hAnsi="Times New Roman"/>
        </w:rPr>
        <w:t>Caso</w:t>
      </w:r>
      <w:r>
        <w:rPr>
          <w:rFonts w:ascii="Times New Roman" w:hAnsi="Times New Roman"/>
          <w:i/>
        </w:rPr>
        <w:t xml:space="preserve"> </w:t>
      </w:r>
      <w:r w:rsidRPr="00F80977">
        <w:rPr>
          <w:rFonts w:ascii="Times New Roman" w:hAnsi="Times New Roman"/>
        </w:rPr>
        <w:t>das</w:t>
      </w:r>
      <w:r>
        <w:rPr>
          <w:rFonts w:ascii="Times New Roman" w:hAnsi="Times New Roman"/>
          <w:i/>
        </w:rPr>
        <w:t xml:space="preserve"> Niñas Yean e Bosico v</w:t>
      </w:r>
      <w:r w:rsidRPr="00B85892">
        <w:rPr>
          <w:rFonts w:ascii="Times New Roman" w:hAnsi="Times New Roman"/>
          <w:i/>
        </w:rPr>
        <w:t>s. República Dominicana</w:t>
      </w:r>
      <w:r>
        <w:rPr>
          <w:rFonts w:ascii="Times New Roman" w:hAnsi="Times New Roman"/>
        </w:rPr>
        <w:t>, pa</w:t>
      </w:r>
      <w:r w:rsidRPr="00B85892">
        <w:rPr>
          <w:rFonts w:ascii="Times New Roman" w:hAnsi="Times New Roman"/>
        </w:rPr>
        <w:t xml:space="preserve">r. 141. Corte IDH. Opinião Consultiva nº 18. </w:t>
      </w:r>
      <w:r>
        <w:rPr>
          <w:rFonts w:ascii="Times New Roman" w:hAnsi="Times New Roman"/>
          <w:i/>
        </w:rPr>
        <w:t>Condição Jurídica e Direito</w:t>
      </w:r>
      <w:r w:rsidRPr="00B85892">
        <w:rPr>
          <w:rFonts w:ascii="Times New Roman" w:hAnsi="Times New Roman"/>
          <w:i/>
        </w:rPr>
        <w:t xml:space="preserve"> dos Migrantes Indocumentados</w:t>
      </w:r>
      <w:r w:rsidRPr="00B85892">
        <w:rPr>
          <w:rFonts w:ascii="Times New Roman" w:hAnsi="Times New Roman"/>
        </w:rPr>
        <w:t>. par. 88.</w:t>
      </w:r>
    </w:p>
  </w:footnote>
  <w:footnote w:id="7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Pr>
          <w:rFonts w:ascii="Times New Roman" w:eastAsia="Times New Roman" w:hAnsi="Times New Roman"/>
          <w:lang w:eastAsia="pt-BR"/>
        </w:rPr>
        <w:t>Corte IDH.</w:t>
      </w:r>
      <w:r w:rsidRPr="00B85892">
        <w:rPr>
          <w:rFonts w:ascii="Times New Roman" w:eastAsia="Times New Roman" w:hAnsi="Times New Roman"/>
          <w:lang w:eastAsia="pt-BR"/>
        </w:rPr>
        <w:t xml:space="preserve"> Caso </w:t>
      </w:r>
      <w:r w:rsidRPr="00B85892">
        <w:rPr>
          <w:rFonts w:ascii="Times New Roman" w:eastAsia="Times New Roman" w:hAnsi="Times New Roman"/>
          <w:i/>
          <w:lang w:eastAsia="pt-BR"/>
        </w:rPr>
        <w:t>Povo Indígena Kichwa de Sarayaku vs. Equador</w:t>
      </w:r>
      <w:r>
        <w:rPr>
          <w:rFonts w:ascii="Times New Roman" w:eastAsia="Times New Roman" w:hAnsi="Times New Roman"/>
          <w:lang w:eastAsia="pt-BR"/>
        </w:rPr>
        <w:t>.</w:t>
      </w:r>
      <w:r w:rsidRPr="00B85892">
        <w:rPr>
          <w:rFonts w:ascii="Times New Roman" w:eastAsia="Times New Roman" w:hAnsi="Times New Roman"/>
          <w:lang w:eastAsia="pt-BR"/>
        </w:rPr>
        <w:t xml:space="preserve"> Sentença de Mérito e Reparações,</w:t>
      </w:r>
      <w:r>
        <w:rPr>
          <w:rFonts w:ascii="Times New Roman" w:eastAsia="Times New Roman" w:hAnsi="Times New Roman"/>
          <w:lang w:eastAsia="pt-BR"/>
        </w:rPr>
        <w:t xml:space="preserve"> 2012, Série C, nº 245</w:t>
      </w:r>
      <w:r w:rsidRPr="00B85892">
        <w:rPr>
          <w:rFonts w:ascii="Times New Roman" w:eastAsia="Times New Roman" w:hAnsi="Times New Roman"/>
          <w:lang w:eastAsia="pt-BR"/>
        </w:rPr>
        <w:t>, par</w:t>
      </w:r>
      <w:r w:rsidRPr="00B85892">
        <w:rPr>
          <w:rFonts w:ascii="Times New Roman" w:hAnsi="Times New Roman"/>
        </w:rPr>
        <w:t>. 146.</w:t>
      </w:r>
    </w:p>
  </w:footnote>
  <w:footnote w:id="7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16.</w:t>
      </w:r>
    </w:p>
  </w:footnote>
  <w:footnote w:id="7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52.</w:t>
      </w:r>
    </w:p>
  </w:footnote>
  <w:footnote w:id="8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sidRPr="00B85892">
        <w:rPr>
          <w:rFonts w:ascii="Times New Roman" w:hAnsi="Times New Roman"/>
          <w:caps/>
        </w:rPr>
        <w:t>Santos</w:t>
      </w:r>
      <w:r w:rsidRPr="00B85892">
        <w:rPr>
          <w:rFonts w:ascii="Times New Roman" w:hAnsi="Times New Roman"/>
        </w:rPr>
        <w:t xml:space="preserve">, Boaventura de Sousa. Por uma concepção multicultural dos direitos humanos. Revista Crítica de Ciências Sociais, nº 48, jun/ 1997. Disponível em: &lt; </w:t>
      </w:r>
      <w:hyperlink w:history="1">
        <w:r w:rsidRPr="00B85892">
          <w:rPr>
            <w:rStyle w:val="Hyperlink"/>
            <w:rFonts w:ascii="Times New Roman" w:hAnsi="Times New Roman"/>
            <w:color w:val="auto"/>
          </w:rPr>
          <w:t>http://www.boaventuradesousasantos.pt /media/pdfs/Concepcao_multicultural_direitos_humanos_RCCS48.PDF</w:t>
        </w:r>
      </w:hyperlink>
      <w:r w:rsidRPr="00B85892">
        <w:rPr>
          <w:rFonts w:ascii="Times New Roman" w:hAnsi="Times New Roman"/>
        </w:rPr>
        <w:t xml:space="preserve">&gt;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E0" w:rsidRPr="00631A8F" w:rsidRDefault="00C50BE0" w:rsidP="005750A8">
    <w:pPr>
      <w:pStyle w:val="Header"/>
      <w:jc w:val="right"/>
      <w:rPr>
        <w:rFonts w:ascii="Times New Roman" w:hAnsi="Times New Roman"/>
        <w:color w:val="A6A6A6" w:themeColor="background1" w:themeShade="A6"/>
        <w:sz w:val="24"/>
        <w:szCs w:val="24"/>
      </w:rPr>
    </w:pPr>
    <w:r w:rsidRPr="00631A8F">
      <w:rPr>
        <w:rFonts w:ascii="Times New Roman" w:hAnsi="Times New Roman"/>
        <w:color w:val="A6A6A6" w:themeColor="background1" w:themeShade="A6"/>
        <w:sz w:val="24"/>
        <w:szCs w:val="24"/>
      </w:rPr>
      <w:t>Equipe 272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04AA"/>
    <w:multiLevelType w:val="hybridMultilevel"/>
    <w:tmpl w:val="297A80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1436DA"/>
    <w:multiLevelType w:val="hybridMultilevel"/>
    <w:tmpl w:val="917496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A267E8"/>
    <w:multiLevelType w:val="hybridMultilevel"/>
    <w:tmpl w:val="2026BB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E02B33"/>
    <w:multiLevelType w:val="hybridMultilevel"/>
    <w:tmpl w:val="685E7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790954"/>
    <w:multiLevelType w:val="multilevel"/>
    <w:tmpl w:val="EEACC2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F77A12"/>
    <w:multiLevelType w:val="hybridMultilevel"/>
    <w:tmpl w:val="EDA8E4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CF1241"/>
    <w:multiLevelType w:val="hybridMultilevel"/>
    <w:tmpl w:val="5C687D9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E2427B"/>
    <w:multiLevelType w:val="multilevel"/>
    <w:tmpl w:val="E1CAAA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46E0193"/>
    <w:multiLevelType w:val="hybridMultilevel"/>
    <w:tmpl w:val="8FF4F9C2"/>
    <w:lvl w:ilvl="0" w:tplc="0D98039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B8156A8"/>
    <w:multiLevelType w:val="hybridMultilevel"/>
    <w:tmpl w:val="877C1A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5F4983"/>
    <w:multiLevelType w:val="multilevel"/>
    <w:tmpl w:val="E1CAAA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9183841"/>
    <w:multiLevelType w:val="multilevel"/>
    <w:tmpl w:val="9DDC915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E4597C"/>
    <w:multiLevelType w:val="hybridMultilevel"/>
    <w:tmpl w:val="286068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D124E8"/>
    <w:multiLevelType w:val="hybridMultilevel"/>
    <w:tmpl w:val="D2803858"/>
    <w:lvl w:ilvl="0" w:tplc="FA948A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734D89"/>
    <w:multiLevelType w:val="multilevel"/>
    <w:tmpl w:val="E1CAAA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
  </w:num>
  <w:num w:numId="3">
    <w:abstractNumId w:val="5"/>
  </w:num>
  <w:num w:numId="4">
    <w:abstractNumId w:val="0"/>
  </w:num>
  <w:num w:numId="5">
    <w:abstractNumId w:val="3"/>
  </w:num>
  <w:num w:numId="6">
    <w:abstractNumId w:val="1"/>
  </w:num>
  <w:num w:numId="7">
    <w:abstractNumId w:val="4"/>
  </w:num>
  <w:num w:numId="8">
    <w:abstractNumId w:val="10"/>
  </w:num>
  <w:num w:numId="9">
    <w:abstractNumId w:val="14"/>
  </w:num>
  <w:num w:numId="10">
    <w:abstractNumId w:val="7"/>
  </w:num>
  <w:num w:numId="11">
    <w:abstractNumId w:val="11"/>
  </w:num>
  <w:num w:numId="12">
    <w:abstractNumId w:val="9"/>
  </w:num>
  <w:num w:numId="13">
    <w:abstractNumId w:val="6"/>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A8"/>
    <w:rsid w:val="00003005"/>
    <w:rsid w:val="00004736"/>
    <w:rsid w:val="00010E7D"/>
    <w:rsid w:val="00012B30"/>
    <w:rsid w:val="00012FE1"/>
    <w:rsid w:val="00013B6D"/>
    <w:rsid w:val="00013CB9"/>
    <w:rsid w:val="00022BB4"/>
    <w:rsid w:val="00022C63"/>
    <w:rsid w:val="00022D3C"/>
    <w:rsid w:val="00024B02"/>
    <w:rsid w:val="00024C4E"/>
    <w:rsid w:val="00027BFD"/>
    <w:rsid w:val="00027D5D"/>
    <w:rsid w:val="000329A0"/>
    <w:rsid w:val="00034D31"/>
    <w:rsid w:val="00035A8F"/>
    <w:rsid w:val="00045C13"/>
    <w:rsid w:val="00046B0A"/>
    <w:rsid w:val="00050244"/>
    <w:rsid w:val="00051349"/>
    <w:rsid w:val="00052DB8"/>
    <w:rsid w:val="0005438F"/>
    <w:rsid w:val="000565D0"/>
    <w:rsid w:val="00060975"/>
    <w:rsid w:val="00062E04"/>
    <w:rsid w:val="000639F3"/>
    <w:rsid w:val="00066025"/>
    <w:rsid w:val="0006733D"/>
    <w:rsid w:val="00067370"/>
    <w:rsid w:val="0006798B"/>
    <w:rsid w:val="00071C31"/>
    <w:rsid w:val="0007206E"/>
    <w:rsid w:val="00074DEF"/>
    <w:rsid w:val="00074EF9"/>
    <w:rsid w:val="00076483"/>
    <w:rsid w:val="00077123"/>
    <w:rsid w:val="00083B4A"/>
    <w:rsid w:val="00083F96"/>
    <w:rsid w:val="00084FB2"/>
    <w:rsid w:val="00085146"/>
    <w:rsid w:val="00087BF5"/>
    <w:rsid w:val="000905A0"/>
    <w:rsid w:val="00090D5E"/>
    <w:rsid w:val="00096797"/>
    <w:rsid w:val="00097703"/>
    <w:rsid w:val="00097E38"/>
    <w:rsid w:val="000A0A57"/>
    <w:rsid w:val="000A34A8"/>
    <w:rsid w:val="000A38BE"/>
    <w:rsid w:val="000A4578"/>
    <w:rsid w:val="000A59D2"/>
    <w:rsid w:val="000B263E"/>
    <w:rsid w:val="000B2DC4"/>
    <w:rsid w:val="000B314D"/>
    <w:rsid w:val="000B3C5A"/>
    <w:rsid w:val="000C08D2"/>
    <w:rsid w:val="000C1E8D"/>
    <w:rsid w:val="000C30E4"/>
    <w:rsid w:val="000C3CA7"/>
    <w:rsid w:val="000C4232"/>
    <w:rsid w:val="000C497B"/>
    <w:rsid w:val="000C5E9F"/>
    <w:rsid w:val="000C5F26"/>
    <w:rsid w:val="000C6BC6"/>
    <w:rsid w:val="000D08D4"/>
    <w:rsid w:val="000D5434"/>
    <w:rsid w:val="000D5F0B"/>
    <w:rsid w:val="000D61F3"/>
    <w:rsid w:val="000D6763"/>
    <w:rsid w:val="000D774C"/>
    <w:rsid w:val="000E4F0E"/>
    <w:rsid w:val="000E66C0"/>
    <w:rsid w:val="000E7912"/>
    <w:rsid w:val="000E7DBD"/>
    <w:rsid w:val="000F197A"/>
    <w:rsid w:val="000F3B58"/>
    <w:rsid w:val="000F796D"/>
    <w:rsid w:val="0010038C"/>
    <w:rsid w:val="0010040C"/>
    <w:rsid w:val="00100858"/>
    <w:rsid w:val="00102D00"/>
    <w:rsid w:val="001033CA"/>
    <w:rsid w:val="00104D2C"/>
    <w:rsid w:val="00105912"/>
    <w:rsid w:val="00106F12"/>
    <w:rsid w:val="00115D2A"/>
    <w:rsid w:val="00116CA9"/>
    <w:rsid w:val="00120984"/>
    <w:rsid w:val="00122618"/>
    <w:rsid w:val="00124C11"/>
    <w:rsid w:val="00124CCD"/>
    <w:rsid w:val="00125121"/>
    <w:rsid w:val="00126F86"/>
    <w:rsid w:val="001309AB"/>
    <w:rsid w:val="00130DDF"/>
    <w:rsid w:val="00131018"/>
    <w:rsid w:val="00131F8E"/>
    <w:rsid w:val="00132419"/>
    <w:rsid w:val="00135B53"/>
    <w:rsid w:val="0014175C"/>
    <w:rsid w:val="00143CED"/>
    <w:rsid w:val="00144B86"/>
    <w:rsid w:val="00146C5C"/>
    <w:rsid w:val="00147B87"/>
    <w:rsid w:val="00147E30"/>
    <w:rsid w:val="00150A43"/>
    <w:rsid w:val="001519FF"/>
    <w:rsid w:val="00153BBE"/>
    <w:rsid w:val="00153CF0"/>
    <w:rsid w:val="001557F4"/>
    <w:rsid w:val="00163B63"/>
    <w:rsid w:val="00170C45"/>
    <w:rsid w:val="0017139C"/>
    <w:rsid w:val="001745E5"/>
    <w:rsid w:val="00176E0E"/>
    <w:rsid w:val="001824CB"/>
    <w:rsid w:val="00182E46"/>
    <w:rsid w:val="00184659"/>
    <w:rsid w:val="00184D7D"/>
    <w:rsid w:val="00186AD2"/>
    <w:rsid w:val="00186F62"/>
    <w:rsid w:val="0019072F"/>
    <w:rsid w:val="00190A8E"/>
    <w:rsid w:val="001921DE"/>
    <w:rsid w:val="00193274"/>
    <w:rsid w:val="00195C0C"/>
    <w:rsid w:val="00195C63"/>
    <w:rsid w:val="00195F2C"/>
    <w:rsid w:val="001A3937"/>
    <w:rsid w:val="001A3A1D"/>
    <w:rsid w:val="001A700A"/>
    <w:rsid w:val="001B0A60"/>
    <w:rsid w:val="001B0FEE"/>
    <w:rsid w:val="001B13C6"/>
    <w:rsid w:val="001B4B50"/>
    <w:rsid w:val="001B4D52"/>
    <w:rsid w:val="001B6063"/>
    <w:rsid w:val="001B7DD6"/>
    <w:rsid w:val="001C07E2"/>
    <w:rsid w:val="001C34AD"/>
    <w:rsid w:val="001C4EA2"/>
    <w:rsid w:val="001C6728"/>
    <w:rsid w:val="001C7404"/>
    <w:rsid w:val="001D165A"/>
    <w:rsid w:val="001D3E92"/>
    <w:rsid w:val="001D64D6"/>
    <w:rsid w:val="001D6521"/>
    <w:rsid w:val="001D7395"/>
    <w:rsid w:val="001D74B7"/>
    <w:rsid w:val="001E1909"/>
    <w:rsid w:val="001E336D"/>
    <w:rsid w:val="001E56A6"/>
    <w:rsid w:val="001E5C7C"/>
    <w:rsid w:val="001F1EDC"/>
    <w:rsid w:val="001F3971"/>
    <w:rsid w:val="001F431F"/>
    <w:rsid w:val="001F43FB"/>
    <w:rsid w:val="001F77AC"/>
    <w:rsid w:val="0020085D"/>
    <w:rsid w:val="00202FBD"/>
    <w:rsid w:val="00203974"/>
    <w:rsid w:val="00205333"/>
    <w:rsid w:val="0020601C"/>
    <w:rsid w:val="0020746C"/>
    <w:rsid w:val="002108BC"/>
    <w:rsid w:val="00211B71"/>
    <w:rsid w:val="00212978"/>
    <w:rsid w:val="002144B0"/>
    <w:rsid w:val="00215237"/>
    <w:rsid w:val="002205B4"/>
    <w:rsid w:val="00220D87"/>
    <w:rsid w:val="002211E3"/>
    <w:rsid w:val="00223F48"/>
    <w:rsid w:val="00224CA4"/>
    <w:rsid w:val="002317C1"/>
    <w:rsid w:val="00231A0A"/>
    <w:rsid w:val="002332DD"/>
    <w:rsid w:val="00234827"/>
    <w:rsid w:val="00236475"/>
    <w:rsid w:val="00236F54"/>
    <w:rsid w:val="00237F5E"/>
    <w:rsid w:val="00240CEA"/>
    <w:rsid w:val="002422DE"/>
    <w:rsid w:val="00245313"/>
    <w:rsid w:val="002459ED"/>
    <w:rsid w:val="0025180F"/>
    <w:rsid w:val="00253E41"/>
    <w:rsid w:val="00256252"/>
    <w:rsid w:val="002628D7"/>
    <w:rsid w:val="00263AA9"/>
    <w:rsid w:val="0026525B"/>
    <w:rsid w:val="00266C36"/>
    <w:rsid w:val="00271450"/>
    <w:rsid w:val="00271777"/>
    <w:rsid w:val="00271F16"/>
    <w:rsid w:val="002770FE"/>
    <w:rsid w:val="002805CC"/>
    <w:rsid w:val="002815A1"/>
    <w:rsid w:val="00282E11"/>
    <w:rsid w:val="00282FC6"/>
    <w:rsid w:val="002831D3"/>
    <w:rsid w:val="00284F47"/>
    <w:rsid w:val="002900D8"/>
    <w:rsid w:val="00290183"/>
    <w:rsid w:val="002911C2"/>
    <w:rsid w:val="0029161E"/>
    <w:rsid w:val="002922D7"/>
    <w:rsid w:val="0029233E"/>
    <w:rsid w:val="00292D4F"/>
    <w:rsid w:val="002A1EB7"/>
    <w:rsid w:val="002A2F76"/>
    <w:rsid w:val="002A3146"/>
    <w:rsid w:val="002A3287"/>
    <w:rsid w:val="002A6C56"/>
    <w:rsid w:val="002A7427"/>
    <w:rsid w:val="002B4BCC"/>
    <w:rsid w:val="002B583C"/>
    <w:rsid w:val="002B6197"/>
    <w:rsid w:val="002B643E"/>
    <w:rsid w:val="002C2BDB"/>
    <w:rsid w:val="002C344A"/>
    <w:rsid w:val="002C44D5"/>
    <w:rsid w:val="002C700E"/>
    <w:rsid w:val="002C736E"/>
    <w:rsid w:val="002D2113"/>
    <w:rsid w:val="002E049C"/>
    <w:rsid w:val="002E1FF0"/>
    <w:rsid w:val="002E34AB"/>
    <w:rsid w:val="002E378C"/>
    <w:rsid w:val="002E677D"/>
    <w:rsid w:val="002E6D76"/>
    <w:rsid w:val="002E78D4"/>
    <w:rsid w:val="00300F39"/>
    <w:rsid w:val="003032E6"/>
    <w:rsid w:val="00304A28"/>
    <w:rsid w:val="0031225F"/>
    <w:rsid w:val="00312C88"/>
    <w:rsid w:val="00322ADE"/>
    <w:rsid w:val="00327215"/>
    <w:rsid w:val="0033126C"/>
    <w:rsid w:val="0033227E"/>
    <w:rsid w:val="003337D9"/>
    <w:rsid w:val="0033470C"/>
    <w:rsid w:val="003348CB"/>
    <w:rsid w:val="00335A85"/>
    <w:rsid w:val="00336796"/>
    <w:rsid w:val="00341070"/>
    <w:rsid w:val="00342FCC"/>
    <w:rsid w:val="003450C5"/>
    <w:rsid w:val="00345383"/>
    <w:rsid w:val="00346555"/>
    <w:rsid w:val="00347B5C"/>
    <w:rsid w:val="003517F5"/>
    <w:rsid w:val="00354418"/>
    <w:rsid w:val="0036003D"/>
    <w:rsid w:val="00363252"/>
    <w:rsid w:val="003653C8"/>
    <w:rsid w:val="00370E6D"/>
    <w:rsid w:val="00373BDF"/>
    <w:rsid w:val="00374E88"/>
    <w:rsid w:val="00377D32"/>
    <w:rsid w:val="003811EA"/>
    <w:rsid w:val="00381D4F"/>
    <w:rsid w:val="0038505D"/>
    <w:rsid w:val="00385DFF"/>
    <w:rsid w:val="00385EDB"/>
    <w:rsid w:val="0039360A"/>
    <w:rsid w:val="0039362C"/>
    <w:rsid w:val="00395340"/>
    <w:rsid w:val="00397D35"/>
    <w:rsid w:val="003A470F"/>
    <w:rsid w:val="003A5667"/>
    <w:rsid w:val="003A7047"/>
    <w:rsid w:val="003B03F5"/>
    <w:rsid w:val="003B048E"/>
    <w:rsid w:val="003B0FF7"/>
    <w:rsid w:val="003B12F6"/>
    <w:rsid w:val="003B1563"/>
    <w:rsid w:val="003B300E"/>
    <w:rsid w:val="003B52CF"/>
    <w:rsid w:val="003B6F33"/>
    <w:rsid w:val="003C06F4"/>
    <w:rsid w:val="003C1E15"/>
    <w:rsid w:val="003C3A76"/>
    <w:rsid w:val="003C5B39"/>
    <w:rsid w:val="003C6388"/>
    <w:rsid w:val="003C775E"/>
    <w:rsid w:val="003C7BDF"/>
    <w:rsid w:val="003D1F8B"/>
    <w:rsid w:val="003D4D3C"/>
    <w:rsid w:val="003D5361"/>
    <w:rsid w:val="003D7DE7"/>
    <w:rsid w:val="003E61A5"/>
    <w:rsid w:val="003E63DB"/>
    <w:rsid w:val="003E79D4"/>
    <w:rsid w:val="003F0F77"/>
    <w:rsid w:val="003F3284"/>
    <w:rsid w:val="003F32A4"/>
    <w:rsid w:val="003F3384"/>
    <w:rsid w:val="003F50C2"/>
    <w:rsid w:val="003F5A11"/>
    <w:rsid w:val="003F69C6"/>
    <w:rsid w:val="00400847"/>
    <w:rsid w:val="00402959"/>
    <w:rsid w:val="00402B71"/>
    <w:rsid w:val="0040603A"/>
    <w:rsid w:val="004077AD"/>
    <w:rsid w:val="00410409"/>
    <w:rsid w:val="00414CD5"/>
    <w:rsid w:val="0041503C"/>
    <w:rsid w:val="00416C02"/>
    <w:rsid w:val="00416FDA"/>
    <w:rsid w:val="00422017"/>
    <w:rsid w:val="00423F57"/>
    <w:rsid w:val="00427964"/>
    <w:rsid w:val="0043132D"/>
    <w:rsid w:val="00431447"/>
    <w:rsid w:val="00432BC7"/>
    <w:rsid w:val="00433B80"/>
    <w:rsid w:val="00436C1F"/>
    <w:rsid w:val="004400F6"/>
    <w:rsid w:val="004401DC"/>
    <w:rsid w:val="00442618"/>
    <w:rsid w:val="004439D1"/>
    <w:rsid w:val="0044420D"/>
    <w:rsid w:val="004459BC"/>
    <w:rsid w:val="00446657"/>
    <w:rsid w:val="0045225C"/>
    <w:rsid w:val="0045430A"/>
    <w:rsid w:val="00456944"/>
    <w:rsid w:val="004578D4"/>
    <w:rsid w:val="0046129F"/>
    <w:rsid w:val="00462055"/>
    <w:rsid w:val="00466118"/>
    <w:rsid w:val="00467141"/>
    <w:rsid w:val="00467E29"/>
    <w:rsid w:val="00471035"/>
    <w:rsid w:val="00471FE7"/>
    <w:rsid w:val="00473CBC"/>
    <w:rsid w:val="00475CB2"/>
    <w:rsid w:val="00481EC2"/>
    <w:rsid w:val="00482244"/>
    <w:rsid w:val="00483CC8"/>
    <w:rsid w:val="00485905"/>
    <w:rsid w:val="004862D4"/>
    <w:rsid w:val="004907D2"/>
    <w:rsid w:val="004924C7"/>
    <w:rsid w:val="00495A29"/>
    <w:rsid w:val="00496DA3"/>
    <w:rsid w:val="00496DC7"/>
    <w:rsid w:val="004A4BD3"/>
    <w:rsid w:val="004A5EF8"/>
    <w:rsid w:val="004A6FA5"/>
    <w:rsid w:val="004B1006"/>
    <w:rsid w:val="004B3261"/>
    <w:rsid w:val="004B37A0"/>
    <w:rsid w:val="004B3A21"/>
    <w:rsid w:val="004B6887"/>
    <w:rsid w:val="004B689E"/>
    <w:rsid w:val="004B6B41"/>
    <w:rsid w:val="004C1B14"/>
    <w:rsid w:val="004C1E49"/>
    <w:rsid w:val="004C50B8"/>
    <w:rsid w:val="004C76D5"/>
    <w:rsid w:val="004D0021"/>
    <w:rsid w:val="004D0178"/>
    <w:rsid w:val="004D0721"/>
    <w:rsid w:val="004D22DC"/>
    <w:rsid w:val="004D3D6F"/>
    <w:rsid w:val="004D6F6A"/>
    <w:rsid w:val="004E348F"/>
    <w:rsid w:val="004E5215"/>
    <w:rsid w:val="004E6A47"/>
    <w:rsid w:val="004F5628"/>
    <w:rsid w:val="004F724B"/>
    <w:rsid w:val="004F77C9"/>
    <w:rsid w:val="004F77F2"/>
    <w:rsid w:val="00500448"/>
    <w:rsid w:val="00500748"/>
    <w:rsid w:val="005017DE"/>
    <w:rsid w:val="00502C85"/>
    <w:rsid w:val="00504034"/>
    <w:rsid w:val="00504DBB"/>
    <w:rsid w:val="00504F7B"/>
    <w:rsid w:val="005059E5"/>
    <w:rsid w:val="0050722A"/>
    <w:rsid w:val="00507609"/>
    <w:rsid w:val="00507C12"/>
    <w:rsid w:val="00510313"/>
    <w:rsid w:val="00511FEA"/>
    <w:rsid w:val="00514BB7"/>
    <w:rsid w:val="005152DB"/>
    <w:rsid w:val="00515807"/>
    <w:rsid w:val="005173D7"/>
    <w:rsid w:val="00520057"/>
    <w:rsid w:val="00520492"/>
    <w:rsid w:val="00520874"/>
    <w:rsid w:val="005211A1"/>
    <w:rsid w:val="005231D4"/>
    <w:rsid w:val="00523878"/>
    <w:rsid w:val="00523A42"/>
    <w:rsid w:val="0052581E"/>
    <w:rsid w:val="00527419"/>
    <w:rsid w:val="005314BC"/>
    <w:rsid w:val="00533675"/>
    <w:rsid w:val="00533C5F"/>
    <w:rsid w:val="00534C4C"/>
    <w:rsid w:val="00535CC7"/>
    <w:rsid w:val="00535E10"/>
    <w:rsid w:val="005429F5"/>
    <w:rsid w:val="00546EBD"/>
    <w:rsid w:val="00551E07"/>
    <w:rsid w:val="00554566"/>
    <w:rsid w:val="0055499A"/>
    <w:rsid w:val="005554D4"/>
    <w:rsid w:val="0055563E"/>
    <w:rsid w:val="00557E8B"/>
    <w:rsid w:val="00563DF2"/>
    <w:rsid w:val="005640DB"/>
    <w:rsid w:val="0056545F"/>
    <w:rsid w:val="00571AA7"/>
    <w:rsid w:val="0057243F"/>
    <w:rsid w:val="00573F68"/>
    <w:rsid w:val="005747C5"/>
    <w:rsid w:val="005750A8"/>
    <w:rsid w:val="0057757A"/>
    <w:rsid w:val="00577F4C"/>
    <w:rsid w:val="00577F97"/>
    <w:rsid w:val="00582789"/>
    <w:rsid w:val="00582DEF"/>
    <w:rsid w:val="005836F6"/>
    <w:rsid w:val="00584F17"/>
    <w:rsid w:val="005922E9"/>
    <w:rsid w:val="005953B2"/>
    <w:rsid w:val="0059561A"/>
    <w:rsid w:val="00596128"/>
    <w:rsid w:val="00596CE3"/>
    <w:rsid w:val="005974FA"/>
    <w:rsid w:val="005A026E"/>
    <w:rsid w:val="005A0AEF"/>
    <w:rsid w:val="005A1C57"/>
    <w:rsid w:val="005A215B"/>
    <w:rsid w:val="005A2FD3"/>
    <w:rsid w:val="005A5602"/>
    <w:rsid w:val="005A5864"/>
    <w:rsid w:val="005B0AAE"/>
    <w:rsid w:val="005B3BE4"/>
    <w:rsid w:val="005B6195"/>
    <w:rsid w:val="005B74E7"/>
    <w:rsid w:val="005C26A9"/>
    <w:rsid w:val="005C4EF4"/>
    <w:rsid w:val="005C60A4"/>
    <w:rsid w:val="005D0E97"/>
    <w:rsid w:val="005D3468"/>
    <w:rsid w:val="005D36F8"/>
    <w:rsid w:val="005D70A4"/>
    <w:rsid w:val="005E2A90"/>
    <w:rsid w:val="005E7A72"/>
    <w:rsid w:val="005F28A6"/>
    <w:rsid w:val="005F2A2B"/>
    <w:rsid w:val="005F4F10"/>
    <w:rsid w:val="005F5904"/>
    <w:rsid w:val="005F5AA9"/>
    <w:rsid w:val="0060200C"/>
    <w:rsid w:val="00602B69"/>
    <w:rsid w:val="0060367D"/>
    <w:rsid w:val="00607543"/>
    <w:rsid w:val="00613735"/>
    <w:rsid w:val="006167AB"/>
    <w:rsid w:val="006168AA"/>
    <w:rsid w:val="006171ED"/>
    <w:rsid w:val="00617867"/>
    <w:rsid w:val="006217B2"/>
    <w:rsid w:val="00631109"/>
    <w:rsid w:val="00631A8F"/>
    <w:rsid w:val="00634A80"/>
    <w:rsid w:val="00636FF7"/>
    <w:rsid w:val="006435DA"/>
    <w:rsid w:val="00644990"/>
    <w:rsid w:val="00645345"/>
    <w:rsid w:val="00647344"/>
    <w:rsid w:val="00650790"/>
    <w:rsid w:val="00651A75"/>
    <w:rsid w:val="00652124"/>
    <w:rsid w:val="0065366B"/>
    <w:rsid w:val="00654DB8"/>
    <w:rsid w:val="0065562C"/>
    <w:rsid w:val="00655D2A"/>
    <w:rsid w:val="0066519D"/>
    <w:rsid w:val="00666598"/>
    <w:rsid w:val="006716E7"/>
    <w:rsid w:val="00672E85"/>
    <w:rsid w:val="00674570"/>
    <w:rsid w:val="0067574E"/>
    <w:rsid w:val="0067708B"/>
    <w:rsid w:val="00677C93"/>
    <w:rsid w:val="00682B4E"/>
    <w:rsid w:val="00683EDD"/>
    <w:rsid w:val="0068468A"/>
    <w:rsid w:val="00684A7C"/>
    <w:rsid w:val="00685FFE"/>
    <w:rsid w:val="00686F40"/>
    <w:rsid w:val="006935E5"/>
    <w:rsid w:val="00693FE6"/>
    <w:rsid w:val="0069625E"/>
    <w:rsid w:val="0069627B"/>
    <w:rsid w:val="00696612"/>
    <w:rsid w:val="006975F1"/>
    <w:rsid w:val="006A2406"/>
    <w:rsid w:val="006A3449"/>
    <w:rsid w:val="006A4786"/>
    <w:rsid w:val="006A628D"/>
    <w:rsid w:val="006A7239"/>
    <w:rsid w:val="006A7DC1"/>
    <w:rsid w:val="006B1AF5"/>
    <w:rsid w:val="006B34AA"/>
    <w:rsid w:val="006C35D1"/>
    <w:rsid w:val="006C35E0"/>
    <w:rsid w:val="006C6678"/>
    <w:rsid w:val="006C6B41"/>
    <w:rsid w:val="006C7419"/>
    <w:rsid w:val="006C7798"/>
    <w:rsid w:val="006D1736"/>
    <w:rsid w:val="006D18F9"/>
    <w:rsid w:val="006D221E"/>
    <w:rsid w:val="006D2A1A"/>
    <w:rsid w:val="006D2FC6"/>
    <w:rsid w:val="006D6E42"/>
    <w:rsid w:val="006E3129"/>
    <w:rsid w:val="006E3522"/>
    <w:rsid w:val="006E47B0"/>
    <w:rsid w:val="006E6768"/>
    <w:rsid w:val="006F037C"/>
    <w:rsid w:val="006F21B3"/>
    <w:rsid w:val="006F5A2A"/>
    <w:rsid w:val="006F5C06"/>
    <w:rsid w:val="006F67A5"/>
    <w:rsid w:val="007021E1"/>
    <w:rsid w:val="00707F5D"/>
    <w:rsid w:val="007107AA"/>
    <w:rsid w:val="00711D67"/>
    <w:rsid w:val="00713004"/>
    <w:rsid w:val="00714B4D"/>
    <w:rsid w:val="00717F7E"/>
    <w:rsid w:val="007214F8"/>
    <w:rsid w:val="00721671"/>
    <w:rsid w:val="0072404B"/>
    <w:rsid w:val="0072522C"/>
    <w:rsid w:val="0072629C"/>
    <w:rsid w:val="0073170E"/>
    <w:rsid w:val="00732E7F"/>
    <w:rsid w:val="0073349C"/>
    <w:rsid w:val="0073674E"/>
    <w:rsid w:val="00736FBD"/>
    <w:rsid w:val="00741344"/>
    <w:rsid w:val="007466AE"/>
    <w:rsid w:val="00746BE7"/>
    <w:rsid w:val="00747139"/>
    <w:rsid w:val="00747D49"/>
    <w:rsid w:val="007503DF"/>
    <w:rsid w:val="007513B3"/>
    <w:rsid w:val="0075273D"/>
    <w:rsid w:val="00752A3B"/>
    <w:rsid w:val="007534F5"/>
    <w:rsid w:val="00753FBA"/>
    <w:rsid w:val="00755E6B"/>
    <w:rsid w:val="007561E1"/>
    <w:rsid w:val="00756D42"/>
    <w:rsid w:val="00760104"/>
    <w:rsid w:val="007605EE"/>
    <w:rsid w:val="00760890"/>
    <w:rsid w:val="007615BA"/>
    <w:rsid w:val="0076184A"/>
    <w:rsid w:val="00763D6E"/>
    <w:rsid w:val="00766490"/>
    <w:rsid w:val="00766D3E"/>
    <w:rsid w:val="007702D7"/>
    <w:rsid w:val="007767E9"/>
    <w:rsid w:val="007814A9"/>
    <w:rsid w:val="00782790"/>
    <w:rsid w:val="0078523B"/>
    <w:rsid w:val="0078578C"/>
    <w:rsid w:val="00790876"/>
    <w:rsid w:val="007909D1"/>
    <w:rsid w:val="00795FAE"/>
    <w:rsid w:val="007A6585"/>
    <w:rsid w:val="007A6620"/>
    <w:rsid w:val="007A7473"/>
    <w:rsid w:val="007B07BE"/>
    <w:rsid w:val="007B2760"/>
    <w:rsid w:val="007B291A"/>
    <w:rsid w:val="007B299E"/>
    <w:rsid w:val="007B5052"/>
    <w:rsid w:val="007B57E0"/>
    <w:rsid w:val="007C1C48"/>
    <w:rsid w:val="007C3A6E"/>
    <w:rsid w:val="007C7CCE"/>
    <w:rsid w:val="007C7E35"/>
    <w:rsid w:val="007D2F5E"/>
    <w:rsid w:val="007D44F3"/>
    <w:rsid w:val="007D5508"/>
    <w:rsid w:val="007D60ED"/>
    <w:rsid w:val="007E2A8D"/>
    <w:rsid w:val="007E2E84"/>
    <w:rsid w:val="007E3047"/>
    <w:rsid w:val="007E3D0A"/>
    <w:rsid w:val="007E4C6C"/>
    <w:rsid w:val="007E79C9"/>
    <w:rsid w:val="007F0068"/>
    <w:rsid w:val="007F55BA"/>
    <w:rsid w:val="007F61DE"/>
    <w:rsid w:val="007F68FD"/>
    <w:rsid w:val="007F703D"/>
    <w:rsid w:val="007F7390"/>
    <w:rsid w:val="007F789B"/>
    <w:rsid w:val="00803FE0"/>
    <w:rsid w:val="00804FC1"/>
    <w:rsid w:val="00805386"/>
    <w:rsid w:val="00807BED"/>
    <w:rsid w:val="00811836"/>
    <w:rsid w:val="00814AB9"/>
    <w:rsid w:val="00815137"/>
    <w:rsid w:val="00816894"/>
    <w:rsid w:val="008169E9"/>
    <w:rsid w:val="00821B27"/>
    <w:rsid w:val="00822D0D"/>
    <w:rsid w:val="008241DA"/>
    <w:rsid w:val="00825074"/>
    <w:rsid w:val="00830882"/>
    <w:rsid w:val="008314B1"/>
    <w:rsid w:val="0083454E"/>
    <w:rsid w:val="00834A75"/>
    <w:rsid w:val="00835545"/>
    <w:rsid w:val="008421A4"/>
    <w:rsid w:val="00843DC4"/>
    <w:rsid w:val="008454DB"/>
    <w:rsid w:val="00846B28"/>
    <w:rsid w:val="00847AB4"/>
    <w:rsid w:val="00854092"/>
    <w:rsid w:val="0085566B"/>
    <w:rsid w:val="008574F3"/>
    <w:rsid w:val="00857A4A"/>
    <w:rsid w:val="008603ED"/>
    <w:rsid w:val="0086140A"/>
    <w:rsid w:val="008627E5"/>
    <w:rsid w:val="0086669E"/>
    <w:rsid w:val="00866986"/>
    <w:rsid w:val="00866A2C"/>
    <w:rsid w:val="008702B5"/>
    <w:rsid w:val="0087383C"/>
    <w:rsid w:val="008744C2"/>
    <w:rsid w:val="00874C76"/>
    <w:rsid w:val="0087554E"/>
    <w:rsid w:val="00876C6D"/>
    <w:rsid w:val="00880756"/>
    <w:rsid w:val="00883BF4"/>
    <w:rsid w:val="008845B5"/>
    <w:rsid w:val="0088545A"/>
    <w:rsid w:val="00886D3B"/>
    <w:rsid w:val="00887338"/>
    <w:rsid w:val="0089220A"/>
    <w:rsid w:val="008A2F5B"/>
    <w:rsid w:val="008A4DFE"/>
    <w:rsid w:val="008A5168"/>
    <w:rsid w:val="008A5C47"/>
    <w:rsid w:val="008A6672"/>
    <w:rsid w:val="008A753C"/>
    <w:rsid w:val="008B529E"/>
    <w:rsid w:val="008C41DC"/>
    <w:rsid w:val="008C58AC"/>
    <w:rsid w:val="008C620B"/>
    <w:rsid w:val="008D1162"/>
    <w:rsid w:val="008D145E"/>
    <w:rsid w:val="008D35A9"/>
    <w:rsid w:val="008D4023"/>
    <w:rsid w:val="008D5CD4"/>
    <w:rsid w:val="008D7FD3"/>
    <w:rsid w:val="008E077B"/>
    <w:rsid w:val="008E09DE"/>
    <w:rsid w:val="008E0C1D"/>
    <w:rsid w:val="008E18B8"/>
    <w:rsid w:val="008E19D1"/>
    <w:rsid w:val="008E264C"/>
    <w:rsid w:val="008E3BBF"/>
    <w:rsid w:val="008E3EF1"/>
    <w:rsid w:val="008E6956"/>
    <w:rsid w:val="008E7104"/>
    <w:rsid w:val="008F19AF"/>
    <w:rsid w:val="008F3C79"/>
    <w:rsid w:val="008F5BE0"/>
    <w:rsid w:val="008F6536"/>
    <w:rsid w:val="008F7731"/>
    <w:rsid w:val="009005BE"/>
    <w:rsid w:val="009029C2"/>
    <w:rsid w:val="009047EF"/>
    <w:rsid w:val="009052D0"/>
    <w:rsid w:val="00907091"/>
    <w:rsid w:val="00907594"/>
    <w:rsid w:val="00910A31"/>
    <w:rsid w:val="00910F1F"/>
    <w:rsid w:val="00914810"/>
    <w:rsid w:val="0091652F"/>
    <w:rsid w:val="00917931"/>
    <w:rsid w:val="00922083"/>
    <w:rsid w:val="009277E2"/>
    <w:rsid w:val="0092785B"/>
    <w:rsid w:val="00930AFC"/>
    <w:rsid w:val="00932F89"/>
    <w:rsid w:val="00933D14"/>
    <w:rsid w:val="00934097"/>
    <w:rsid w:val="00935BA4"/>
    <w:rsid w:val="00937222"/>
    <w:rsid w:val="00940E44"/>
    <w:rsid w:val="00941712"/>
    <w:rsid w:val="00946B08"/>
    <w:rsid w:val="0095234F"/>
    <w:rsid w:val="00953394"/>
    <w:rsid w:val="00954719"/>
    <w:rsid w:val="00954BD9"/>
    <w:rsid w:val="009551FE"/>
    <w:rsid w:val="0095779D"/>
    <w:rsid w:val="00961114"/>
    <w:rsid w:val="00961CDC"/>
    <w:rsid w:val="00965D16"/>
    <w:rsid w:val="009673C9"/>
    <w:rsid w:val="00970A47"/>
    <w:rsid w:val="00970E71"/>
    <w:rsid w:val="009745F7"/>
    <w:rsid w:val="00976508"/>
    <w:rsid w:val="00981396"/>
    <w:rsid w:val="00981A25"/>
    <w:rsid w:val="00983914"/>
    <w:rsid w:val="00984724"/>
    <w:rsid w:val="0098509F"/>
    <w:rsid w:val="0098688F"/>
    <w:rsid w:val="00993BD2"/>
    <w:rsid w:val="00996E7B"/>
    <w:rsid w:val="009A0F19"/>
    <w:rsid w:val="009B1351"/>
    <w:rsid w:val="009B3AE9"/>
    <w:rsid w:val="009B55AC"/>
    <w:rsid w:val="009B5C32"/>
    <w:rsid w:val="009C1EDD"/>
    <w:rsid w:val="009C6751"/>
    <w:rsid w:val="009D0BD5"/>
    <w:rsid w:val="009D2FFB"/>
    <w:rsid w:val="009D38AF"/>
    <w:rsid w:val="009D4B28"/>
    <w:rsid w:val="009D79A6"/>
    <w:rsid w:val="009E0443"/>
    <w:rsid w:val="009E1E8B"/>
    <w:rsid w:val="009E5A5C"/>
    <w:rsid w:val="009E7D0E"/>
    <w:rsid w:val="009F0E15"/>
    <w:rsid w:val="009F209B"/>
    <w:rsid w:val="009F4ECE"/>
    <w:rsid w:val="009F67CE"/>
    <w:rsid w:val="00A00FC7"/>
    <w:rsid w:val="00A0332F"/>
    <w:rsid w:val="00A04660"/>
    <w:rsid w:val="00A07C8A"/>
    <w:rsid w:val="00A13FFC"/>
    <w:rsid w:val="00A1605A"/>
    <w:rsid w:val="00A17B0C"/>
    <w:rsid w:val="00A17BD4"/>
    <w:rsid w:val="00A2028A"/>
    <w:rsid w:val="00A20DD0"/>
    <w:rsid w:val="00A23176"/>
    <w:rsid w:val="00A2401E"/>
    <w:rsid w:val="00A24A3F"/>
    <w:rsid w:val="00A269EA"/>
    <w:rsid w:val="00A278FD"/>
    <w:rsid w:val="00A27C72"/>
    <w:rsid w:val="00A31685"/>
    <w:rsid w:val="00A3248B"/>
    <w:rsid w:val="00A34CE6"/>
    <w:rsid w:val="00A35416"/>
    <w:rsid w:val="00A40239"/>
    <w:rsid w:val="00A416BC"/>
    <w:rsid w:val="00A42F04"/>
    <w:rsid w:val="00A4385B"/>
    <w:rsid w:val="00A517A1"/>
    <w:rsid w:val="00A5237E"/>
    <w:rsid w:val="00A52D5F"/>
    <w:rsid w:val="00A556E6"/>
    <w:rsid w:val="00A633D8"/>
    <w:rsid w:val="00A64348"/>
    <w:rsid w:val="00A675A1"/>
    <w:rsid w:val="00A729CA"/>
    <w:rsid w:val="00A74303"/>
    <w:rsid w:val="00A75F27"/>
    <w:rsid w:val="00A8342F"/>
    <w:rsid w:val="00A8404E"/>
    <w:rsid w:val="00A8484B"/>
    <w:rsid w:val="00A848D7"/>
    <w:rsid w:val="00A85D87"/>
    <w:rsid w:val="00A85DCE"/>
    <w:rsid w:val="00A8659D"/>
    <w:rsid w:val="00A907E0"/>
    <w:rsid w:val="00A913B9"/>
    <w:rsid w:val="00A91DDD"/>
    <w:rsid w:val="00A93566"/>
    <w:rsid w:val="00A94216"/>
    <w:rsid w:val="00A96189"/>
    <w:rsid w:val="00A97183"/>
    <w:rsid w:val="00AA0F0D"/>
    <w:rsid w:val="00AA3B4F"/>
    <w:rsid w:val="00AA51CE"/>
    <w:rsid w:val="00AB25C8"/>
    <w:rsid w:val="00AB365E"/>
    <w:rsid w:val="00AB4F5A"/>
    <w:rsid w:val="00AB5701"/>
    <w:rsid w:val="00AB5D1D"/>
    <w:rsid w:val="00AB5DEF"/>
    <w:rsid w:val="00AB6670"/>
    <w:rsid w:val="00AB7C26"/>
    <w:rsid w:val="00AC1191"/>
    <w:rsid w:val="00AC2387"/>
    <w:rsid w:val="00AC289B"/>
    <w:rsid w:val="00AC2972"/>
    <w:rsid w:val="00AC2B29"/>
    <w:rsid w:val="00AC58DC"/>
    <w:rsid w:val="00AC65B7"/>
    <w:rsid w:val="00AC6C2A"/>
    <w:rsid w:val="00AC6CA2"/>
    <w:rsid w:val="00AD12E7"/>
    <w:rsid w:val="00AD210C"/>
    <w:rsid w:val="00AD3024"/>
    <w:rsid w:val="00AD4937"/>
    <w:rsid w:val="00AE1972"/>
    <w:rsid w:val="00AE2142"/>
    <w:rsid w:val="00AE262F"/>
    <w:rsid w:val="00AE2C7E"/>
    <w:rsid w:val="00AE4EDD"/>
    <w:rsid w:val="00AE54E6"/>
    <w:rsid w:val="00AE7431"/>
    <w:rsid w:val="00AE747C"/>
    <w:rsid w:val="00AF01A4"/>
    <w:rsid w:val="00AF2275"/>
    <w:rsid w:val="00AF5FF4"/>
    <w:rsid w:val="00AF649C"/>
    <w:rsid w:val="00AF6FCE"/>
    <w:rsid w:val="00AF72AB"/>
    <w:rsid w:val="00B01AD2"/>
    <w:rsid w:val="00B035F8"/>
    <w:rsid w:val="00B03D3A"/>
    <w:rsid w:val="00B0672D"/>
    <w:rsid w:val="00B06A8C"/>
    <w:rsid w:val="00B079B0"/>
    <w:rsid w:val="00B07CD4"/>
    <w:rsid w:val="00B10FC5"/>
    <w:rsid w:val="00B11D5C"/>
    <w:rsid w:val="00B12D42"/>
    <w:rsid w:val="00B1385F"/>
    <w:rsid w:val="00B17082"/>
    <w:rsid w:val="00B2283E"/>
    <w:rsid w:val="00B263F3"/>
    <w:rsid w:val="00B2704B"/>
    <w:rsid w:val="00B300F0"/>
    <w:rsid w:val="00B32011"/>
    <w:rsid w:val="00B33CC9"/>
    <w:rsid w:val="00B418A4"/>
    <w:rsid w:val="00B419A3"/>
    <w:rsid w:val="00B41D0B"/>
    <w:rsid w:val="00B42E74"/>
    <w:rsid w:val="00B4584E"/>
    <w:rsid w:val="00B52223"/>
    <w:rsid w:val="00B535DE"/>
    <w:rsid w:val="00B53A5F"/>
    <w:rsid w:val="00B54460"/>
    <w:rsid w:val="00B54727"/>
    <w:rsid w:val="00B54E53"/>
    <w:rsid w:val="00B60089"/>
    <w:rsid w:val="00B60ED9"/>
    <w:rsid w:val="00B632EF"/>
    <w:rsid w:val="00B633F9"/>
    <w:rsid w:val="00B64B17"/>
    <w:rsid w:val="00B64D5F"/>
    <w:rsid w:val="00B66DD3"/>
    <w:rsid w:val="00B73CDC"/>
    <w:rsid w:val="00B74986"/>
    <w:rsid w:val="00B7644C"/>
    <w:rsid w:val="00B81C36"/>
    <w:rsid w:val="00B81C81"/>
    <w:rsid w:val="00B85410"/>
    <w:rsid w:val="00B85892"/>
    <w:rsid w:val="00B85E3A"/>
    <w:rsid w:val="00B861CF"/>
    <w:rsid w:val="00B87042"/>
    <w:rsid w:val="00B90C50"/>
    <w:rsid w:val="00B92A26"/>
    <w:rsid w:val="00B92E61"/>
    <w:rsid w:val="00B96333"/>
    <w:rsid w:val="00B97B19"/>
    <w:rsid w:val="00B97B40"/>
    <w:rsid w:val="00B97CE6"/>
    <w:rsid w:val="00BA00D2"/>
    <w:rsid w:val="00BA2EF0"/>
    <w:rsid w:val="00BA3CA5"/>
    <w:rsid w:val="00BA46B1"/>
    <w:rsid w:val="00BA560B"/>
    <w:rsid w:val="00BA5EF3"/>
    <w:rsid w:val="00BB16E0"/>
    <w:rsid w:val="00BB254C"/>
    <w:rsid w:val="00BB331C"/>
    <w:rsid w:val="00BB347E"/>
    <w:rsid w:val="00BB3EB0"/>
    <w:rsid w:val="00BB5005"/>
    <w:rsid w:val="00BB5C02"/>
    <w:rsid w:val="00BB7162"/>
    <w:rsid w:val="00BC01DE"/>
    <w:rsid w:val="00BC1F02"/>
    <w:rsid w:val="00BC3874"/>
    <w:rsid w:val="00BC6B83"/>
    <w:rsid w:val="00BD0A91"/>
    <w:rsid w:val="00BD4302"/>
    <w:rsid w:val="00BD49D7"/>
    <w:rsid w:val="00BD5815"/>
    <w:rsid w:val="00BD5A95"/>
    <w:rsid w:val="00BE303D"/>
    <w:rsid w:val="00BF411D"/>
    <w:rsid w:val="00BF661C"/>
    <w:rsid w:val="00C01C20"/>
    <w:rsid w:val="00C15B08"/>
    <w:rsid w:val="00C15D6B"/>
    <w:rsid w:val="00C165E6"/>
    <w:rsid w:val="00C167E9"/>
    <w:rsid w:val="00C1795B"/>
    <w:rsid w:val="00C3262A"/>
    <w:rsid w:val="00C33776"/>
    <w:rsid w:val="00C34384"/>
    <w:rsid w:val="00C354F9"/>
    <w:rsid w:val="00C35A26"/>
    <w:rsid w:val="00C46399"/>
    <w:rsid w:val="00C46E63"/>
    <w:rsid w:val="00C50BE0"/>
    <w:rsid w:val="00C51538"/>
    <w:rsid w:val="00C5174E"/>
    <w:rsid w:val="00C548E5"/>
    <w:rsid w:val="00C61C4B"/>
    <w:rsid w:val="00C62002"/>
    <w:rsid w:val="00C67546"/>
    <w:rsid w:val="00C703C4"/>
    <w:rsid w:val="00C70746"/>
    <w:rsid w:val="00C71FA6"/>
    <w:rsid w:val="00C73F26"/>
    <w:rsid w:val="00C74E7A"/>
    <w:rsid w:val="00C8104B"/>
    <w:rsid w:val="00C8236C"/>
    <w:rsid w:val="00C83A5B"/>
    <w:rsid w:val="00C84AC1"/>
    <w:rsid w:val="00C84D9E"/>
    <w:rsid w:val="00C86227"/>
    <w:rsid w:val="00C87F73"/>
    <w:rsid w:val="00C90883"/>
    <w:rsid w:val="00C92909"/>
    <w:rsid w:val="00C93B6C"/>
    <w:rsid w:val="00C94CBB"/>
    <w:rsid w:val="00C95FC9"/>
    <w:rsid w:val="00C96969"/>
    <w:rsid w:val="00CA3B3C"/>
    <w:rsid w:val="00CA66DD"/>
    <w:rsid w:val="00CA759E"/>
    <w:rsid w:val="00CB249C"/>
    <w:rsid w:val="00CB2ED2"/>
    <w:rsid w:val="00CB78A2"/>
    <w:rsid w:val="00CC093C"/>
    <w:rsid w:val="00CC4771"/>
    <w:rsid w:val="00CC543D"/>
    <w:rsid w:val="00CC5D24"/>
    <w:rsid w:val="00CC63F6"/>
    <w:rsid w:val="00CC6F7B"/>
    <w:rsid w:val="00CD057F"/>
    <w:rsid w:val="00CD12F0"/>
    <w:rsid w:val="00CD16AD"/>
    <w:rsid w:val="00CD5B96"/>
    <w:rsid w:val="00CD62BF"/>
    <w:rsid w:val="00CE15C2"/>
    <w:rsid w:val="00CE172B"/>
    <w:rsid w:val="00CE2A46"/>
    <w:rsid w:val="00CE2FDC"/>
    <w:rsid w:val="00CE44C5"/>
    <w:rsid w:val="00CF005F"/>
    <w:rsid w:val="00CF08D9"/>
    <w:rsid w:val="00CF5DC2"/>
    <w:rsid w:val="00CF6D64"/>
    <w:rsid w:val="00CF72E9"/>
    <w:rsid w:val="00CF7D11"/>
    <w:rsid w:val="00D043B1"/>
    <w:rsid w:val="00D055EC"/>
    <w:rsid w:val="00D11621"/>
    <w:rsid w:val="00D1190E"/>
    <w:rsid w:val="00D11DF9"/>
    <w:rsid w:val="00D126AC"/>
    <w:rsid w:val="00D13C6B"/>
    <w:rsid w:val="00D159A2"/>
    <w:rsid w:val="00D218A3"/>
    <w:rsid w:val="00D21C28"/>
    <w:rsid w:val="00D22167"/>
    <w:rsid w:val="00D22E6F"/>
    <w:rsid w:val="00D23C78"/>
    <w:rsid w:val="00D24C63"/>
    <w:rsid w:val="00D24D61"/>
    <w:rsid w:val="00D2677D"/>
    <w:rsid w:val="00D2703C"/>
    <w:rsid w:val="00D30690"/>
    <w:rsid w:val="00D306A5"/>
    <w:rsid w:val="00D3117E"/>
    <w:rsid w:val="00D325D0"/>
    <w:rsid w:val="00D408BD"/>
    <w:rsid w:val="00D414BA"/>
    <w:rsid w:val="00D43A1B"/>
    <w:rsid w:val="00D44EF2"/>
    <w:rsid w:val="00D4512A"/>
    <w:rsid w:val="00D5419F"/>
    <w:rsid w:val="00D56C52"/>
    <w:rsid w:val="00D57402"/>
    <w:rsid w:val="00D57910"/>
    <w:rsid w:val="00D604DD"/>
    <w:rsid w:val="00D60D9B"/>
    <w:rsid w:val="00D64295"/>
    <w:rsid w:val="00D671C9"/>
    <w:rsid w:val="00D70682"/>
    <w:rsid w:val="00D74234"/>
    <w:rsid w:val="00D80D9E"/>
    <w:rsid w:val="00D827FB"/>
    <w:rsid w:val="00D91B47"/>
    <w:rsid w:val="00D943CB"/>
    <w:rsid w:val="00D94C22"/>
    <w:rsid w:val="00D95D31"/>
    <w:rsid w:val="00D97213"/>
    <w:rsid w:val="00D97BBC"/>
    <w:rsid w:val="00DA0498"/>
    <w:rsid w:val="00DA25AB"/>
    <w:rsid w:val="00DA25EB"/>
    <w:rsid w:val="00DA2DA6"/>
    <w:rsid w:val="00DA3B96"/>
    <w:rsid w:val="00DA4FBF"/>
    <w:rsid w:val="00DA586D"/>
    <w:rsid w:val="00DB02E9"/>
    <w:rsid w:val="00DB3773"/>
    <w:rsid w:val="00DB3F57"/>
    <w:rsid w:val="00DB447D"/>
    <w:rsid w:val="00DB6669"/>
    <w:rsid w:val="00DB69D9"/>
    <w:rsid w:val="00DC0144"/>
    <w:rsid w:val="00DC08C0"/>
    <w:rsid w:val="00DC52DC"/>
    <w:rsid w:val="00DC5A45"/>
    <w:rsid w:val="00DD0120"/>
    <w:rsid w:val="00DD56E8"/>
    <w:rsid w:val="00DE0280"/>
    <w:rsid w:val="00DE1D03"/>
    <w:rsid w:val="00DE548C"/>
    <w:rsid w:val="00DE57D4"/>
    <w:rsid w:val="00DF3091"/>
    <w:rsid w:val="00DF4917"/>
    <w:rsid w:val="00DF5847"/>
    <w:rsid w:val="00DF65C1"/>
    <w:rsid w:val="00E009B4"/>
    <w:rsid w:val="00E05032"/>
    <w:rsid w:val="00E063F1"/>
    <w:rsid w:val="00E07B03"/>
    <w:rsid w:val="00E13626"/>
    <w:rsid w:val="00E15A04"/>
    <w:rsid w:val="00E17849"/>
    <w:rsid w:val="00E20550"/>
    <w:rsid w:val="00E21527"/>
    <w:rsid w:val="00E21843"/>
    <w:rsid w:val="00E21CEC"/>
    <w:rsid w:val="00E2333D"/>
    <w:rsid w:val="00E2671F"/>
    <w:rsid w:val="00E278B1"/>
    <w:rsid w:val="00E30CAE"/>
    <w:rsid w:val="00E30CBB"/>
    <w:rsid w:val="00E3107F"/>
    <w:rsid w:val="00E3721D"/>
    <w:rsid w:val="00E41F97"/>
    <w:rsid w:val="00E42A15"/>
    <w:rsid w:val="00E44262"/>
    <w:rsid w:val="00E456CE"/>
    <w:rsid w:val="00E4738D"/>
    <w:rsid w:val="00E477C3"/>
    <w:rsid w:val="00E50987"/>
    <w:rsid w:val="00E51EBE"/>
    <w:rsid w:val="00E52BF7"/>
    <w:rsid w:val="00E52E74"/>
    <w:rsid w:val="00E57ED1"/>
    <w:rsid w:val="00E60F4C"/>
    <w:rsid w:val="00E627D8"/>
    <w:rsid w:val="00E63D53"/>
    <w:rsid w:val="00E64E63"/>
    <w:rsid w:val="00E73C06"/>
    <w:rsid w:val="00E73F46"/>
    <w:rsid w:val="00E74421"/>
    <w:rsid w:val="00E745BD"/>
    <w:rsid w:val="00E76355"/>
    <w:rsid w:val="00E7796D"/>
    <w:rsid w:val="00E82988"/>
    <w:rsid w:val="00E91716"/>
    <w:rsid w:val="00E917E6"/>
    <w:rsid w:val="00E92C7D"/>
    <w:rsid w:val="00E93F61"/>
    <w:rsid w:val="00E942BC"/>
    <w:rsid w:val="00E95287"/>
    <w:rsid w:val="00E958C0"/>
    <w:rsid w:val="00E96049"/>
    <w:rsid w:val="00E974C5"/>
    <w:rsid w:val="00E97C04"/>
    <w:rsid w:val="00EA1591"/>
    <w:rsid w:val="00EA3D6F"/>
    <w:rsid w:val="00EA7EDD"/>
    <w:rsid w:val="00EB01D9"/>
    <w:rsid w:val="00EB1DA4"/>
    <w:rsid w:val="00EB1DFB"/>
    <w:rsid w:val="00EB28F5"/>
    <w:rsid w:val="00EB4B56"/>
    <w:rsid w:val="00EB7B5C"/>
    <w:rsid w:val="00EC0410"/>
    <w:rsid w:val="00EC0E7E"/>
    <w:rsid w:val="00EC0EEE"/>
    <w:rsid w:val="00EC16C0"/>
    <w:rsid w:val="00EC4C02"/>
    <w:rsid w:val="00EC52E6"/>
    <w:rsid w:val="00EC74CC"/>
    <w:rsid w:val="00ED01A1"/>
    <w:rsid w:val="00ED292A"/>
    <w:rsid w:val="00ED3B1A"/>
    <w:rsid w:val="00ED6FE2"/>
    <w:rsid w:val="00EE0D87"/>
    <w:rsid w:val="00EE2B76"/>
    <w:rsid w:val="00EE4E44"/>
    <w:rsid w:val="00EF1F0F"/>
    <w:rsid w:val="00EF3951"/>
    <w:rsid w:val="00EF5B8F"/>
    <w:rsid w:val="00EF5D61"/>
    <w:rsid w:val="00EF63E4"/>
    <w:rsid w:val="00EF6C70"/>
    <w:rsid w:val="00EF7901"/>
    <w:rsid w:val="00F015D0"/>
    <w:rsid w:val="00F0286D"/>
    <w:rsid w:val="00F038E7"/>
    <w:rsid w:val="00F05FC0"/>
    <w:rsid w:val="00F0623F"/>
    <w:rsid w:val="00F103B3"/>
    <w:rsid w:val="00F10F3A"/>
    <w:rsid w:val="00F124B3"/>
    <w:rsid w:val="00F20007"/>
    <w:rsid w:val="00F200C0"/>
    <w:rsid w:val="00F230BD"/>
    <w:rsid w:val="00F24417"/>
    <w:rsid w:val="00F3081B"/>
    <w:rsid w:val="00F31B87"/>
    <w:rsid w:val="00F31E61"/>
    <w:rsid w:val="00F31F88"/>
    <w:rsid w:val="00F324CB"/>
    <w:rsid w:val="00F32E3D"/>
    <w:rsid w:val="00F35BC3"/>
    <w:rsid w:val="00F37E90"/>
    <w:rsid w:val="00F43AAB"/>
    <w:rsid w:val="00F44801"/>
    <w:rsid w:val="00F450D8"/>
    <w:rsid w:val="00F4608D"/>
    <w:rsid w:val="00F50175"/>
    <w:rsid w:val="00F53546"/>
    <w:rsid w:val="00F5428E"/>
    <w:rsid w:val="00F558D9"/>
    <w:rsid w:val="00F563CD"/>
    <w:rsid w:val="00F62458"/>
    <w:rsid w:val="00F62BB9"/>
    <w:rsid w:val="00F645C8"/>
    <w:rsid w:val="00F654C5"/>
    <w:rsid w:val="00F65560"/>
    <w:rsid w:val="00F67037"/>
    <w:rsid w:val="00F700DC"/>
    <w:rsid w:val="00F73A7E"/>
    <w:rsid w:val="00F73D99"/>
    <w:rsid w:val="00F76FC0"/>
    <w:rsid w:val="00F77BC9"/>
    <w:rsid w:val="00F80977"/>
    <w:rsid w:val="00F80FCC"/>
    <w:rsid w:val="00F82845"/>
    <w:rsid w:val="00F83014"/>
    <w:rsid w:val="00F8519D"/>
    <w:rsid w:val="00F862CD"/>
    <w:rsid w:val="00F87599"/>
    <w:rsid w:val="00F87A90"/>
    <w:rsid w:val="00F90DE0"/>
    <w:rsid w:val="00F91B33"/>
    <w:rsid w:val="00F92613"/>
    <w:rsid w:val="00F937A4"/>
    <w:rsid w:val="00FA05CC"/>
    <w:rsid w:val="00FA2275"/>
    <w:rsid w:val="00FA2B5E"/>
    <w:rsid w:val="00FA4004"/>
    <w:rsid w:val="00FA7643"/>
    <w:rsid w:val="00FA7AA2"/>
    <w:rsid w:val="00FB19CF"/>
    <w:rsid w:val="00FB1C07"/>
    <w:rsid w:val="00FB1DC8"/>
    <w:rsid w:val="00FB3D13"/>
    <w:rsid w:val="00FB5491"/>
    <w:rsid w:val="00FB67A8"/>
    <w:rsid w:val="00FC1182"/>
    <w:rsid w:val="00FC11A5"/>
    <w:rsid w:val="00FC2BB7"/>
    <w:rsid w:val="00FC69C1"/>
    <w:rsid w:val="00FD0A1F"/>
    <w:rsid w:val="00FD1542"/>
    <w:rsid w:val="00FD4E54"/>
    <w:rsid w:val="00FE32A7"/>
    <w:rsid w:val="00FE3478"/>
    <w:rsid w:val="00FE5564"/>
    <w:rsid w:val="00FE5783"/>
    <w:rsid w:val="00FE7895"/>
    <w:rsid w:val="00FF0E43"/>
    <w:rsid w:val="00FF60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801319C-364B-4928-BF9C-9D9C2101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0A8"/>
    <w:pPr>
      <w:spacing w:after="200" w:line="276" w:lineRule="auto"/>
    </w:pPr>
    <w:rPr>
      <w:sz w:val="22"/>
      <w:szCs w:val="22"/>
      <w:lang w:eastAsia="en-US"/>
    </w:rPr>
  </w:style>
  <w:style w:type="paragraph" w:styleId="Heading1">
    <w:name w:val="heading 1"/>
    <w:basedOn w:val="Normal"/>
    <w:next w:val="Normal"/>
    <w:link w:val="Heading1Char"/>
    <w:uiPriority w:val="9"/>
    <w:qFormat/>
    <w:rsid w:val="005750A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5750A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5750A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0A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750A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750A8"/>
    <w:rPr>
      <w:rFonts w:ascii="Cambria" w:eastAsia="Times New Roman" w:hAnsi="Cambria" w:cs="Times New Roman"/>
      <w:b/>
      <w:bCs/>
      <w:color w:val="4F81BD"/>
    </w:rPr>
  </w:style>
  <w:style w:type="paragraph" w:styleId="Header">
    <w:name w:val="header"/>
    <w:basedOn w:val="Normal"/>
    <w:link w:val="HeaderChar"/>
    <w:uiPriority w:val="99"/>
    <w:unhideWhenUsed/>
    <w:rsid w:val="005750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50A8"/>
    <w:rPr>
      <w:rFonts w:ascii="Calibri" w:eastAsia="Calibri" w:hAnsi="Calibri" w:cs="Times New Roman"/>
    </w:rPr>
  </w:style>
  <w:style w:type="paragraph" w:styleId="Footer">
    <w:name w:val="footer"/>
    <w:basedOn w:val="Normal"/>
    <w:link w:val="FooterChar"/>
    <w:uiPriority w:val="99"/>
    <w:unhideWhenUsed/>
    <w:rsid w:val="005750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5750A8"/>
    <w:rPr>
      <w:rFonts w:ascii="Calibri" w:eastAsia="Calibri" w:hAnsi="Calibri" w:cs="Times New Roman"/>
    </w:rPr>
  </w:style>
  <w:style w:type="paragraph" w:styleId="BalloonText">
    <w:name w:val="Balloon Text"/>
    <w:basedOn w:val="Normal"/>
    <w:link w:val="BalloonTextChar"/>
    <w:uiPriority w:val="99"/>
    <w:semiHidden/>
    <w:unhideWhenUsed/>
    <w:rsid w:val="0057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A8"/>
    <w:rPr>
      <w:rFonts w:ascii="Tahoma" w:eastAsia="Calibri" w:hAnsi="Tahoma" w:cs="Tahoma"/>
      <w:sz w:val="16"/>
      <w:szCs w:val="16"/>
    </w:rPr>
  </w:style>
  <w:style w:type="paragraph" w:styleId="TOCHeading">
    <w:name w:val="TOC Heading"/>
    <w:basedOn w:val="Heading1"/>
    <w:next w:val="Normal"/>
    <w:uiPriority w:val="39"/>
    <w:qFormat/>
    <w:rsid w:val="005750A8"/>
    <w:pPr>
      <w:outlineLvl w:val="9"/>
    </w:pPr>
  </w:style>
  <w:style w:type="paragraph" w:styleId="TOC2">
    <w:name w:val="toc 2"/>
    <w:basedOn w:val="Normal"/>
    <w:next w:val="Normal"/>
    <w:autoRedefine/>
    <w:uiPriority w:val="39"/>
    <w:unhideWhenUsed/>
    <w:qFormat/>
    <w:rsid w:val="005750A8"/>
    <w:pPr>
      <w:spacing w:before="120" w:after="0"/>
      <w:ind w:left="220"/>
    </w:pPr>
    <w:rPr>
      <w:rFonts w:asciiTheme="minorHAnsi" w:hAnsiTheme="minorHAnsi"/>
      <w:b/>
      <w:bCs/>
    </w:rPr>
  </w:style>
  <w:style w:type="paragraph" w:styleId="TOC1">
    <w:name w:val="toc 1"/>
    <w:basedOn w:val="Normal"/>
    <w:next w:val="Normal"/>
    <w:autoRedefine/>
    <w:uiPriority w:val="39"/>
    <w:unhideWhenUsed/>
    <w:qFormat/>
    <w:rsid w:val="00C50BE0"/>
    <w:pPr>
      <w:spacing w:before="120" w:after="0"/>
    </w:pPr>
    <w:rPr>
      <w:rFonts w:asciiTheme="minorHAnsi" w:hAnsiTheme="minorHAnsi"/>
      <w:b/>
      <w:bCs/>
      <w:i/>
      <w:iCs/>
      <w:sz w:val="24"/>
      <w:szCs w:val="24"/>
    </w:rPr>
  </w:style>
  <w:style w:type="paragraph" w:styleId="TOC3">
    <w:name w:val="toc 3"/>
    <w:basedOn w:val="Normal"/>
    <w:next w:val="Normal"/>
    <w:autoRedefine/>
    <w:uiPriority w:val="39"/>
    <w:unhideWhenUsed/>
    <w:qFormat/>
    <w:rsid w:val="005750A8"/>
    <w:pPr>
      <w:spacing w:after="0"/>
      <w:ind w:left="440"/>
    </w:pPr>
    <w:rPr>
      <w:rFonts w:asciiTheme="minorHAnsi" w:hAnsiTheme="minorHAnsi"/>
      <w:sz w:val="20"/>
      <w:szCs w:val="20"/>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C,ft"/>
    <w:basedOn w:val="Normal"/>
    <w:link w:val="FootnoteTextChar"/>
    <w:unhideWhenUsed/>
    <w:qFormat/>
    <w:rsid w:val="005750A8"/>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rsid w:val="005750A8"/>
    <w:rPr>
      <w:rFonts w:ascii="Calibri" w:eastAsia="Calibri" w:hAnsi="Calibri" w:cs="Times New Roman"/>
      <w:sz w:val="20"/>
      <w:szCs w:val="20"/>
    </w:rPr>
  </w:style>
  <w:style w:type="character" w:styleId="FootnoteReference">
    <w:name w:val="footnote reference"/>
    <w:basedOn w:val="DefaultParagraphFont"/>
    <w:uiPriority w:val="99"/>
    <w:unhideWhenUsed/>
    <w:rsid w:val="005750A8"/>
    <w:rPr>
      <w:vertAlign w:val="superscript"/>
    </w:rPr>
  </w:style>
  <w:style w:type="paragraph" w:styleId="ListParagraph">
    <w:name w:val="List Paragraph"/>
    <w:basedOn w:val="Normal"/>
    <w:uiPriority w:val="34"/>
    <w:qFormat/>
    <w:rsid w:val="005750A8"/>
    <w:pPr>
      <w:ind w:left="720"/>
      <w:contextualSpacing/>
    </w:pPr>
  </w:style>
  <w:style w:type="paragraph" w:styleId="Subtitle">
    <w:name w:val="Subtitle"/>
    <w:aliases w:val="Simulado"/>
    <w:basedOn w:val="Normal"/>
    <w:next w:val="Normal"/>
    <w:link w:val="SubtitleChar"/>
    <w:uiPriority w:val="11"/>
    <w:qFormat/>
    <w:rsid w:val="005750A8"/>
    <w:pPr>
      <w:numPr>
        <w:ilvl w:val="1"/>
      </w:numPr>
      <w:spacing w:before="240" w:after="240"/>
      <w:jc w:val="both"/>
    </w:pPr>
    <w:rPr>
      <w:rFonts w:ascii="Times New Roman" w:eastAsia="Times New Roman" w:hAnsi="Times New Roman"/>
      <w:iCs/>
      <w:spacing w:val="15"/>
      <w:sz w:val="24"/>
      <w:szCs w:val="24"/>
    </w:rPr>
  </w:style>
  <w:style w:type="character" w:customStyle="1" w:styleId="SubtitleChar">
    <w:name w:val="Subtitle Char"/>
    <w:aliases w:val="Simulado Char"/>
    <w:basedOn w:val="DefaultParagraphFont"/>
    <w:link w:val="Subtitle"/>
    <w:uiPriority w:val="11"/>
    <w:rsid w:val="005750A8"/>
    <w:rPr>
      <w:rFonts w:ascii="Times New Roman" w:eastAsia="Times New Roman" w:hAnsi="Times New Roman" w:cs="Times New Roman"/>
      <w:iCs/>
      <w:spacing w:val="15"/>
      <w:sz w:val="24"/>
      <w:szCs w:val="24"/>
    </w:rPr>
  </w:style>
  <w:style w:type="character" w:customStyle="1" w:styleId="Caracteresdenotaderodap">
    <w:name w:val="Caracteres de nota de rodapé"/>
    <w:basedOn w:val="DefaultParagraphFont"/>
    <w:rsid w:val="005750A8"/>
    <w:rPr>
      <w:vertAlign w:val="superscript"/>
    </w:rPr>
  </w:style>
  <w:style w:type="character" w:styleId="Hyperlink">
    <w:name w:val="Hyperlink"/>
    <w:basedOn w:val="DefaultParagraphFont"/>
    <w:uiPriority w:val="99"/>
    <w:unhideWhenUsed/>
    <w:rsid w:val="005750A8"/>
    <w:rPr>
      <w:color w:val="0000FF"/>
      <w:u w:val="single"/>
    </w:rPr>
  </w:style>
  <w:style w:type="paragraph" w:customStyle="1" w:styleId="SemEspaamento1">
    <w:name w:val="Sem Espaçamento1"/>
    <w:aliases w:val="Memorial"/>
    <w:link w:val="SemEspaamentoChar"/>
    <w:uiPriority w:val="1"/>
    <w:qFormat/>
    <w:rsid w:val="005750A8"/>
    <w:pPr>
      <w:spacing w:line="480" w:lineRule="auto"/>
      <w:jc w:val="both"/>
    </w:pPr>
    <w:rPr>
      <w:rFonts w:ascii="Times New Roman" w:hAnsi="Times New Roman"/>
      <w:sz w:val="24"/>
      <w:szCs w:val="22"/>
      <w:lang w:eastAsia="en-US"/>
    </w:rPr>
  </w:style>
  <w:style w:type="character" w:customStyle="1" w:styleId="SemEspaamentoChar">
    <w:name w:val="Sem Espaçamento Char"/>
    <w:aliases w:val="Memorial Char"/>
    <w:basedOn w:val="DefaultParagraphFont"/>
    <w:link w:val="SemEspaamento1"/>
    <w:uiPriority w:val="1"/>
    <w:rsid w:val="005750A8"/>
    <w:rPr>
      <w:rFonts w:ascii="Times New Roman" w:eastAsia="Calibri" w:hAnsi="Times New Roman" w:cs="Times New Roman"/>
      <w:sz w:val="24"/>
      <w:szCs w:val="22"/>
      <w:lang w:val="pt-BR" w:eastAsia="en-US" w:bidi="ar-SA"/>
    </w:rPr>
  </w:style>
  <w:style w:type="character" w:styleId="LineNumber">
    <w:name w:val="line number"/>
    <w:basedOn w:val="DefaultParagraphFont"/>
    <w:uiPriority w:val="99"/>
    <w:semiHidden/>
    <w:unhideWhenUsed/>
    <w:rsid w:val="005750A8"/>
  </w:style>
  <w:style w:type="paragraph" w:styleId="NormalWeb">
    <w:name w:val="Normal (Web)"/>
    <w:basedOn w:val="Normal"/>
    <w:uiPriority w:val="99"/>
    <w:unhideWhenUsed/>
    <w:rsid w:val="005750A8"/>
    <w:pPr>
      <w:spacing w:before="100" w:beforeAutospacing="1" w:after="100" w:afterAutospacing="1" w:line="240" w:lineRule="auto"/>
    </w:pPr>
    <w:rPr>
      <w:rFonts w:ascii="Times New Roman" w:eastAsia="Times New Roman" w:hAnsi="Times New Roman"/>
      <w:sz w:val="24"/>
      <w:szCs w:val="24"/>
      <w:lang w:eastAsia="pt-BR"/>
    </w:rPr>
  </w:style>
  <w:style w:type="character" w:styleId="Emphasis">
    <w:name w:val="Emphasis"/>
    <w:basedOn w:val="DefaultParagraphFont"/>
    <w:uiPriority w:val="20"/>
    <w:qFormat/>
    <w:rsid w:val="005750A8"/>
    <w:rPr>
      <w:b/>
      <w:bCs/>
      <w:i w:val="0"/>
      <w:iCs w:val="0"/>
    </w:rPr>
  </w:style>
  <w:style w:type="character" w:customStyle="1" w:styleId="apple-converted-space">
    <w:name w:val="apple-converted-space"/>
    <w:basedOn w:val="DefaultParagraphFont"/>
    <w:rsid w:val="00087BF5"/>
  </w:style>
  <w:style w:type="character" w:styleId="SubtleReference">
    <w:name w:val="Subtle Reference"/>
    <w:aliases w:val="Título Maior"/>
    <w:basedOn w:val="DefaultParagraphFont"/>
    <w:uiPriority w:val="31"/>
    <w:qFormat/>
    <w:rsid w:val="00B54E53"/>
    <w:rPr>
      <w:rFonts w:ascii="Times New Roman" w:hAnsi="Times New Roman"/>
      <w:b/>
      <w:smallCaps/>
      <w:color w:val="auto"/>
      <w:sz w:val="24"/>
      <w:u w:val="none"/>
    </w:rPr>
  </w:style>
  <w:style w:type="character" w:styleId="CommentReference">
    <w:name w:val="annotation reference"/>
    <w:basedOn w:val="DefaultParagraphFont"/>
    <w:uiPriority w:val="99"/>
    <w:semiHidden/>
    <w:unhideWhenUsed/>
    <w:rsid w:val="00B54E53"/>
    <w:rPr>
      <w:sz w:val="16"/>
      <w:szCs w:val="16"/>
    </w:rPr>
  </w:style>
  <w:style w:type="paragraph" w:styleId="CommentText">
    <w:name w:val="annotation text"/>
    <w:basedOn w:val="Normal"/>
    <w:link w:val="CommentTextChar"/>
    <w:uiPriority w:val="99"/>
    <w:semiHidden/>
    <w:unhideWhenUsed/>
    <w:rsid w:val="00B54E53"/>
    <w:pPr>
      <w:spacing w:line="240" w:lineRule="auto"/>
    </w:pPr>
    <w:rPr>
      <w:rFonts w:asciiTheme="minorHAnsi" w:eastAsiaTheme="minorEastAsia" w:hAnsiTheme="minorHAnsi" w:cstheme="minorBidi"/>
      <w:sz w:val="20"/>
      <w:szCs w:val="20"/>
      <w:lang w:eastAsia="pt-BR"/>
    </w:rPr>
  </w:style>
  <w:style w:type="character" w:customStyle="1" w:styleId="CommentTextChar">
    <w:name w:val="Comment Text Char"/>
    <w:basedOn w:val="DefaultParagraphFont"/>
    <w:link w:val="CommentText"/>
    <w:uiPriority w:val="99"/>
    <w:semiHidden/>
    <w:rsid w:val="00B54E53"/>
    <w:rPr>
      <w:rFonts w:asciiTheme="minorHAnsi" w:eastAsiaTheme="minorEastAsia" w:hAnsiTheme="minorHAnsi" w:cstheme="minorBidi"/>
    </w:rPr>
  </w:style>
  <w:style w:type="character" w:styleId="BookTitle">
    <w:name w:val="Book Title"/>
    <w:basedOn w:val="DefaultParagraphFont"/>
    <w:uiPriority w:val="33"/>
    <w:rsid w:val="00C71FA6"/>
    <w:rPr>
      <w:b/>
      <w:bCs/>
      <w:smallCaps/>
      <w:spacing w:val="5"/>
    </w:rPr>
  </w:style>
  <w:style w:type="paragraph" w:styleId="HTMLPreformatted">
    <w:name w:val="HTML Preformatted"/>
    <w:basedOn w:val="Normal"/>
    <w:link w:val="HTMLPreformattedChar"/>
    <w:uiPriority w:val="99"/>
    <w:unhideWhenUsed/>
    <w:rsid w:val="00C71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C71FA6"/>
    <w:rPr>
      <w:rFonts w:ascii="Courier New" w:eastAsia="Times New Roman" w:hAnsi="Courier New" w:cs="Courier New"/>
    </w:rPr>
  </w:style>
  <w:style w:type="paragraph" w:styleId="CommentSubject">
    <w:name w:val="annotation subject"/>
    <w:basedOn w:val="CommentText"/>
    <w:next w:val="CommentText"/>
    <w:link w:val="CommentSubjectChar"/>
    <w:uiPriority w:val="99"/>
    <w:semiHidden/>
    <w:unhideWhenUsed/>
    <w:rsid w:val="00E51EBE"/>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E51EBE"/>
    <w:rPr>
      <w:rFonts w:asciiTheme="minorHAnsi" w:eastAsiaTheme="minorEastAsia" w:hAnsiTheme="minorHAnsi" w:cstheme="minorBidi"/>
      <w:b/>
      <w:bCs/>
      <w:lang w:eastAsia="en-US"/>
    </w:rPr>
  </w:style>
  <w:style w:type="character" w:styleId="FollowedHyperlink">
    <w:name w:val="FollowedHyperlink"/>
    <w:basedOn w:val="DefaultParagraphFont"/>
    <w:uiPriority w:val="99"/>
    <w:semiHidden/>
    <w:unhideWhenUsed/>
    <w:rsid w:val="000C4232"/>
    <w:rPr>
      <w:color w:val="800080" w:themeColor="followedHyperlink"/>
      <w:u w:val="single"/>
    </w:rPr>
  </w:style>
  <w:style w:type="character" w:styleId="Strong">
    <w:name w:val="Strong"/>
    <w:basedOn w:val="DefaultParagraphFont"/>
    <w:uiPriority w:val="22"/>
    <w:qFormat/>
    <w:rsid w:val="0076184A"/>
    <w:rPr>
      <w:b/>
      <w:bCs/>
    </w:rPr>
  </w:style>
  <w:style w:type="paragraph" w:styleId="TOC4">
    <w:name w:val="toc 4"/>
    <w:basedOn w:val="Normal"/>
    <w:next w:val="Normal"/>
    <w:autoRedefine/>
    <w:uiPriority w:val="39"/>
    <w:unhideWhenUsed/>
    <w:rsid w:val="00C50BE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C50BE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C50BE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50BE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50BE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50BE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6619">
      <w:bodyDiv w:val="1"/>
      <w:marLeft w:val="0"/>
      <w:marRight w:val="0"/>
      <w:marTop w:val="0"/>
      <w:marBottom w:val="0"/>
      <w:divBdr>
        <w:top w:val="none" w:sz="0" w:space="0" w:color="auto"/>
        <w:left w:val="none" w:sz="0" w:space="0" w:color="auto"/>
        <w:bottom w:val="none" w:sz="0" w:space="0" w:color="auto"/>
        <w:right w:val="none" w:sz="0" w:space="0" w:color="auto"/>
      </w:divBdr>
    </w:div>
    <w:div w:id="194581879">
      <w:bodyDiv w:val="1"/>
      <w:marLeft w:val="0"/>
      <w:marRight w:val="0"/>
      <w:marTop w:val="0"/>
      <w:marBottom w:val="0"/>
      <w:divBdr>
        <w:top w:val="none" w:sz="0" w:space="0" w:color="auto"/>
        <w:left w:val="none" w:sz="0" w:space="0" w:color="auto"/>
        <w:bottom w:val="none" w:sz="0" w:space="0" w:color="auto"/>
        <w:right w:val="none" w:sz="0" w:space="0" w:color="auto"/>
      </w:divBdr>
    </w:div>
    <w:div w:id="364211104">
      <w:bodyDiv w:val="1"/>
      <w:marLeft w:val="0"/>
      <w:marRight w:val="0"/>
      <w:marTop w:val="0"/>
      <w:marBottom w:val="0"/>
      <w:divBdr>
        <w:top w:val="none" w:sz="0" w:space="0" w:color="auto"/>
        <w:left w:val="none" w:sz="0" w:space="0" w:color="auto"/>
        <w:bottom w:val="none" w:sz="0" w:space="0" w:color="auto"/>
        <w:right w:val="none" w:sz="0" w:space="0" w:color="auto"/>
      </w:divBdr>
      <w:divsChild>
        <w:div w:id="1497261210">
          <w:marLeft w:val="0"/>
          <w:marRight w:val="0"/>
          <w:marTop w:val="0"/>
          <w:marBottom w:val="0"/>
          <w:divBdr>
            <w:top w:val="none" w:sz="0" w:space="0" w:color="auto"/>
            <w:left w:val="none" w:sz="0" w:space="0" w:color="auto"/>
            <w:bottom w:val="none" w:sz="0" w:space="0" w:color="auto"/>
            <w:right w:val="none" w:sz="0" w:space="0" w:color="auto"/>
          </w:divBdr>
          <w:divsChild>
            <w:div w:id="1641038414">
              <w:marLeft w:val="0"/>
              <w:marRight w:val="0"/>
              <w:marTop w:val="0"/>
              <w:marBottom w:val="90"/>
              <w:divBdr>
                <w:top w:val="none" w:sz="0" w:space="0" w:color="auto"/>
                <w:left w:val="none" w:sz="0" w:space="0" w:color="auto"/>
                <w:bottom w:val="none" w:sz="0" w:space="0" w:color="auto"/>
                <w:right w:val="none" w:sz="0" w:space="0" w:color="auto"/>
              </w:divBdr>
              <w:divsChild>
                <w:div w:id="18094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8431">
      <w:bodyDiv w:val="1"/>
      <w:marLeft w:val="0"/>
      <w:marRight w:val="0"/>
      <w:marTop w:val="0"/>
      <w:marBottom w:val="0"/>
      <w:divBdr>
        <w:top w:val="none" w:sz="0" w:space="0" w:color="auto"/>
        <w:left w:val="none" w:sz="0" w:space="0" w:color="auto"/>
        <w:bottom w:val="none" w:sz="0" w:space="0" w:color="auto"/>
        <w:right w:val="none" w:sz="0" w:space="0" w:color="auto"/>
      </w:divBdr>
    </w:div>
    <w:div w:id="1052969095">
      <w:bodyDiv w:val="1"/>
      <w:marLeft w:val="0"/>
      <w:marRight w:val="0"/>
      <w:marTop w:val="0"/>
      <w:marBottom w:val="0"/>
      <w:divBdr>
        <w:top w:val="none" w:sz="0" w:space="0" w:color="auto"/>
        <w:left w:val="none" w:sz="0" w:space="0" w:color="auto"/>
        <w:bottom w:val="none" w:sz="0" w:space="0" w:color="auto"/>
        <w:right w:val="none" w:sz="0" w:space="0" w:color="auto"/>
      </w:divBdr>
      <w:divsChild>
        <w:div w:id="877397718">
          <w:marLeft w:val="0"/>
          <w:marRight w:val="0"/>
          <w:marTop w:val="0"/>
          <w:marBottom w:val="0"/>
          <w:divBdr>
            <w:top w:val="none" w:sz="0" w:space="0" w:color="auto"/>
            <w:left w:val="none" w:sz="0" w:space="0" w:color="auto"/>
            <w:bottom w:val="none" w:sz="0" w:space="0" w:color="auto"/>
            <w:right w:val="none" w:sz="0" w:space="0" w:color="auto"/>
          </w:divBdr>
          <w:divsChild>
            <w:div w:id="1848591563">
              <w:marLeft w:val="0"/>
              <w:marRight w:val="0"/>
              <w:marTop w:val="0"/>
              <w:marBottom w:val="90"/>
              <w:divBdr>
                <w:top w:val="none" w:sz="0" w:space="0" w:color="auto"/>
                <w:left w:val="none" w:sz="0" w:space="0" w:color="auto"/>
                <w:bottom w:val="none" w:sz="0" w:space="0" w:color="auto"/>
                <w:right w:val="none" w:sz="0" w:space="0" w:color="auto"/>
              </w:divBdr>
              <w:divsChild>
                <w:div w:id="1552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0507">
          <w:marLeft w:val="0"/>
          <w:marRight w:val="0"/>
          <w:marTop w:val="0"/>
          <w:marBottom w:val="0"/>
          <w:divBdr>
            <w:top w:val="none" w:sz="0" w:space="0" w:color="auto"/>
            <w:left w:val="none" w:sz="0" w:space="0" w:color="auto"/>
            <w:bottom w:val="none" w:sz="0" w:space="0" w:color="auto"/>
            <w:right w:val="none" w:sz="0" w:space="0" w:color="auto"/>
          </w:divBdr>
          <w:divsChild>
            <w:div w:id="1228149919">
              <w:marLeft w:val="0"/>
              <w:marRight w:val="0"/>
              <w:marTop w:val="0"/>
              <w:marBottom w:val="0"/>
              <w:divBdr>
                <w:top w:val="none" w:sz="0" w:space="0" w:color="auto"/>
                <w:left w:val="none" w:sz="0" w:space="0" w:color="auto"/>
                <w:bottom w:val="none" w:sz="0" w:space="0" w:color="auto"/>
                <w:right w:val="none" w:sz="0" w:space="0" w:color="auto"/>
              </w:divBdr>
            </w:div>
            <w:div w:id="945502060">
              <w:marLeft w:val="0"/>
              <w:marRight w:val="0"/>
              <w:marTop w:val="0"/>
              <w:marBottom w:val="0"/>
              <w:divBdr>
                <w:top w:val="none" w:sz="0" w:space="0" w:color="auto"/>
                <w:left w:val="none" w:sz="0" w:space="0" w:color="auto"/>
                <w:bottom w:val="none" w:sz="0" w:space="0" w:color="auto"/>
                <w:right w:val="none" w:sz="0" w:space="0" w:color="auto"/>
              </w:divBdr>
            </w:div>
            <w:div w:id="11152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tj.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litarypower.com.br/mundo.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i.ba.gov.br/index.php?option=com_content&amp;id=137&amp;Itemid=221" TargetMode="External"/><Relationship Id="rId4" Type="http://schemas.openxmlformats.org/officeDocument/2006/relationships/settings" Target="settings.xml"/><Relationship Id="rId9" Type="http://schemas.openxmlformats.org/officeDocument/2006/relationships/hyperlink" Target="https://norbertobobbio.wordpress.com/2011/06/27/america-latina-e-as-ditaduras-militares-fatores-historico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i.ba.gov.br/index.php?option=com_content&amp;id=137&amp;Itemid=221" TargetMode="External"/><Relationship Id="rId2" Type="http://schemas.openxmlformats.org/officeDocument/2006/relationships/hyperlink" Target="https://norbertobobbio.wordpress.com/2011/06/27/america-latina-e-as-ditaduras-militares-fatores-historicos/" TargetMode="External"/><Relationship Id="rId1" Type="http://schemas.openxmlformats.org/officeDocument/2006/relationships/hyperlink" Target="http://www.militarypower.com.br/mundo.htm" TargetMode="External"/><Relationship Id="rId4" Type="http://schemas.openxmlformats.org/officeDocument/2006/relationships/hyperlink" Target="http://www.ictj.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352DA-A138-43D6-A100-B674E491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8739</Words>
  <Characters>49817</Characters>
  <Application>Microsoft Office Word</Application>
  <DocSecurity>0</DocSecurity>
  <Lines>415</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Washington College of Law</Company>
  <LinksUpToDate>false</LinksUpToDate>
  <CharactersWithSpaces>58440</CharactersWithSpaces>
  <SharedDoc>false</SharedDoc>
  <HLinks>
    <vt:vector size="210" baseType="variant">
      <vt:variant>
        <vt:i4>1507377</vt:i4>
      </vt:variant>
      <vt:variant>
        <vt:i4>206</vt:i4>
      </vt:variant>
      <vt:variant>
        <vt:i4>0</vt:i4>
      </vt:variant>
      <vt:variant>
        <vt:i4>5</vt:i4>
      </vt:variant>
      <vt:variant>
        <vt:lpwstr/>
      </vt:variant>
      <vt:variant>
        <vt:lpwstr>_Toc289098300</vt:lpwstr>
      </vt:variant>
      <vt:variant>
        <vt:i4>1966128</vt:i4>
      </vt:variant>
      <vt:variant>
        <vt:i4>200</vt:i4>
      </vt:variant>
      <vt:variant>
        <vt:i4>0</vt:i4>
      </vt:variant>
      <vt:variant>
        <vt:i4>5</vt:i4>
      </vt:variant>
      <vt:variant>
        <vt:lpwstr/>
      </vt:variant>
      <vt:variant>
        <vt:lpwstr>_Toc289098299</vt:lpwstr>
      </vt:variant>
      <vt:variant>
        <vt:i4>1966128</vt:i4>
      </vt:variant>
      <vt:variant>
        <vt:i4>194</vt:i4>
      </vt:variant>
      <vt:variant>
        <vt:i4>0</vt:i4>
      </vt:variant>
      <vt:variant>
        <vt:i4>5</vt:i4>
      </vt:variant>
      <vt:variant>
        <vt:lpwstr/>
      </vt:variant>
      <vt:variant>
        <vt:lpwstr>_Toc289098298</vt:lpwstr>
      </vt:variant>
      <vt:variant>
        <vt:i4>1966128</vt:i4>
      </vt:variant>
      <vt:variant>
        <vt:i4>188</vt:i4>
      </vt:variant>
      <vt:variant>
        <vt:i4>0</vt:i4>
      </vt:variant>
      <vt:variant>
        <vt:i4>5</vt:i4>
      </vt:variant>
      <vt:variant>
        <vt:lpwstr/>
      </vt:variant>
      <vt:variant>
        <vt:lpwstr>_Toc289098297</vt:lpwstr>
      </vt:variant>
      <vt:variant>
        <vt:i4>1966128</vt:i4>
      </vt:variant>
      <vt:variant>
        <vt:i4>182</vt:i4>
      </vt:variant>
      <vt:variant>
        <vt:i4>0</vt:i4>
      </vt:variant>
      <vt:variant>
        <vt:i4>5</vt:i4>
      </vt:variant>
      <vt:variant>
        <vt:lpwstr/>
      </vt:variant>
      <vt:variant>
        <vt:lpwstr>_Toc289098296</vt:lpwstr>
      </vt:variant>
      <vt:variant>
        <vt:i4>1966128</vt:i4>
      </vt:variant>
      <vt:variant>
        <vt:i4>176</vt:i4>
      </vt:variant>
      <vt:variant>
        <vt:i4>0</vt:i4>
      </vt:variant>
      <vt:variant>
        <vt:i4>5</vt:i4>
      </vt:variant>
      <vt:variant>
        <vt:lpwstr/>
      </vt:variant>
      <vt:variant>
        <vt:lpwstr>_Toc289098295</vt:lpwstr>
      </vt:variant>
      <vt:variant>
        <vt:i4>1966128</vt:i4>
      </vt:variant>
      <vt:variant>
        <vt:i4>170</vt:i4>
      </vt:variant>
      <vt:variant>
        <vt:i4>0</vt:i4>
      </vt:variant>
      <vt:variant>
        <vt:i4>5</vt:i4>
      </vt:variant>
      <vt:variant>
        <vt:lpwstr/>
      </vt:variant>
      <vt:variant>
        <vt:lpwstr>_Toc289098294</vt:lpwstr>
      </vt:variant>
      <vt:variant>
        <vt:i4>1966128</vt:i4>
      </vt:variant>
      <vt:variant>
        <vt:i4>164</vt:i4>
      </vt:variant>
      <vt:variant>
        <vt:i4>0</vt:i4>
      </vt:variant>
      <vt:variant>
        <vt:i4>5</vt:i4>
      </vt:variant>
      <vt:variant>
        <vt:lpwstr/>
      </vt:variant>
      <vt:variant>
        <vt:lpwstr>_Toc289098293</vt:lpwstr>
      </vt:variant>
      <vt:variant>
        <vt:i4>1966128</vt:i4>
      </vt:variant>
      <vt:variant>
        <vt:i4>158</vt:i4>
      </vt:variant>
      <vt:variant>
        <vt:i4>0</vt:i4>
      </vt:variant>
      <vt:variant>
        <vt:i4>5</vt:i4>
      </vt:variant>
      <vt:variant>
        <vt:lpwstr/>
      </vt:variant>
      <vt:variant>
        <vt:lpwstr>_Toc289098292</vt:lpwstr>
      </vt:variant>
      <vt:variant>
        <vt:i4>1966128</vt:i4>
      </vt:variant>
      <vt:variant>
        <vt:i4>152</vt:i4>
      </vt:variant>
      <vt:variant>
        <vt:i4>0</vt:i4>
      </vt:variant>
      <vt:variant>
        <vt:i4>5</vt:i4>
      </vt:variant>
      <vt:variant>
        <vt:lpwstr/>
      </vt:variant>
      <vt:variant>
        <vt:lpwstr>_Toc289098291</vt:lpwstr>
      </vt:variant>
      <vt:variant>
        <vt:i4>1966128</vt:i4>
      </vt:variant>
      <vt:variant>
        <vt:i4>146</vt:i4>
      </vt:variant>
      <vt:variant>
        <vt:i4>0</vt:i4>
      </vt:variant>
      <vt:variant>
        <vt:i4>5</vt:i4>
      </vt:variant>
      <vt:variant>
        <vt:lpwstr/>
      </vt:variant>
      <vt:variant>
        <vt:lpwstr>_Toc289098290</vt:lpwstr>
      </vt:variant>
      <vt:variant>
        <vt:i4>2031664</vt:i4>
      </vt:variant>
      <vt:variant>
        <vt:i4>140</vt:i4>
      </vt:variant>
      <vt:variant>
        <vt:i4>0</vt:i4>
      </vt:variant>
      <vt:variant>
        <vt:i4>5</vt:i4>
      </vt:variant>
      <vt:variant>
        <vt:lpwstr/>
      </vt:variant>
      <vt:variant>
        <vt:lpwstr>_Toc289098289</vt:lpwstr>
      </vt:variant>
      <vt:variant>
        <vt:i4>2031664</vt:i4>
      </vt:variant>
      <vt:variant>
        <vt:i4>134</vt:i4>
      </vt:variant>
      <vt:variant>
        <vt:i4>0</vt:i4>
      </vt:variant>
      <vt:variant>
        <vt:i4>5</vt:i4>
      </vt:variant>
      <vt:variant>
        <vt:lpwstr/>
      </vt:variant>
      <vt:variant>
        <vt:lpwstr>_Toc289098288</vt:lpwstr>
      </vt:variant>
      <vt:variant>
        <vt:i4>2031664</vt:i4>
      </vt:variant>
      <vt:variant>
        <vt:i4>128</vt:i4>
      </vt:variant>
      <vt:variant>
        <vt:i4>0</vt:i4>
      </vt:variant>
      <vt:variant>
        <vt:i4>5</vt:i4>
      </vt:variant>
      <vt:variant>
        <vt:lpwstr/>
      </vt:variant>
      <vt:variant>
        <vt:lpwstr>_Toc289098287</vt:lpwstr>
      </vt:variant>
      <vt:variant>
        <vt:i4>2031664</vt:i4>
      </vt:variant>
      <vt:variant>
        <vt:i4>122</vt:i4>
      </vt:variant>
      <vt:variant>
        <vt:i4>0</vt:i4>
      </vt:variant>
      <vt:variant>
        <vt:i4>5</vt:i4>
      </vt:variant>
      <vt:variant>
        <vt:lpwstr/>
      </vt:variant>
      <vt:variant>
        <vt:lpwstr>_Toc289098286</vt:lpwstr>
      </vt:variant>
      <vt:variant>
        <vt:i4>2031664</vt:i4>
      </vt:variant>
      <vt:variant>
        <vt:i4>116</vt:i4>
      </vt:variant>
      <vt:variant>
        <vt:i4>0</vt:i4>
      </vt:variant>
      <vt:variant>
        <vt:i4>5</vt:i4>
      </vt:variant>
      <vt:variant>
        <vt:lpwstr/>
      </vt:variant>
      <vt:variant>
        <vt:lpwstr>_Toc289098285</vt:lpwstr>
      </vt:variant>
      <vt:variant>
        <vt:i4>2031664</vt:i4>
      </vt:variant>
      <vt:variant>
        <vt:i4>110</vt:i4>
      </vt:variant>
      <vt:variant>
        <vt:i4>0</vt:i4>
      </vt:variant>
      <vt:variant>
        <vt:i4>5</vt:i4>
      </vt:variant>
      <vt:variant>
        <vt:lpwstr/>
      </vt:variant>
      <vt:variant>
        <vt:lpwstr>_Toc289098284</vt:lpwstr>
      </vt:variant>
      <vt:variant>
        <vt:i4>2031664</vt:i4>
      </vt:variant>
      <vt:variant>
        <vt:i4>104</vt:i4>
      </vt:variant>
      <vt:variant>
        <vt:i4>0</vt:i4>
      </vt:variant>
      <vt:variant>
        <vt:i4>5</vt:i4>
      </vt:variant>
      <vt:variant>
        <vt:lpwstr/>
      </vt:variant>
      <vt:variant>
        <vt:lpwstr>_Toc289098283</vt:lpwstr>
      </vt:variant>
      <vt:variant>
        <vt:i4>2031664</vt:i4>
      </vt:variant>
      <vt:variant>
        <vt:i4>98</vt:i4>
      </vt:variant>
      <vt:variant>
        <vt:i4>0</vt:i4>
      </vt:variant>
      <vt:variant>
        <vt:i4>5</vt:i4>
      </vt:variant>
      <vt:variant>
        <vt:lpwstr/>
      </vt:variant>
      <vt:variant>
        <vt:lpwstr>_Toc289098282</vt:lpwstr>
      </vt:variant>
      <vt:variant>
        <vt:i4>2031664</vt:i4>
      </vt:variant>
      <vt:variant>
        <vt:i4>92</vt:i4>
      </vt:variant>
      <vt:variant>
        <vt:i4>0</vt:i4>
      </vt:variant>
      <vt:variant>
        <vt:i4>5</vt:i4>
      </vt:variant>
      <vt:variant>
        <vt:lpwstr/>
      </vt:variant>
      <vt:variant>
        <vt:lpwstr>_Toc289098281</vt:lpwstr>
      </vt:variant>
      <vt:variant>
        <vt:i4>2031664</vt:i4>
      </vt:variant>
      <vt:variant>
        <vt:i4>86</vt:i4>
      </vt:variant>
      <vt:variant>
        <vt:i4>0</vt:i4>
      </vt:variant>
      <vt:variant>
        <vt:i4>5</vt:i4>
      </vt:variant>
      <vt:variant>
        <vt:lpwstr/>
      </vt:variant>
      <vt:variant>
        <vt:lpwstr>_Toc289098280</vt:lpwstr>
      </vt:variant>
      <vt:variant>
        <vt:i4>1048624</vt:i4>
      </vt:variant>
      <vt:variant>
        <vt:i4>80</vt:i4>
      </vt:variant>
      <vt:variant>
        <vt:i4>0</vt:i4>
      </vt:variant>
      <vt:variant>
        <vt:i4>5</vt:i4>
      </vt:variant>
      <vt:variant>
        <vt:lpwstr/>
      </vt:variant>
      <vt:variant>
        <vt:lpwstr>_Toc289098279</vt:lpwstr>
      </vt:variant>
      <vt:variant>
        <vt:i4>1048624</vt:i4>
      </vt:variant>
      <vt:variant>
        <vt:i4>74</vt:i4>
      </vt:variant>
      <vt:variant>
        <vt:i4>0</vt:i4>
      </vt:variant>
      <vt:variant>
        <vt:i4>5</vt:i4>
      </vt:variant>
      <vt:variant>
        <vt:lpwstr/>
      </vt:variant>
      <vt:variant>
        <vt:lpwstr>_Toc289098278</vt:lpwstr>
      </vt:variant>
      <vt:variant>
        <vt:i4>1048624</vt:i4>
      </vt:variant>
      <vt:variant>
        <vt:i4>68</vt:i4>
      </vt:variant>
      <vt:variant>
        <vt:i4>0</vt:i4>
      </vt:variant>
      <vt:variant>
        <vt:i4>5</vt:i4>
      </vt:variant>
      <vt:variant>
        <vt:lpwstr/>
      </vt:variant>
      <vt:variant>
        <vt:lpwstr>_Toc289098277</vt:lpwstr>
      </vt:variant>
      <vt:variant>
        <vt:i4>1048624</vt:i4>
      </vt:variant>
      <vt:variant>
        <vt:i4>62</vt:i4>
      </vt:variant>
      <vt:variant>
        <vt:i4>0</vt:i4>
      </vt:variant>
      <vt:variant>
        <vt:i4>5</vt:i4>
      </vt:variant>
      <vt:variant>
        <vt:lpwstr/>
      </vt:variant>
      <vt:variant>
        <vt:lpwstr>_Toc289098276</vt:lpwstr>
      </vt:variant>
      <vt:variant>
        <vt:i4>1048624</vt:i4>
      </vt:variant>
      <vt:variant>
        <vt:i4>56</vt:i4>
      </vt:variant>
      <vt:variant>
        <vt:i4>0</vt:i4>
      </vt:variant>
      <vt:variant>
        <vt:i4>5</vt:i4>
      </vt:variant>
      <vt:variant>
        <vt:lpwstr/>
      </vt:variant>
      <vt:variant>
        <vt:lpwstr>_Toc289098275</vt:lpwstr>
      </vt:variant>
      <vt:variant>
        <vt:i4>1048624</vt:i4>
      </vt:variant>
      <vt:variant>
        <vt:i4>50</vt:i4>
      </vt:variant>
      <vt:variant>
        <vt:i4>0</vt:i4>
      </vt:variant>
      <vt:variant>
        <vt:i4>5</vt:i4>
      </vt:variant>
      <vt:variant>
        <vt:lpwstr/>
      </vt:variant>
      <vt:variant>
        <vt:lpwstr>_Toc289098274</vt:lpwstr>
      </vt:variant>
      <vt:variant>
        <vt:i4>1048624</vt:i4>
      </vt:variant>
      <vt:variant>
        <vt:i4>44</vt:i4>
      </vt:variant>
      <vt:variant>
        <vt:i4>0</vt:i4>
      </vt:variant>
      <vt:variant>
        <vt:i4>5</vt:i4>
      </vt:variant>
      <vt:variant>
        <vt:lpwstr/>
      </vt:variant>
      <vt:variant>
        <vt:lpwstr>_Toc289098273</vt:lpwstr>
      </vt:variant>
      <vt:variant>
        <vt:i4>1048624</vt:i4>
      </vt:variant>
      <vt:variant>
        <vt:i4>38</vt:i4>
      </vt:variant>
      <vt:variant>
        <vt:i4>0</vt:i4>
      </vt:variant>
      <vt:variant>
        <vt:i4>5</vt:i4>
      </vt:variant>
      <vt:variant>
        <vt:lpwstr/>
      </vt:variant>
      <vt:variant>
        <vt:lpwstr>_Toc289098272</vt:lpwstr>
      </vt:variant>
      <vt:variant>
        <vt:i4>1048624</vt:i4>
      </vt:variant>
      <vt:variant>
        <vt:i4>32</vt:i4>
      </vt:variant>
      <vt:variant>
        <vt:i4>0</vt:i4>
      </vt:variant>
      <vt:variant>
        <vt:i4>5</vt:i4>
      </vt:variant>
      <vt:variant>
        <vt:lpwstr/>
      </vt:variant>
      <vt:variant>
        <vt:lpwstr>_Toc289098271</vt:lpwstr>
      </vt:variant>
      <vt:variant>
        <vt:i4>1048624</vt:i4>
      </vt:variant>
      <vt:variant>
        <vt:i4>26</vt:i4>
      </vt:variant>
      <vt:variant>
        <vt:i4>0</vt:i4>
      </vt:variant>
      <vt:variant>
        <vt:i4>5</vt:i4>
      </vt:variant>
      <vt:variant>
        <vt:lpwstr/>
      </vt:variant>
      <vt:variant>
        <vt:lpwstr>_Toc289098270</vt:lpwstr>
      </vt:variant>
      <vt:variant>
        <vt:i4>1114160</vt:i4>
      </vt:variant>
      <vt:variant>
        <vt:i4>20</vt:i4>
      </vt:variant>
      <vt:variant>
        <vt:i4>0</vt:i4>
      </vt:variant>
      <vt:variant>
        <vt:i4>5</vt:i4>
      </vt:variant>
      <vt:variant>
        <vt:lpwstr/>
      </vt:variant>
      <vt:variant>
        <vt:lpwstr>_Toc289098269</vt:lpwstr>
      </vt:variant>
      <vt:variant>
        <vt:i4>1114160</vt:i4>
      </vt:variant>
      <vt:variant>
        <vt:i4>14</vt:i4>
      </vt:variant>
      <vt:variant>
        <vt:i4>0</vt:i4>
      </vt:variant>
      <vt:variant>
        <vt:i4>5</vt:i4>
      </vt:variant>
      <vt:variant>
        <vt:lpwstr/>
      </vt:variant>
      <vt:variant>
        <vt:lpwstr>_Toc289098268</vt:lpwstr>
      </vt:variant>
      <vt:variant>
        <vt:i4>1114160</vt:i4>
      </vt:variant>
      <vt:variant>
        <vt:i4>8</vt:i4>
      </vt:variant>
      <vt:variant>
        <vt:i4>0</vt:i4>
      </vt:variant>
      <vt:variant>
        <vt:i4>5</vt:i4>
      </vt:variant>
      <vt:variant>
        <vt:lpwstr/>
      </vt:variant>
      <vt:variant>
        <vt:lpwstr>_Toc289098267</vt:lpwstr>
      </vt:variant>
      <vt:variant>
        <vt:i4>1114160</vt:i4>
      </vt:variant>
      <vt:variant>
        <vt:i4>2</vt:i4>
      </vt:variant>
      <vt:variant>
        <vt:i4>0</vt:i4>
      </vt:variant>
      <vt:variant>
        <vt:i4>5</vt:i4>
      </vt:variant>
      <vt:variant>
        <vt:lpwstr/>
      </vt:variant>
      <vt:variant>
        <vt:lpwstr>_Toc289098266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Inter-American HR Moot Court Competition</cp:lastModifiedBy>
  <cp:revision>2</cp:revision>
  <dcterms:created xsi:type="dcterms:W3CDTF">2017-09-21T15:48:00Z</dcterms:created>
  <dcterms:modified xsi:type="dcterms:W3CDTF">2017-09-21T15:48:00Z</dcterms:modified>
</cp:coreProperties>
</file>