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D1" w:rsidRPr="0054131B" w:rsidRDefault="00C30AD1" w:rsidP="003B1275">
      <w:pPr>
        <w:spacing w:after="0" w:line="480" w:lineRule="auto"/>
        <w:jc w:val="center"/>
        <w:rPr>
          <w:rFonts w:ascii="Times New Roman" w:hAnsi="Times New Roman"/>
          <w:b/>
          <w:sz w:val="24"/>
          <w:szCs w:val="24"/>
          <w:lang w:val="es-ES"/>
        </w:rPr>
      </w:pPr>
      <w:bookmarkStart w:id="0" w:name="_Toc397630951"/>
      <w:bookmarkStart w:id="1" w:name="_GoBack"/>
      <w:bookmarkEnd w:id="1"/>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r w:rsidRPr="0054131B">
        <w:rPr>
          <w:rFonts w:ascii="Times New Roman" w:hAnsi="Times New Roman"/>
          <w:b/>
          <w:sz w:val="24"/>
          <w:szCs w:val="24"/>
          <w:lang w:val="es-ES"/>
        </w:rPr>
        <w:t xml:space="preserve">CASO </w:t>
      </w:r>
      <w:r w:rsidRPr="00287224">
        <w:rPr>
          <w:rFonts w:ascii="Times New Roman" w:hAnsi="Times New Roman"/>
          <w:b/>
          <w:sz w:val="24"/>
          <w:szCs w:val="24"/>
          <w:lang w:val="es-ES"/>
        </w:rPr>
        <w:t>EDMUNDO CAMANA Y OTROS, PUEBLOS PICHICHA</w:t>
      </w:r>
      <w:r w:rsidRPr="002957C6">
        <w:rPr>
          <w:rFonts w:ascii="Times New Roman" w:hAnsi="Times New Roman"/>
          <w:b/>
          <w:color w:val="FF0000"/>
          <w:sz w:val="24"/>
          <w:szCs w:val="24"/>
          <w:lang w:val="es-ES"/>
        </w:rPr>
        <w:t xml:space="preserve"> </w:t>
      </w:r>
      <w:r w:rsidRPr="0054131B">
        <w:rPr>
          <w:rFonts w:ascii="Times New Roman" w:hAnsi="Times New Roman"/>
          <w:b/>
          <w:sz w:val="24"/>
          <w:szCs w:val="24"/>
          <w:lang w:val="es-ES"/>
        </w:rPr>
        <w:t>Y ORÍFUNA</w:t>
      </w:r>
      <w:r w:rsidR="005B2414" w:rsidRPr="0054131B">
        <w:rPr>
          <w:rFonts w:ascii="Times New Roman" w:hAnsi="Times New Roman"/>
          <w:b/>
          <w:sz w:val="24"/>
          <w:szCs w:val="24"/>
          <w:lang w:val="es-ES"/>
        </w:rPr>
        <w:br/>
      </w:r>
      <w:r w:rsidRPr="0054131B">
        <w:rPr>
          <w:rFonts w:ascii="Times New Roman" w:hAnsi="Times New Roman"/>
          <w:b/>
          <w:sz w:val="24"/>
          <w:szCs w:val="24"/>
          <w:lang w:val="es-ES"/>
        </w:rPr>
        <w:t>VS.</w:t>
      </w:r>
      <w:r w:rsidR="005B2414" w:rsidRPr="0054131B">
        <w:rPr>
          <w:rFonts w:ascii="Times New Roman" w:hAnsi="Times New Roman"/>
          <w:b/>
          <w:sz w:val="24"/>
          <w:szCs w:val="24"/>
          <w:lang w:val="es-ES"/>
        </w:rPr>
        <w:br/>
      </w:r>
      <w:r w:rsidRPr="0054131B">
        <w:rPr>
          <w:rFonts w:ascii="Times New Roman" w:hAnsi="Times New Roman"/>
          <w:b/>
          <w:sz w:val="24"/>
          <w:szCs w:val="24"/>
          <w:lang w:val="es-ES"/>
        </w:rPr>
        <w:t>SANTA CLARA</w:t>
      </w: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p>
    <w:p w:rsidR="00C30AD1" w:rsidRPr="0054131B" w:rsidRDefault="00C30AD1" w:rsidP="003B1275">
      <w:pPr>
        <w:spacing w:after="0" w:line="480" w:lineRule="auto"/>
        <w:rPr>
          <w:rFonts w:ascii="Times New Roman" w:hAnsi="Times New Roman"/>
          <w:b/>
          <w:sz w:val="24"/>
          <w:szCs w:val="24"/>
          <w:lang w:val="es-ES"/>
        </w:rPr>
      </w:pPr>
    </w:p>
    <w:p w:rsidR="00C30AD1" w:rsidRPr="0054131B" w:rsidRDefault="00C30AD1" w:rsidP="003B1275">
      <w:pPr>
        <w:spacing w:after="0" w:line="480" w:lineRule="auto"/>
        <w:rPr>
          <w:rFonts w:ascii="Times New Roman" w:hAnsi="Times New Roman"/>
          <w:b/>
          <w:sz w:val="24"/>
          <w:szCs w:val="24"/>
          <w:lang w:val="es-ES"/>
        </w:rPr>
      </w:pPr>
    </w:p>
    <w:p w:rsidR="00C30AD1" w:rsidRPr="0054131B" w:rsidRDefault="00C30AD1" w:rsidP="003B1275">
      <w:pPr>
        <w:spacing w:after="0" w:line="480" w:lineRule="auto"/>
        <w:jc w:val="center"/>
        <w:rPr>
          <w:rFonts w:ascii="Times New Roman" w:hAnsi="Times New Roman"/>
          <w:b/>
          <w:sz w:val="24"/>
          <w:szCs w:val="24"/>
          <w:lang w:val="es-ES"/>
        </w:rPr>
      </w:pPr>
      <w:r w:rsidRPr="0054131B">
        <w:rPr>
          <w:rFonts w:ascii="Times New Roman" w:hAnsi="Times New Roman"/>
          <w:b/>
          <w:sz w:val="24"/>
          <w:szCs w:val="24"/>
          <w:lang w:val="es-ES"/>
        </w:rPr>
        <w:t>REPRESENTANTES DE LAS VÍCTIMAS</w:t>
      </w: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C30AD1" w:rsidP="003B1275">
      <w:pPr>
        <w:spacing w:after="0" w:line="480" w:lineRule="auto"/>
        <w:rPr>
          <w:rFonts w:ascii="Times New Roman" w:hAnsi="Times New Roman"/>
          <w:sz w:val="24"/>
          <w:szCs w:val="24"/>
          <w:lang w:val="es-ES"/>
        </w:rPr>
      </w:pPr>
    </w:p>
    <w:p w:rsidR="00C30AD1" w:rsidRPr="0054131B" w:rsidRDefault="007737E7" w:rsidP="003B1275">
      <w:pPr>
        <w:spacing w:after="0" w:line="480" w:lineRule="auto"/>
        <w:outlineLvl w:val="3"/>
        <w:rPr>
          <w:rFonts w:ascii="Times New Roman" w:hAnsi="Times New Roman"/>
          <w:b/>
          <w:bCs/>
          <w:color w:val="FFFFFF" w:themeColor="background1"/>
          <w:sz w:val="24"/>
          <w:szCs w:val="24"/>
          <w:lang w:val="es-ES" w:eastAsia="es-ES"/>
        </w:rPr>
        <w:sectPr w:rsidR="00C30AD1" w:rsidRPr="0054131B" w:rsidSect="007737E7">
          <w:headerReference w:type="default" r:id="rId8"/>
          <w:footerReference w:type="default" r:id="rId9"/>
          <w:pgSz w:w="12240" w:h="15840" w:code="1"/>
          <w:pgMar w:top="1440" w:right="1440" w:bottom="1440" w:left="1440" w:header="709" w:footer="709" w:gutter="0"/>
          <w:pgNumType w:fmt="upperRoman" w:start="1"/>
          <w:cols w:space="708"/>
          <w:docGrid w:linePitch="360"/>
        </w:sectPr>
      </w:pPr>
      <w:r w:rsidRPr="0054131B">
        <w:rPr>
          <w:rFonts w:ascii="Times New Roman" w:hAnsi="Times New Roman"/>
          <w:b/>
          <w:bCs/>
          <w:color w:val="FFFFFF" w:themeColor="background1"/>
          <w:sz w:val="24"/>
          <w:szCs w:val="24"/>
          <w:lang w:val="es-ES" w:eastAsia="es-ES"/>
        </w:rPr>
        <w:t>E</w:t>
      </w:r>
      <w:r w:rsidR="00D80B3B" w:rsidRPr="0054131B">
        <w:rPr>
          <w:rFonts w:ascii="Times New Roman" w:hAnsi="Times New Roman"/>
          <w:b/>
          <w:bCs/>
          <w:color w:val="FFFFFF" w:themeColor="background1"/>
          <w:sz w:val="24"/>
          <w:szCs w:val="24"/>
          <w:lang w:val="es-ES" w:eastAsia="es-ES"/>
        </w:rPr>
        <w:t>HO</w:t>
      </w:r>
      <w:r w:rsidR="00C30AD1" w:rsidRPr="0054131B">
        <w:rPr>
          <w:rFonts w:ascii="Times New Roman" w:hAnsi="Times New Roman"/>
          <w:b/>
          <w:bCs/>
          <w:color w:val="FFFFFF" w:themeColor="background1"/>
          <w:sz w:val="24"/>
          <w:szCs w:val="24"/>
          <w:lang w:val="es-ES" w:eastAsia="es-ES"/>
        </w:rPr>
        <w:t xml:space="preserve"> CORTE </w:t>
      </w:r>
      <w:r w:rsidR="005B2414" w:rsidRPr="0054131B">
        <w:rPr>
          <w:rFonts w:ascii="Times New Roman" w:hAnsi="Times New Roman"/>
          <w:b/>
          <w:bCs/>
          <w:color w:val="FFFFFF" w:themeColor="background1"/>
          <w:sz w:val="24"/>
          <w:szCs w:val="24"/>
          <w:lang w:val="es-ES" w:eastAsia="es-ES"/>
        </w:rPr>
        <w:t>INTERAMERICANA DE D</w:t>
      </w:r>
      <w:r w:rsidR="00C30AD1" w:rsidRPr="0054131B">
        <w:rPr>
          <w:rFonts w:ascii="Times New Roman" w:hAnsi="Times New Roman"/>
          <w:b/>
          <w:bCs/>
          <w:color w:val="FFFFFF" w:themeColor="background1"/>
          <w:sz w:val="24"/>
          <w:szCs w:val="24"/>
          <w:lang w:val="es-ES" w:eastAsia="es-ES"/>
        </w:rPr>
        <w:t>ANOS</w:t>
      </w:r>
    </w:p>
    <w:p w:rsidR="00CD15F9" w:rsidRPr="0054131B" w:rsidRDefault="001925EF" w:rsidP="003B1275">
      <w:pPr>
        <w:pStyle w:val="Heading1"/>
        <w:spacing w:before="0" w:line="480" w:lineRule="auto"/>
        <w:rPr>
          <w:rFonts w:ascii="Times New Roman" w:hAnsi="Times New Roman" w:cs="Times New Roman"/>
          <w:color w:val="auto"/>
          <w:sz w:val="24"/>
          <w:szCs w:val="24"/>
        </w:rPr>
      </w:pPr>
      <w:bookmarkStart w:id="2" w:name="_Toc446717019"/>
      <w:bookmarkStart w:id="3" w:name="_Toc446776762"/>
      <w:r w:rsidRPr="0054131B">
        <w:rPr>
          <w:rFonts w:ascii="Times New Roman" w:hAnsi="Times New Roman" w:cs="Times New Roman"/>
          <w:color w:val="auto"/>
          <w:sz w:val="24"/>
          <w:szCs w:val="24"/>
        </w:rPr>
        <w:lastRenderedPageBreak/>
        <w:t>I</w:t>
      </w:r>
      <w:r w:rsidR="0054131B">
        <w:rPr>
          <w:rFonts w:ascii="Times New Roman" w:hAnsi="Times New Roman" w:cs="Times New Roman"/>
          <w:color w:val="auto"/>
          <w:sz w:val="24"/>
          <w:szCs w:val="24"/>
        </w:rPr>
        <w:t>.</w:t>
      </w:r>
      <w:r w:rsidRPr="0054131B">
        <w:rPr>
          <w:rFonts w:ascii="Times New Roman" w:hAnsi="Times New Roman" w:cs="Times New Roman"/>
          <w:color w:val="auto"/>
          <w:sz w:val="24"/>
          <w:szCs w:val="24"/>
        </w:rPr>
        <w:t>-</w:t>
      </w:r>
      <w:r w:rsidR="0054131B">
        <w:rPr>
          <w:rFonts w:ascii="Times New Roman" w:hAnsi="Times New Roman" w:cs="Times New Roman"/>
          <w:color w:val="auto"/>
          <w:sz w:val="24"/>
          <w:szCs w:val="24"/>
        </w:rPr>
        <w:t xml:space="preserve"> </w:t>
      </w:r>
      <w:r w:rsidRPr="0054131B">
        <w:rPr>
          <w:rFonts w:ascii="Times New Roman" w:hAnsi="Times New Roman" w:cs="Times New Roman"/>
          <w:color w:val="auto"/>
          <w:sz w:val="24"/>
          <w:szCs w:val="24"/>
        </w:rPr>
        <w:t>TABLA DE ABREVIATURAS</w:t>
      </w:r>
      <w:bookmarkEnd w:id="2"/>
      <w:bookmarkEnd w:id="3"/>
    </w:p>
    <w:p w:rsidR="00363EAA" w:rsidRPr="0054131B" w:rsidRDefault="00CD15F9" w:rsidP="003B1275">
      <w:pPr>
        <w:keepNext/>
        <w:widowControl w:val="0"/>
        <w:spacing w:after="0" w:line="480" w:lineRule="auto"/>
        <w:jc w:val="both"/>
        <w:rPr>
          <w:rFonts w:ascii="Times New Roman" w:hAnsi="Times New Roman"/>
          <w:b/>
          <w:sz w:val="24"/>
          <w:szCs w:val="24"/>
        </w:rPr>
      </w:pPr>
      <w:r w:rsidRPr="0054131B">
        <w:rPr>
          <w:rFonts w:ascii="Times New Roman" w:hAnsi="Times New Roman"/>
          <w:b/>
          <w:sz w:val="24"/>
          <w:szCs w:val="24"/>
        </w:rPr>
        <w:t xml:space="preserve">CADH: </w:t>
      </w:r>
      <w:r w:rsidRPr="0054131B">
        <w:rPr>
          <w:rFonts w:ascii="Times New Roman" w:hAnsi="Times New Roman"/>
          <w:sz w:val="24"/>
          <w:szCs w:val="24"/>
        </w:rPr>
        <w:t>Conven</w:t>
      </w:r>
      <w:r w:rsidR="00363EAA" w:rsidRPr="0054131B">
        <w:rPr>
          <w:rFonts w:ascii="Times New Roman" w:hAnsi="Times New Roman"/>
          <w:sz w:val="24"/>
          <w:szCs w:val="24"/>
        </w:rPr>
        <w:t>ción Americana sobre Derechos Humanos</w:t>
      </w:r>
    </w:p>
    <w:p w:rsidR="00E636E1" w:rsidRPr="0054131B" w:rsidRDefault="00E636E1" w:rsidP="003B1275">
      <w:pPr>
        <w:pStyle w:val="NoSpacing"/>
        <w:keepNext/>
        <w:widowControl w:val="0"/>
        <w:spacing w:line="480" w:lineRule="auto"/>
        <w:jc w:val="both"/>
        <w:rPr>
          <w:rFonts w:ascii="Times New Roman" w:hAnsi="Times New Roman"/>
          <w:sz w:val="24"/>
          <w:szCs w:val="24"/>
        </w:rPr>
      </w:pPr>
      <w:r w:rsidRPr="0054131B">
        <w:rPr>
          <w:rFonts w:ascii="Times New Roman" w:hAnsi="Times New Roman"/>
          <w:b/>
          <w:sz w:val="24"/>
          <w:szCs w:val="24"/>
        </w:rPr>
        <w:t>CIDH:</w:t>
      </w:r>
      <w:r w:rsidRPr="0054131B">
        <w:rPr>
          <w:rFonts w:ascii="Times New Roman" w:hAnsi="Times New Roman"/>
          <w:sz w:val="24"/>
          <w:szCs w:val="24"/>
        </w:rPr>
        <w:t xml:space="preserve"> Comisión Interamericana de Derechos Humanos</w:t>
      </w:r>
    </w:p>
    <w:p w:rsidR="00341452" w:rsidRPr="0054131B" w:rsidRDefault="00341452" w:rsidP="003B1275">
      <w:pPr>
        <w:keepNext/>
        <w:widowControl w:val="0"/>
        <w:spacing w:after="0" w:line="480" w:lineRule="auto"/>
        <w:jc w:val="both"/>
        <w:rPr>
          <w:rFonts w:ascii="Times New Roman" w:hAnsi="Times New Roman"/>
          <w:b/>
          <w:sz w:val="24"/>
          <w:szCs w:val="24"/>
        </w:rPr>
      </w:pPr>
      <w:r w:rsidRPr="0054131B">
        <w:rPr>
          <w:rFonts w:ascii="Times New Roman" w:hAnsi="Times New Roman"/>
          <w:b/>
          <w:sz w:val="24"/>
          <w:szCs w:val="24"/>
        </w:rPr>
        <w:t>CIJ:</w:t>
      </w:r>
      <w:r w:rsidRPr="0054131B">
        <w:rPr>
          <w:rFonts w:ascii="Times New Roman" w:hAnsi="Times New Roman"/>
          <w:sz w:val="24"/>
          <w:szCs w:val="24"/>
        </w:rPr>
        <w:t xml:space="preserve"> Corte Internacional de Justicia</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CLS:</w:t>
      </w:r>
      <w:r w:rsidRPr="0054131B">
        <w:rPr>
          <w:rFonts w:ascii="Times New Roman" w:hAnsi="Times New Roman"/>
          <w:sz w:val="24"/>
          <w:szCs w:val="24"/>
        </w:rPr>
        <w:t xml:space="preserve"> Comité de Libertad Sindical </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Convenio 169:</w:t>
      </w:r>
      <w:r w:rsidRPr="0054131B">
        <w:rPr>
          <w:rFonts w:ascii="Times New Roman" w:hAnsi="Times New Roman"/>
          <w:sz w:val="24"/>
          <w:szCs w:val="24"/>
        </w:rPr>
        <w:t xml:space="preserve"> Convenio número 169 de la OIT del año 1989</w:t>
      </w:r>
    </w:p>
    <w:p w:rsidR="00E636E1" w:rsidRPr="0054131B" w:rsidRDefault="00CD15F9"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Corte IDH: </w:t>
      </w:r>
      <w:r w:rsidRPr="0054131B">
        <w:rPr>
          <w:rFonts w:ascii="Times New Roman" w:hAnsi="Times New Roman"/>
          <w:sz w:val="24"/>
          <w:szCs w:val="24"/>
        </w:rPr>
        <w:t xml:space="preserve">Corte Interamericana de </w:t>
      </w:r>
      <w:r w:rsidR="00363EAA" w:rsidRPr="0054131B">
        <w:rPr>
          <w:rFonts w:ascii="Times New Roman" w:hAnsi="Times New Roman"/>
          <w:sz w:val="24"/>
          <w:szCs w:val="24"/>
        </w:rPr>
        <w:t>Derechos Humanos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CVSRD: </w:t>
      </w:r>
      <w:r w:rsidRPr="0054131B">
        <w:rPr>
          <w:rFonts w:ascii="Times New Roman" w:hAnsi="Times New Roman"/>
          <w:sz w:val="24"/>
          <w:szCs w:val="24"/>
        </w:rPr>
        <w:t>Convención de Viena sobre Relaciones Diplomáticas del año 1961</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DDHH: </w:t>
      </w:r>
      <w:r w:rsidRPr="0054131B">
        <w:rPr>
          <w:rFonts w:ascii="Times New Roman" w:hAnsi="Times New Roman"/>
          <w:sz w:val="24"/>
          <w:szCs w:val="24"/>
        </w:rPr>
        <w:t>Derechos Humanos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DESC:</w:t>
      </w:r>
      <w:r w:rsidRPr="0054131B">
        <w:rPr>
          <w:rFonts w:ascii="Times New Roman" w:hAnsi="Times New Roman"/>
          <w:sz w:val="24"/>
          <w:szCs w:val="24"/>
        </w:rPr>
        <w:t xml:space="preserve"> Derechos Económicos, Sociales y Culturales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DNUSDPI:</w:t>
      </w:r>
      <w:r w:rsidRPr="0054131B">
        <w:rPr>
          <w:rFonts w:ascii="Times New Roman" w:hAnsi="Times New Roman"/>
          <w:sz w:val="24"/>
          <w:szCs w:val="24"/>
        </w:rPr>
        <w:t xml:space="preserve"> Declaración de las Naciones Unidas sobre los Derechos de los Pueblos Indígenas</w:t>
      </w:r>
    </w:p>
    <w:p w:rsidR="00E636E1" w:rsidRPr="00AB3CED" w:rsidRDefault="00E636E1" w:rsidP="003B1275">
      <w:pPr>
        <w:keepNext/>
        <w:widowControl w:val="0"/>
        <w:spacing w:after="0" w:line="480" w:lineRule="auto"/>
        <w:jc w:val="both"/>
        <w:rPr>
          <w:rFonts w:ascii="Times New Roman" w:hAnsi="Times New Roman"/>
          <w:sz w:val="24"/>
          <w:szCs w:val="24"/>
          <w:lang w:val="pt-BR"/>
        </w:rPr>
      </w:pPr>
      <w:r w:rsidRPr="00AB3CED">
        <w:rPr>
          <w:rFonts w:ascii="Times New Roman" w:hAnsi="Times New Roman"/>
          <w:b/>
          <w:sz w:val="24"/>
          <w:szCs w:val="24"/>
          <w:lang w:val="pt-BR"/>
        </w:rPr>
        <w:t>EIA:</w:t>
      </w:r>
      <w:r w:rsidRPr="00AB3CED">
        <w:rPr>
          <w:rFonts w:ascii="Times New Roman" w:hAnsi="Times New Roman"/>
          <w:sz w:val="24"/>
          <w:szCs w:val="24"/>
          <w:lang w:val="pt-BR"/>
        </w:rPr>
        <w:t xml:space="preserve"> </w:t>
      </w:r>
      <w:r w:rsidR="00CA57AB">
        <w:rPr>
          <w:rFonts w:ascii="Times New Roman" w:hAnsi="Times New Roman"/>
          <w:sz w:val="24"/>
          <w:szCs w:val="24"/>
          <w:lang w:val="pt-BR"/>
        </w:rPr>
        <w:t>Estudio</w:t>
      </w:r>
      <w:r w:rsidRPr="00AB3CED">
        <w:rPr>
          <w:rFonts w:ascii="Times New Roman" w:hAnsi="Times New Roman"/>
          <w:sz w:val="24"/>
          <w:szCs w:val="24"/>
          <w:lang w:val="pt-BR"/>
        </w:rPr>
        <w:t xml:space="preserve"> de impacto ambiental</w:t>
      </w:r>
    </w:p>
    <w:p w:rsidR="00341452" w:rsidRPr="0054131B" w:rsidRDefault="00E636E1" w:rsidP="003B1275">
      <w:pPr>
        <w:keepNext/>
        <w:widowControl w:val="0"/>
        <w:spacing w:after="0" w:line="480" w:lineRule="auto"/>
        <w:jc w:val="both"/>
        <w:rPr>
          <w:rFonts w:ascii="Times New Roman" w:hAnsi="Times New Roman"/>
          <w:b/>
          <w:sz w:val="24"/>
          <w:szCs w:val="24"/>
          <w:lang w:val="pt-BR"/>
        </w:rPr>
      </w:pPr>
      <w:r w:rsidRPr="0054131B">
        <w:rPr>
          <w:rFonts w:ascii="Times New Roman" w:hAnsi="Times New Roman"/>
          <w:b/>
          <w:sz w:val="24"/>
          <w:szCs w:val="24"/>
          <w:lang w:val="pt-BR"/>
        </w:rPr>
        <w:t xml:space="preserve">Madruga: </w:t>
      </w:r>
      <w:r w:rsidRPr="0054131B">
        <w:rPr>
          <w:rFonts w:ascii="Times New Roman" w:hAnsi="Times New Roman"/>
          <w:sz w:val="24"/>
          <w:szCs w:val="24"/>
          <w:lang w:val="pt-BR"/>
        </w:rPr>
        <w:t>República de Madruga</w:t>
      </w:r>
    </w:p>
    <w:p w:rsidR="001D33CD" w:rsidRPr="00AB3CED" w:rsidRDefault="00E636E1" w:rsidP="003B1275">
      <w:pPr>
        <w:keepNext/>
        <w:widowControl w:val="0"/>
        <w:spacing w:after="0" w:line="480" w:lineRule="auto"/>
        <w:jc w:val="both"/>
        <w:rPr>
          <w:rFonts w:ascii="Times New Roman" w:hAnsi="Times New Roman"/>
          <w:b/>
          <w:sz w:val="24"/>
          <w:szCs w:val="24"/>
        </w:rPr>
      </w:pPr>
      <w:r w:rsidRPr="00AB3CED">
        <w:rPr>
          <w:rFonts w:ascii="Times New Roman" w:hAnsi="Times New Roman"/>
          <w:b/>
          <w:sz w:val="24"/>
          <w:szCs w:val="24"/>
        </w:rPr>
        <w:t xml:space="preserve">Miningcorp: </w:t>
      </w:r>
      <w:r w:rsidRPr="00AB3CED">
        <w:rPr>
          <w:rFonts w:ascii="Times New Roman" w:hAnsi="Times New Roman"/>
          <w:sz w:val="24"/>
          <w:szCs w:val="24"/>
        </w:rPr>
        <w:t>Empresa Miningcorp S.A</w:t>
      </w:r>
    </w:p>
    <w:p w:rsidR="00AF414B" w:rsidRPr="00AB3CED" w:rsidRDefault="00AF414B" w:rsidP="003B1275">
      <w:pPr>
        <w:keepNext/>
        <w:widowControl w:val="0"/>
        <w:spacing w:after="0" w:line="480" w:lineRule="auto"/>
        <w:jc w:val="both"/>
        <w:rPr>
          <w:rFonts w:ascii="Times New Roman" w:hAnsi="Times New Roman"/>
          <w:b/>
          <w:sz w:val="24"/>
          <w:szCs w:val="24"/>
        </w:rPr>
      </w:pPr>
    </w:p>
    <w:p w:rsidR="00AF414B" w:rsidRPr="00AB3CED" w:rsidRDefault="00AF414B" w:rsidP="003B1275">
      <w:pPr>
        <w:keepNext/>
        <w:widowControl w:val="0"/>
        <w:spacing w:after="0" w:line="480" w:lineRule="auto"/>
        <w:jc w:val="both"/>
        <w:rPr>
          <w:rFonts w:ascii="Times New Roman" w:hAnsi="Times New Roman"/>
          <w:b/>
          <w:sz w:val="24"/>
          <w:szCs w:val="24"/>
        </w:rPr>
      </w:pPr>
    </w:p>
    <w:p w:rsidR="00341452" w:rsidRPr="0054131B" w:rsidRDefault="00341452"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OEA:</w:t>
      </w:r>
      <w:r w:rsidRPr="0054131B">
        <w:rPr>
          <w:rFonts w:ascii="Times New Roman" w:hAnsi="Times New Roman"/>
          <w:sz w:val="24"/>
          <w:szCs w:val="24"/>
        </w:rPr>
        <w:t xml:space="preserve"> Organización de los Estados Americanos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OIT: </w:t>
      </w:r>
      <w:r w:rsidRPr="0054131B">
        <w:rPr>
          <w:rFonts w:ascii="Times New Roman" w:hAnsi="Times New Roman"/>
          <w:sz w:val="24"/>
          <w:szCs w:val="24"/>
        </w:rPr>
        <w:t>Organización Internacional del Trabajo</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ONU: </w:t>
      </w:r>
      <w:r w:rsidRPr="0054131B">
        <w:rPr>
          <w:rFonts w:ascii="Times New Roman" w:hAnsi="Times New Roman"/>
          <w:sz w:val="24"/>
          <w:szCs w:val="24"/>
        </w:rPr>
        <w:t>Organización de las Naciones Unidas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SEFAH:</w:t>
      </w:r>
      <w:r w:rsidRPr="0054131B">
        <w:rPr>
          <w:rFonts w:ascii="Times New Roman" w:hAnsi="Times New Roman"/>
          <w:sz w:val="24"/>
          <w:szCs w:val="24"/>
        </w:rPr>
        <w:t xml:space="preserve"> Secretaría Federal de Abastecimiento Hídrico </w:t>
      </w:r>
    </w:p>
    <w:p w:rsidR="00CD15F9" w:rsidRPr="0054131B" w:rsidRDefault="00CD15F9"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SIDH: </w:t>
      </w:r>
      <w:r w:rsidRPr="0054131B">
        <w:rPr>
          <w:rFonts w:ascii="Times New Roman" w:hAnsi="Times New Roman"/>
          <w:sz w:val="24"/>
          <w:szCs w:val="24"/>
        </w:rPr>
        <w:t xml:space="preserve">Sistema Interamericano de </w:t>
      </w:r>
      <w:r w:rsidR="00363EAA" w:rsidRPr="0054131B">
        <w:rPr>
          <w:rFonts w:ascii="Times New Roman" w:hAnsi="Times New Roman"/>
          <w:sz w:val="24"/>
          <w:szCs w:val="24"/>
        </w:rPr>
        <w:t>Derechos Humanos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Silverfield: </w:t>
      </w:r>
      <w:r w:rsidRPr="0054131B">
        <w:rPr>
          <w:rFonts w:ascii="Times New Roman" w:hAnsi="Times New Roman"/>
          <w:sz w:val="24"/>
          <w:szCs w:val="24"/>
        </w:rPr>
        <w:t>Empresa Silverfield S.A.</w:t>
      </w:r>
    </w:p>
    <w:p w:rsidR="00E636E1" w:rsidRPr="0054131B" w:rsidRDefault="00E636E1" w:rsidP="003B1275">
      <w:pPr>
        <w:keepNext/>
        <w:widowControl w:val="0"/>
        <w:spacing w:after="0" w:line="480" w:lineRule="auto"/>
        <w:jc w:val="both"/>
        <w:rPr>
          <w:rFonts w:ascii="Times New Roman" w:hAnsi="Times New Roman"/>
          <w:b/>
          <w:sz w:val="24"/>
          <w:szCs w:val="24"/>
        </w:rPr>
      </w:pPr>
      <w:r w:rsidRPr="0054131B">
        <w:rPr>
          <w:rFonts w:ascii="Times New Roman" w:hAnsi="Times New Roman"/>
          <w:b/>
          <w:sz w:val="24"/>
          <w:szCs w:val="24"/>
        </w:rPr>
        <w:t xml:space="preserve">Santa Clara: </w:t>
      </w:r>
      <w:r w:rsidRPr="0054131B">
        <w:rPr>
          <w:rFonts w:ascii="Times New Roman" w:hAnsi="Times New Roman"/>
          <w:sz w:val="24"/>
          <w:szCs w:val="24"/>
        </w:rPr>
        <w:t>Estado de Santa Clara</w:t>
      </w:r>
    </w:p>
    <w:p w:rsidR="00CD15F9" w:rsidRPr="0054131B" w:rsidRDefault="00CD15F9"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TEDH: </w:t>
      </w:r>
      <w:r w:rsidRPr="0054131B">
        <w:rPr>
          <w:rFonts w:ascii="Times New Roman" w:hAnsi="Times New Roman"/>
          <w:sz w:val="24"/>
          <w:szCs w:val="24"/>
        </w:rPr>
        <w:t xml:space="preserve">Tribunal Europeo de </w:t>
      </w:r>
      <w:r w:rsidR="00363EAA" w:rsidRPr="0054131B">
        <w:rPr>
          <w:rFonts w:ascii="Times New Roman" w:hAnsi="Times New Roman"/>
          <w:sz w:val="24"/>
          <w:szCs w:val="24"/>
        </w:rPr>
        <w:t>Derechos Humanos</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TESL: </w:t>
      </w:r>
      <w:r w:rsidRPr="0054131B">
        <w:rPr>
          <w:rFonts w:ascii="Times New Roman" w:hAnsi="Times New Roman"/>
          <w:sz w:val="24"/>
          <w:szCs w:val="24"/>
        </w:rPr>
        <w:t>Tribunal Especial para Sierra Leona</w:t>
      </w:r>
    </w:p>
    <w:p w:rsidR="00E636E1" w:rsidRPr="0054131B" w:rsidRDefault="00E636E1"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 xml:space="preserve">TLCD: </w:t>
      </w:r>
      <w:r w:rsidRPr="0054131B">
        <w:rPr>
          <w:rFonts w:ascii="Times New Roman" w:hAnsi="Times New Roman"/>
          <w:sz w:val="24"/>
          <w:szCs w:val="24"/>
        </w:rPr>
        <w:t>Tratado de Libre Comercio y Desarrollo de Norteamérica</w:t>
      </w:r>
    </w:p>
    <w:p w:rsidR="00E636E1" w:rsidRPr="0054131B" w:rsidRDefault="00E636E1" w:rsidP="003B1275">
      <w:pPr>
        <w:pStyle w:val="NoSpacing"/>
        <w:keepNext/>
        <w:widowControl w:val="0"/>
        <w:spacing w:line="480" w:lineRule="auto"/>
        <w:jc w:val="both"/>
        <w:rPr>
          <w:rFonts w:ascii="Times New Roman" w:hAnsi="Times New Roman"/>
          <w:sz w:val="24"/>
          <w:szCs w:val="24"/>
        </w:rPr>
      </w:pPr>
      <w:r w:rsidRPr="0054131B">
        <w:rPr>
          <w:rFonts w:ascii="Times New Roman" w:hAnsi="Times New Roman"/>
          <w:b/>
          <w:sz w:val="24"/>
          <w:szCs w:val="24"/>
        </w:rPr>
        <w:t xml:space="preserve">TMN: </w:t>
      </w:r>
      <w:r w:rsidRPr="0054131B">
        <w:rPr>
          <w:rFonts w:ascii="Times New Roman" w:hAnsi="Times New Roman"/>
          <w:sz w:val="24"/>
          <w:szCs w:val="24"/>
        </w:rPr>
        <w:t>Tribunal Militar Internacional de Núremberg</w:t>
      </w:r>
    </w:p>
    <w:p w:rsidR="00E636E1" w:rsidRPr="0054131B" w:rsidRDefault="00E636E1" w:rsidP="003B1275">
      <w:pPr>
        <w:keepNext/>
        <w:widowControl w:val="0"/>
        <w:spacing w:after="0" w:line="480" w:lineRule="auto"/>
        <w:jc w:val="both"/>
        <w:rPr>
          <w:rFonts w:ascii="Times New Roman" w:hAnsi="Times New Roman"/>
          <w:b/>
          <w:sz w:val="24"/>
          <w:szCs w:val="24"/>
        </w:rPr>
      </w:pPr>
      <w:r w:rsidRPr="0054131B">
        <w:rPr>
          <w:rFonts w:ascii="Times New Roman" w:hAnsi="Times New Roman"/>
          <w:b/>
          <w:sz w:val="24"/>
          <w:szCs w:val="24"/>
        </w:rPr>
        <w:t xml:space="preserve">TPEY: </w:t>
      </w:r>
      <w:r w:rsidRPr="0054131B">
        <w:rPr>
          <w:rFonts w:ascii="Times New Roman" w:hAnsi="Times New Roman"/>
          <w:sz w:val="24"/>
          <w:szCs w:val="24"/>
        </w:rPr>
        <w:t>Tribunal Penal Internacional para la ex Yugoslavia</w:t>
      </w:r>
    </w:p>
    <w:p w:rsidR="00E636E1" w:rsidRPr="0054131B" w:rsidRDefault="00CD15F9" w:rsidP="003B1275">
      <w:pPr>
        <w:keepNext/>
        <w:widowControl w:val="0"/>
        <w:spacing w:after="0" w:line="480" w:lineRule="auto"/>
        <w:jc w:val="both"/>
        <w:rPr>
          <w:rFonts w:ascii="Times New Roman" w:hAnsi="Times New Roman"/>
          <w:sz w:val="24"/>
          <w:szCs w:val="24"/>
        </w:rPr>
      </w:pPr>
      <w:r w:rsidRPr="0054131B">
        <w:rPr>
          <w:rFonts w:ascii="Times New Roman" w:hAnsi="Times New Roman"/>
          <w:b/>
          <w:sz w:val="24"/>
          <w:szCs w:val="24"/>
        </w:rPr>
        <w:t>TPIR:</w:t>
      </w:r>
      <w:r w:rsidR="00341452" w:rsidRPr="0054131B">
        <w:rPr>
          <w:rFonts w:ascii="Times New Roman" w:hAnsi="Times New Roman"/>
          <w:b/>
          <w:sz w:val="24"/>
          <w:szCs w:val="24"/>
        </w:rPr>
        <w:t xml:space="preserve"> </w:t>
      </w:r>
      <w:r w:rsidRPr="0054131B">
        <w:rPr>
          <w:rFonts w:ascii="Times New Roman" w:hAnsi="Times New Roman"/>
          <w:sz w:val="24"/>
          <w:szCs w:val="24"/>
        </w:rPr>
        <w:t>Tribunal Penal Internacional para Ruanda</w:t>
      </w:r>
    </w:p>
    <w:p w:rsidR="009B5AC0" w:rsidRPr="0054131B" w:rsidRDefault="009B5AC0" w:rsidP="003B1275">
      <w:pPr>
        <w:pStyle w:val="TOCHeading"/>
        <w:spacing w:before="0" w:line="480" w:lineRule="auto"/>
        <w:rPr>
          <w:rFonts w:ascii="Times New Roman" w:hAnsi="Times New Roman" w:cs="Times New Roman"/>
          <w:sz w:val="24"/>
          <w:szCs w:val="24"/>
          <w:lang w:val="es-ES"/>
        </w:rPr>
        <w:sectPr w:rsidR="009B5AC0" w:rsidRPr="0054131B" w:rsidSect="00B521A4">
          <w:headerReference w:type="default" r:id="rId10"/>
          <w:footerReference w:type="default" r:id="rId11"/>
          <w:pgSz w:w="12240" w:h="15840" w:code="1"/>
          <w:pgMar w:top="1440" w:right="1440" w:bottom="1440" w:left="1440" w:header="706" w:footer="706" w:gutter="0"/>
          <w:cols w:num="2" w:space="616"/>
          <w:docGrid w:linePitch="360"/>
        </w:sectPr>
      </w:pPr>
    </w:p>
    <w:p w:rsidR="00A76D83" w:rsidRPr="0054131B" w:rsidRDefault="00A76D83" w:rsidP="003B1275">
      <w:pPr>
        <w:pStyle w:val="NoSpacing"/>
        <w:widowControl w:val="0"/>
        <w:spacing w:line="480" w:lineRule="auto"/>
        <w:jc w:val="both"/>
        <w:outlineLvl w:val="0"/>
        <w:rPr>
          <w:rFonts w:ascii="Times New Roman" w:hAnsi="Times New Roman"/>
          <w:b/>
          <w:sz w:val="24"/>
          <w:szCs w:val="24"/>
        </w:rPr>
      </w:pPr>
      <w:bookmarkStart w:id="4" w:name="_Toc446776763"/>
      <w:r w:rsidRPr="0054131B">
        <w:rPr>
          <w:rFonts w:ascii="Times New Roman" w:hAnsi="Times New Roman"/>
          <w:b/>
          <w:sz w:val="24"/>
          <w:szCs w:val="24"/>
        </w:rPr>
        <w:lastRenderedPageBreak/>
        <w:t>II- ÍNDICE</w:t>
      </w:r>
      <w:bookmarkEnd w:id="4"/>
    </w:p>
    <w:p w:rsidR="00AB3CED" w:rsidRPr="00AB3CED" w:rsidRDefault="00350C73" w:rsidP="003B1275">
      <w:pPr>
        <w:pStyle w:val="TOC1"/>
        <w:tabs>
          <w:tab w:val="right" w:leader="dot" w:pos="9350"/>
        </w:tabs>
        <w:spacing w:after="0" w:line="480" w:lineRule="auto"/>
        <w:rPr>
          <w:rFonts w:ascii="Times New Roman" w:hAnsi="Times New Roman"/>
          <w:noProof/>
          <w:sz w:val="24"/>
          <w:szCs w:val="24"/>
        </w:rPr>
      </w:pPr>
      <w:r w:rsidRPr="0054131B">
        <w:rPr>
          <w:rFonts w:ascii="Times New Roman" w:hAnsi="Times New Roman"/>
          <w:sz w:val="24"/>
          <w:szCs w:val="24"/>
        </w:rPr>
        <w:fldChar w:fldCharType="begin"/>
      </w:r>
      <w:r w:rsidRPr="0054131B">
        <w:rPr>
          <w:rFonts w:ascii="Times New Roman" w:hAnsi="Times New Roman"/>
          <w:sz w:val="24"/>
          <w:szCs w:val="24"/>
        </w:rPr>
        <w:instrText xml:space="preserve"> TOC \o "1-3" \h \z \u </w:instrText>
      </w:r>
      <w:r w:rsidRPr="0054131B">
        <w:rPr>
          <w:rFonts w:ascii="Times New Roman" w:hAnsi="Times New Roman"/>
          <w:sz w:val="24"/>
          <w:szCs w:val="24"/>
        </w:rPr>
        <w:fldChar w:fldCharType="separate"/>
      </w:r>
      <w:hyperlink w:anchor="_Toc446776764" w:history="1">
        <w:r w:rsidR="00C072AA">
          <w:rPr>
            <w:rStyle w:val="Hyperlink"/>
            <w:rFonts w:ascii="Times New Roman" w:hAnsi="Times New Roman"/>
            <w:noProof/>
            <w:sz w:val="24"/>
            <w:szCs w:val="24"/>
          </w:rPr>
          <w:t>III.- BIBLIOGRAFÍ</w:t>
        </w:r>
        <w:r w:rsidR="00AB3CED" w:rsidRPr="00AB3CED">
          <w:rPr>
            <w:rStyle w:val="Hyperlink"/>
            <w:rFonts w:ascii="Times New Roman" w:hAnsi="Times New Roman"/>
            <w:noProof/>
            <w:sz w:val="24"/>
            <w:szCs w:val="24"/>
          </w:rPr>
          <w:t>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_Toc446776764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4</w:t>
        </w:r>
        <w:r w:rsidR="00AB3CED" w:rsidRPr="00AB3CED">
          <w:rPr>
            <w:rFonts w:ascii="Times New Roman" w:hAnsi="Times New Roman"/>
            <w:noProof/>
            <w:webHidden/>
            <w:sz w:val="24"/>
            <w:szCs w:val="24"/>
          </w:rPr>
          <w:fldChar w:fldCharType="end"/>
        </w:r>
      </w:hyperlink>
    </w:p>
    <w:p w:rsidR="00AB3CED" w:rsidRPr="00AB3CED" w:rsidRDefault="00A66814" w:rsidP="003B1275">
      <w:pPr>
        <w:pStyle w:val="TOC1"/>
        <w:tabs>
          <w:tab w:val="right" w:leader="dot" w:pos="9350"/>
        </w:tabs>
        <w:spacing w:after="0" w:line="480" w:lineRule="auto"/>
        <w:rPr>
          <w:rFonts w:ascii="Times New Roman" w:hAnsi="Times New Roman"/>
          <w:noProof/>
          <w:sz w:val="24"/>
          <w:szCs w:val="24"/>
        </w:rPr>
      </w:pPr>
      <w:hyperlink w:anchor="_Toc446776769" w:history="1">
        <w:r w:rsidR="00AB3CED" w:rsidRPr="00AB3CED">
          <w:rPr>
            <w:rStyle w:val="Hyperlink"/>
            <w:rFonts w:ascii="Times New Roman" w:hAnsi="Times New Roman"/>
            <w:noProof/>
            <w:sz w:val="24"/>
            <w:szCs w:val="24"/>
          </w:rPr>
          <w:t>IV.- EXPOSICIÓN DE LOS HECHOS</w:t>
        </w:r>
        <w:r w:rsidR="00AB3CED" w:rsidRPr="00AB3CED">
          <w:rPr>
            <w:rFonts w:ascii="Times New Roman" w:hAnsi="Times New Roman"/>
            <w:noProof/>
            <w:webHidden/>
            <w:sz w:val="24"/>
            <w:szCs w:val="24"/>
          </w:rPr>
          <w:tab/>
        </w:r>
      </w:hyperlink>
      <w:r w:rsidR="003B1275">
        <w:rPr>
          <w:rFonts w:ascii="Times New Roman" w:hAnsi="Times New Roman"/>
          <w:noProof/>
          <w:sz w:val="24"/>
          <w:szCs w:val="24"/>
        </w:rPr>
        <w:t>9</w:t>
      </w:r>
    </w:p>
    <w:p w:rsidR="00AB3CED" w:rsidRPr="00AB3CED" w:rsidRDefault="00A66814" w:rsidP="003B1275">
      <w:pPr>
        <w:pStyle w:val="TOC1"/>
        <w:tabs>
          <w:tab w:val="right" w:leader="dot" w:pos="9350"/>
        </w:tabs>
        <w:spacing w:after="0" w:line="480" w:lineRule="auto"/>
        <w:rPr>
          <w:rFonts w:ascii="Times New Roman" w:hAnsi="Times New Roman"/>
          <w:noProof/>
          <w:sz w:val="24"/>
          <w:szCs w:val="24"/>
        </w:rPr>
      </w:pPr>
      <w:hyperlink w:anchor="_Toc446776775" w:history="1">
        <w:r w:rsidR="00AB3CED" w:rsidRPr="00AB3CED">
          <w:rPr>
            <w:rStyle w:val="Hyperlink"/>
            <w:rFonts w:ascii="Times New Roman" w:hAnsi="Times New Roman"/>
            <w:noProof/>
            <w:sz w:val="24"/>
            <w:szCs w:val="24"/>
          </w:rPr>
          <w:t>V.- ANÁLISIS LEGAL DEL CASO</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_Toc446776775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1</w:t>
      </w:r>
    </w:p>
    <w:p w:rsidR="00AB3CED" w:rsidRPr="00AB3CED" w:rsidRDefault="00A66814" w:rsidP="003B1275">
      <w:pPr>
        <w:pStyle w:val="TOC2"/>
        <w:tabs>
          <w:tab w:val="right" w:leader="dot" w:pos="9350"/>
        </w:tabs>
        <w:spacing w:after="0" w:line="480" w:lineRule="auto"/>
        <w:rPr>
          <w:rFonts w:ascii="Times New Roman" w:hAnsi="Times New Roman"/>
          <w:noProof/>
          <w:sz w:val="24"/>
          <w:szCs w:val="24"/>
        </w:rPr>
      </w:pPr>
      <w:hyperlink w:anchor="_Toc446776776" w:history="1">
        <w:r w:rsidR="00AB3CED" w:rsidRPr="00AB3CED">
          <w:rPr>
            <w:rStyle w:val="Hyperlink"/>
            <w:rFonts w:ascii="Times New Roman" w:hAnsi="Times New Roman"/>
            <w:noProof/>
            <w:sz w:val="24"/>
            <w:szCs w:val="24"/>
          </w:rPr>
          <w:t>A. Aspectos de admisibilidad</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_Toc446776776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1</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77" w:history="1">
        <w:r w:rsidR="00AB3CED" w:rsidRPr="00AB3CED">
          <w:rPr>
            <w:rStyle w:val="Hyperlink"/>
            <w:rFonts w:ascii="Times New Roman" w:hAnsi="Times New Roman"/>
            <w:noProof/>
            <w:sz w:val="24"/>
            <w:szCs w:val="24"/>
          </w:rPr>
          <w:t xml:space="preserve">A.1 Absolución de la excepción de incompetencia por </w:t>
        </w:r>
        <w:r w:rsidR="00AB3CED" w:rsidRPr="00AB3CED">
          <w:rPr>
            <w:rStyle w:val="Hyperlink"/>
            <w:rFonts w:ascii="Times New Roman" w:hAnsi="Times New Roman"/>
            <w:i/>
            <w:noProof/>
            <w:sz w:val="24"/>
            <w:szCs w:val="24"/>
          </w:rPr>
          <w:t>ratione loci</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_Toc446776777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2</w:t>
      </w:r>
    </w:p>
    <w:p w:rsidR="00AB3CED" w:rsidRPr="00AB3CED" w:rsidRDefault="00A66814" w:rsidP="003B1275">
      <w:pPr>
        <w:pStyle w:val="TOC2"/>
        <w:tabs>
          <w:tab w:val="right" w:leader="dot" w:pos="9350"/>
        </w:tabs>
        <w:spacing w:after="0" w:line="480" w:lineRule="auto"/>
        <w:rPr>
          <w:rFonts w:ascii="Times New Roman" w:hAnsi="Times New Roman"/>
          <w:noProof/>
          <w:sz w:val="24"/>
          <w:szCs w:val="24"/>
        </w:rPr>
      </w:pPr>
      <w:hyperlink w:anchor="_Toc446776778" w:history="1">
        <w:r w:rsidR="00AB3CED" w:rsidRPr="00AB3CED">
          <w:rPr>
            <w:rStyle w:val="Hyperlink"/>
            <w:rFonts w:ascii="Times New Roman" w:hAnsi="Times New Roman"/>
            <w:noProof/>
            <w:sz w:val="24"/>
            <w:szCs w:val="24"/>
          </w:rPr>
          <w:t>B. Análisis de los aspectos de fondo</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_Toc446776778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3</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79" w:history="1">
        <w:r w:rsidR="00C82E7E">
          <w:rPr>
            <w:rStyle w:val="Hyperlink"/>
            <w:rFonts w:ascii="Times New Roman" w:hAnsi="Times New Roman"/>
            <w:noProof/>
            <w:sz w:val="24"/>
            <w:szCs w:val="24"/>
          </w:rPr>
          <w:t>B.1 C</w:t>
        </w:r>
        <w:r w:rsidR="00AB3CED" w:rsidRPr="00AB3CED">
          <w:rPr>
            <w:rStyle w:val="Hyperlink"/>
            <w:rFonts w:ascii="Times New Roman" w:hAnsi="Times New Roman"/>
            <w:noProof/>
            <w:sz w:val="24"/>
            <w:szCs w:val="24"/>
          </w:rPr>
          <w:t>ontrol de Santa Clara sobre la economía y política de Madruga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_Toc446776779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C82E7E">
        <w:rPr>
          <w:rFonts w:ascii="Times New Roman" w:hAnsi="Times New Roman"/>
          <w:noProof/>
          <w:sz w:val="24"/>
          <w:szCs w:val="24"/>
        </w:rPr>
        <w:t>3</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0" w:history="1">
        <w:r w:rsidR="00AB3CED" w:rsidRPr="00AB3CED">
          <w:rPr>
            <w:rStyle w:val="Hyperlink"/>
            <w:rFonts w:ascii="Times New Roman" w:hAnsi="Times New Roman"/>
            <w:noProof/>
            <w:sz w:val="24"/>
            <w:szCs w:val="24"/>
          </w:rPr>
          <w:t>B.2 La atribución de la responsabilidad estatal por actos de empresas transnacionales</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_Toc446776780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5</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1" w:history="1">
        <w:r w:rsidR="00AB3CED" w:rsidRPr="00AB3CED">
          <w:rPr>
            <w:rStyle w:val="Hyperlink"/>
            <w:rFonts w:ascii="Times New Roman" w:hAnsi="Times New Roman"/>
            <w:noProof/>
            <w:sz w:val="24"/>
            <w:szCs w:val="24"/>
          </w:rPr>
          <w:t>B.3 Sobre las violaciones de Derechos Humanos en perjuicio de la familia Camana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_Toc446776781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6</w:t>
      </w:r>
    </w:p>
    <w:p w:rsidR="00AB3CED" w:rsidRDefault="00A66814" w:rsidP="002E0328">
      <w:pPr>
        <w:pStyle w:val="TOC3"/>
        <w:tabs>
          <w:tab w:val="right" w:leader="dot" w:pos="9350"/>
        </w:tabs>
        <w:spacing w:after="0" w:line="480" w:lineRule="auto"/>
        <w:rPr>
          <w:rFonts w:ascii="Times New Roman" w:hAnsi="Times New Roman"/>
          <w:noProof/>
          <w:sz w:val="24"/>
          <w:szCs w:val="24"/>
        </w:rPr>
      </w:pPr>
      <w:hyperlink w:anchor="_Toc446776782" w:history="1">
        <w:r w:rsidR="00AB3CED" w:rsidRPr="00AB3CED">
          <w:rPr>
            <w:rStyle w:val="Hyperlink"/>
            <w:rFonts w:ascii="Times New Roman" w:hAnsi="Times New Roman"/>
            <w:noProof/>
            <w:sz w:val="24"/>
            <w:szCs w:val="24"/>
          </w:rPr>
          <w:t>B.3.1 Violación de los arts. 4, 8, 25 de la CADH en perjuicio de la familia Camana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_Toc446776782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1</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6</w:t>
      </w:r>
    </w:p>
    <w:p w:rsidR="002E0328" w:rsidRPr="002E0328" w:rsidRDefault="002E0328" w:rsidP="002E0328">
      <w:pPr>
        <w:pStyle w:val="NoSpacing"/>
        <w:spacing w:line="480" w:lineRule="auto"/>
        <w:jc w:val="both"/>
        <w:rPr>
          <w:rFonts w:ascii="Times New Roman" w:hAnsi="Times New Roman"/>
          <w:sz w:val="24"/>
          <w:szCs w:val="24"/>
        </w:rPr>
      </w:pPr>
      <w:r>
        <w:rPr>
          <w:rFonts w:eastAsiaTheme="minorEastAsia"/>
        </w:rPr>
        <w:t xml:space="preserve">         </w:t>
      </w:r>
      <w:r w:rsidRPr="002E0328">
        <w:rPr>
          <w:rFonts w:ascii="Times New Roman" w:hAnsi="Times New Roman"/>
          <w:sz w:val="24"/>
          <w:szCs w:val="24"/>
        </w:rPr>
        <w:t>B.3.1.1 Incumplimiento del deber de investigación en el asesinato de la familia Camana</w:t>
      </w:r>
      <w:r w:rsidR="0055295B">
        <w:rPr>
          <w:rFonts w:ascii="Times New Roman" w:hAnsi="Times New Roman"/>
          <w:sz w:val="24"/>
          <w:szCs w:val="24"/>
        </w:rPr>
        <w:t>…17</w:t>
      </w:r>
    </w:p>
    <w:p w:rsidR="002E0328" w:rsidRPr="002E0328" w:rsidRDefault="002E0328" w:rsidP="002E0328">
      <w:pPr>
        <w:spacing w:after="0" w:line="480" w:lineRule="auto"/>
      </w:pPr>
      <w:r>
        <w:rPr>
          <w:rFonts w:ascii="Times New Roman" w:hAnsi="Times New Roman"/>
          <w:sz w:val="24"/>
          <w:szCs w:val="24"/>
        </w:rPr>
        <w:t xml:space="preserve">       </w:t>
      </w:r>
      <w:r w:rsidRPr="002E0328">
        <w:rPr>
          <w:rFonts w:ascii="Times New Roman" w:hAnsi="Times New Roman"/>
          <w:sz w:val="24"/>
          <w:szCs w:val="24"/>
        </w:rPr>
        <w:t>B.3.1.2 Incumplimiento del deber de investigación en el asesinato de Lucía Camana</w:t>
      </w:r>
      <w:r w:rsidR="0055295B">
        <w:rPr>
          <w:rFonts w:ascii="Times New Roman" w:hAnsi="Times New Roman"/>
          <w:sz w:val="24"/>
          <w:szCs w:val="24"/>
        </w:rPr>
        <w:t>……..19</w:t>
      </w:r>
    </w:p>
    <w:p w:rsidR="002E0328" w:rsidRPr="002E0328" w:rsidRDefault="002E0328" w:rsidP="002E0328">
      <w:pPr>
        <w:spacing w:after="0" w:line="480" w:lineRule="auto"/>
      </w:pPr>
      <w:r>
        <w:rPr>
          <w:rFonts w:ascii="Times New Roman" w:hAnsi="Times New Roman"/>
          <w:sz w:val="24"/>
          <w:szCs w:val="24"/>
        </w:rPr>
        <w:t xml:space="preserve">       </w:t>
      </w:r>
      <w:r w:rsidRPr="002E0328">
        <w:rPr>
          <w:rFonts w:ascii="Times New Roman" w:hAnsi="Times New Roman"/>
          <w:sz w:val="24"/>
          <w:szCs w:val="24"/>
        </w:rPr>
        <w:t>B.3.1.3 Santa Clara incumplió sus obligaciones de garantía al no fiscalizar a Miningcorp</w:t>
      </w:r>
      <w:r w:rsidR="0055295B">
        <w:rPr>
          <w:rFonts w:ascii="Times New Roman" w:hAnsi="Times New Roman"/>
          <w:sz w:val="24"/>
          <w:szCs w:val="24"/>
        </w:rPr>
        <w:t>...21</w:t>
      </w:r>
    </w:p>
    <w:p w:rsidR="002E0328" w:rsidRPr="002E0328" w:rsidRDefault="002E0328" w:rsidP="002E0328">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sidRPr="002E0328">
        <w:rPr>
          <w:rFonts w:ascii="Times New Roman" w:hAnsi="Times New Roman"/>
          <w:sz w:val="24"/>
          <w:szCs w:val="24"/>
        </w:rPr>
        <w:t>B.3.1.4 Santa Clara entorpeció las investigaciones de la República de Madruga</w:t>
      </w:r>
      <w:r w:rsidR="0055295B">
        <w:rPr>
          <w:rFonts w:ascii="Times New Roman" w:hAnsi="Times New Roman"/>
          <w:sz w:val="24"/>
          <w:szCs w:val="24"/>
        </w:rPr>
        <w:t>…………..22</w:t>
      </w:r>
    </w:p>
    <w:p w:rsidR="00AB3CED" w:rsidRPr="00AB3CED" w:rsidRDefault="00A66814" w:rsidP="002E0328">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3" w:history="1">
        <w:r w:rsidR="00AB3CED" w:rsidRPr="00AB3CED">
          <w:rPr>
            <w:rStyle w:val="Hyperlink"/>
            <w:rFonts w:ascii="Times New Roman" w:hAnsi="Times New Roman"/>
            <w:noProof/>
            <w:sz w:val="24"/>
            <w:szCs w:val="24"/>
          </w:rPr>
          <w:t>B.3.2 Violación del art. 16 de la CADH en perjuicio de Lucía y Edmundo Camana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_Toc446776783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2</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3</w:t>
      </w:r>
    </w:p>
    <w:p w:rsidR="00AB3CED" w:rsidRPr="00AB3CED" w:rsidRDefault="00A66814" w:rsidP="002E0328">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4" w:history="1">
        <w:r w:rsidR="00AB3CED" w:rsidRPr="00AB3CED">
          <w:rPr>
            <w:rStyle w:val="Hyperlink"/>
            <w:rFonts w:ascii="Times New Roman" w:hAnsi="Times New Roman"/>
            <w:noProof/>
            <w:sz w:val="24"/>
            <w:szCs w:val="24"/>
          </w:rPr>
          <w:t>B.3.3 Violación de los arts. 5 y 17 de la CADH en</w:t>
        </w:r>
        <w:r w:rsidR="00AB3CED">
          <w:rPr>
            <w:rStyle w:val="Hyperlink"/>
            <w:rFonts w:ascii="Times New Roman" w:hAnsi="Times New Roman"/>
            <w:noProof/>
            <w:sz w:val="24"/>
            <w:szCs w:val="24"/>
          </w:rPr>
          <w:t xml:space="preserve"> perjuicio de Lucía Camana y</w:t>
        </w:r>
        <w:r w:rsidR="00AB3CED" w:rsidRPr="00AB3CED">
          <w:rPr>
            <w:rStyle w:val="Hyperlink"/>
            <w:rFonts w:ascii="Times New Roman" w:hAnsi="Times New Roman"/>
            <w:noProof/>
            <w:sz w:val="24"/>
            <w:szCs w:val="24"/>
          </w:rPr>
          <w:t xml:space="preserve"> abuelos</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_Toc446776784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2</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5</w:t>
      </w:r>
    </w:p>
    <w:p w:rsidR="00AB3CED" w:rsidRPr="00AB3CED" w:rsidRDefault="00A66814" w:rsidP="002E0328">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5" w:history="1">
        <w:r w:rsidR="00AB3CED" w:rsidRPr="00AB3CED">
          <w:rPr>
            <w:rStyle w:val="Hyperlink"/>
            <w:rFonts w:ascii="Times New Roman" w:hAnsi="Times New Roman"/>
            <w:noProof/>
            <w:sz w:val="24"/>
            <w:szCs w:val="24"/>
            <w:lang w:val="es-US"/>
          </w:rPr>
          <w:t xml:space="preserve">B.4 </w:t>
        </w:r>
        <w:r w:rsidR="00AB3CED" w:rsidRPr="00AB3CED">
          <w:rPr>
            <w:rStyle w:val="Hyperlink"/>
            <w:rFonts w:ascii="Times New Roman" w:hAnsi="Times New Roman"/>
            <w:noProof/>
            <w:sz w:val="24"/>
            <w:szCs w:val="24"/>
          </w:rPr>
          <w:t>Sobre las violaciones de Derechos Humanos en perjuicio del Pueblo Pichicha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_Toc446776785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2</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7</w:t>
      </w:r>
    </w:p>
    <w:p w:rsidR="00AB3CED" w:rsidRPr="00AB3CED" w:rsidRDefault="00A66814" w:rsidP="002E0328">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6" w:history="1">
        <w:r w:rsidR="00AB3CED" w:rsidRPr="00AB3CED">
          <w:rPr>
            <w:rStyle w:val="Hyperlink"/>
            <w:rFonts w:ascii="Times New Roman" w:hAnsi="Times New Roman"/>
            <w:noProof/>
            <w:sz w:val="24"/>
            <w:szCs w:val="24"/>
            <w:lang w:val="es-US"/>
          </w:rPr>
          <w:t>B.4.1 Violación de los arts. 8 y 25 de la CADH</w:t>
        </w:r>
        <w:r w:rsidR="00AB3CED" w:rsidRPr="00AB3CED">
          <w:rPr>
            <w:rStyle w:val="Hyperlink"/>
            <w:rFonts w:ascii="Times New Roman" w:hAnsi="Times New Roman"/>
            <w:noProof/>
            <w:sz w:val="24"/>
            <w:szCs w:val="24"/>
          </w:rPr>
          <w:t xml:space="preserve"> en perjuicio del Pueblo Pichicha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_Toc446776786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2</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7</w:t>
      </w:r>
    </w:p>
    <w:p w:rsidR="00AB3CED" w:rsidRPr="00AB3CED" w:rsidRDefault="00A66814" w:rsidP="002E0328">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7" w:history="1">
        <w:r w:rsidR="00AB3CED" w:rsidRPr="00AB3CED">
          <w:rPr>
            <w:rStyle w:val="Hyperlink"/>
            <w:rFonts w:ascii="Times New Roman" w:hAnsi="Times New Roman"/>
            <w:noProof/>
            <w:sz w:val="24"/>
            <w:szCs w:val="24"/>
          </w:rPr>
          <w:t xml:space="preserve">B.4.2 Violación del art. 21 </w:t>
        </w:r>
        <w:r w:rsidR="00AB3CED" w:rsidRPr="00AB3CED">
          <w:rPr>
            <w:rStyle w:val="Hyperlink"/>
            <w:rFonts w:ascii="Times New Roman" w:hAnsi="Times New Roman"/>
            <w:noProof/>
            <w:sz w:val="24"/>
            <w:szCs w:val="24"/>
            <w:lang w:val="es-US"/>
          </w:rPr>
          <w:t>de la CADH</w:t>
        </w:r>
        <w:r w:rsidR="00AB3CED" w:rsidRPr="00AB3CED">
          <w:rPr>
            <w:rStyle w:val="Hyperlink"/>
            <w:rFonts w:ascii="Times New Roman" w:hAnsi="Times New Roman"/>
            <w:noProof/>
            <w:sz w:val="24"/>
            <w:szCs w:val="24"/>
          </w:rPr>
          <w:t xml:space="preserve"> en perjuicio del Pueblo Pichicha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_Toc446776787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2</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8</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8" w:history="1">
        <w:r w:rsidR="00AB3CED" w:rsidRPr="00AB3CED">
          <w:rPr>
            <w:rStyle w:val="Hyperlink"/>
            <w:rFonts w:ascii="Times New Roman" w:hAnsi="Times New Roman"/>
            <w:noProof/>
            <w:sz w:val="24"/>
            <w:szCs w:val="24"/>
            <w:lang w:val="es-US"/>
          </w:rPr>
          <w:t>B.4.3 Justiciabilidad de los derechos contenidos en el art. 26 de la CADH</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_Toc446776788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1</w:t>
      </w:r>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89" w:history="1">
        <w:r w:rsidR="00AB3CED" w:rsidRPr="00AB3CED">
          <w:rPr>
            <w:rStyle w:val="Hyperlink"/>
            <w:rFonts w:ascii="Times New Roman" w:hAnsi="Times New Roman"/>
            <w:noProof/>
            <w:sz w:val="24"/>
            <w:szCs w:val="24"/>
          </w:rPr>
          <w:t>B.4.4 Violación del art. 26 de la CADH en perjuicio del Pueblo Pichicha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_Toc446776789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33</w:t>
        </w:r>
        <w:r w:rsidR="00AB3CED" w:rsidRPr="00AB3CED">
          <w:rPr>
            <w:rFonts w:ascii="Times New Roman" w:hAnsi="Times New Roman"/>
            <w:noProof/>
            <w:webHidden/>
            <w:sz w:val="24"/>
            <w:szCs w:val="24"/>
          </w:rPr>
          <w:fldChar w:fldCharType="end"/>
        </w:r>
      </w:hyperlink>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90" w:history="1">
        <w:r w:rsidR="00AB3CED" w:rsidRPr="00AB3CED">
          <w:rPr>
            <w:rStyle w:val="Hyperlink"/>
            <w:rFonts w:ascii="Times New Roman" w:hAnsi="Times New Roman"/>
            <w:noProof/>
            <w:sz w:val="24"/>
            <w:szCs w:val="24"/>
            <w:lang w:val="es-US"/>
          </w:rPr>
          <w:t>B.4.5 Violación del  art. 5 de la CADH</w:t>
        </w:r>
        <w:r w:rsidR="00AB3CED" w:rsidRPr="00AB3CED">
          <w:rPr>
            <w:rStyle w:val="Hyperlink"/>
            <w:rFonts w:ascii="Times New Roman" w:hAnsi="Times New Roman"/>
            <w:noProof/>
            <w:sz w:val="24"/>
            <w:szCs w:val="24"/>
          </w:rPr>
          <w:t xml:space="preserve"> en perjuicio del Pueblo Pichicha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_Toc446776790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36</w:t>
        </w:r>
        <w:r w:rsidR="00AB3CED" w:rsidRPr="00AB3CED">
          <w:rPr>
            <w:rFonts w:ascii="Times New Roman" w:hAnsi="Times New Roman"/>
            <w:noProof/>
            <w:webHidden/>
            <w:sz w:val="24"/>
            <w:szCs w:val="24"/>
          </w:rPr>
          <w:fldChar w:fldCharType="end"/>
        </w:r>
      </w:hyperlink>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91" w:history="1">
        <w:r w:rsidR="00AB3CED" w:rsidRPr="00AB3CED">
          <w:rPr>
            <w:rStyle w:val="Hyperlink"/>
            <w:rFonts w:ascii="Times New Roman" w:hAnsi="Times New Roman"/>
            <w:noProof/>
            <w:sz w:val="24"/>
            <w:szCs w:val="24"/>
          </w:rPr>
          <w:t>B.5 Sobre las violaciones de Derechos Humanos en perjuicio del Pueblo Orífuna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_Toc446776791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37</w:t>
        </w:r>
        <w:r w:rsidR="00AB3CED" w:rsidRPr="00AB3CED">
          <w:rPr>
            <w:rFonts w:ascii="Times New Roman" w:hAnsi="Times New Roman"/>
            <w:noProof/>
            <w:webHidden/>
            <w:sz w:val="24"/>
            <w:szCs w:val="24"/>
          </w:rPr>
          <w:fldChar w:fldCharType="end"/>
        </w:r>
      </w:hyperlink>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92" w:history="1">
        <w:r w:rsidR="00AB3CED" w:rsidRPr="00AB3CED">
          <w:rPr>
            <w:rStyle w:val="Hyperlink"/>
            <w:rFonts w:ascii="Times New Roman" w:hAnsi="Times New Roman"/>
            <w:noProof/>
            <w:sz w:val="24"/>
            <w:szCs w:val="24"/>
          </w:rPr>
          <w:t>B.5.1 Responsabilidad extraterritorial del Estado de Santa Clara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_Toc446776792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37</w:t>
        </w:r>
        <w:r w:rsidR="00AB3CED" w:rsidRPr="00AB3CED">
          <w:rPr>
            <w:rFonts w:ascii="Times New Roman" w:hAnsi="Times New Roman"/>
            <w:noProof/>
            <w:webHidden/>
            <w:sz w:val="24"/>
            <w:szCs w:val="24"/>
          </w:rPr>
          <w:fldChar w:fldCharType="end"/>
        </w:r>
      </w:hyperlink>
    </w:p>
    <w:p w:rsidR="00AB3CED" w:rsidRPr="00AB3CED" w:rsidRDefault="00A66814" w:rsidP="003B1275">
      <w:pPr>
        <w:pStyle w:val="TOC3"/>
        <w:tabs>
          <w:tab w:val="right" w:leader="dot" w:pos="9350"/>
        </w:tabs>
        <w:spacing w:after="0" w:line="480" w:lineRule="auto"/>
        <w:rPr>
          <w:rFonts w:ascii="Times New Roman" w:eastAsiaTheme="minorEastAsia" w:hAnsi="Times New Roman"/>
          <w:noProof/>
          <w:sz w:val="24"/>
          <w:szCs w:val="24"/>
          <w:lang w:eastAsia="es-PE"/>
        </w:rPr>
      </w:pPr>
      <w:hyperlink w:anchor="_Toc446776793" w:history="1">
        <w:r w:rsidR="00AB3CED" w:rsidRPr="00AB3CED">
          <w:rPr>
            <w:rStyle w:val="Hyperlink"/>
            <w:rFonts w:ascii="Times New Roman" w:hAnsi="Times New Roman"/>
            <w:noProof/>
            <w:sz w:val="24"/>
            <w:szCs w:val="24"/>
          </w:rPr>
          <w:t>B.5.2 Violación de los arts. 8 y 25 de la CADH en perjuicio del Pueblo Orífuna</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_Toc446776793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3</w:t>
        </w:r>
        <w:r w:rsidR="00AB3CED" w:rsidRPr="00AB3CED">
          <w:rPr>
            <w:rFonts w:ascii="Times New Roman" w:hAnsi="Times New Roman"/>
            <w:noProof/>
            <w:webHidden/>
            <w:sz w:val="24"/>
            <w:szCs w:val="24"/>
          </w:rPr>
          <w:fldChar w:fldCharType="end"/>
        </w:r>
      </w:hyperlink>
      <w:r w:rsidR="002E0328">
        <w:rPr>
          <w:rFonts w:ascii="Times New Roman" w:hAnsi="Times New Roman"/>
          <w:noProof/>
          <w:sz w:val="24"/>
          <w:szCs w:val="24"/>
        </w:rPr>
        <w:t>8</w:t>
      </w:r>
    </w:p>
    <w:p w:rsidR="00AB3CED" w:rsidRPr="00AB3CED" w:rsidRDefault="00A66814" w:rsidP="003B1275">
      <w:pPr>
        <w:pStyle w:val="TOC1"/>
        <w:tabs>
          <w:tab w:val="right" w:leader="dot" w:pos="9350"/>
        </w:tabs>
        <w:spacing w:after="0" w:line="480" w:lineRule="auto"/>
        <w:rPr>
          <w:rFonts w:ascii="Times New Roman" w:hAnsi="Times New Roman"/>
          <w:noProof/>
          <w:sz w:val="24"/>
          <w:szCs w:val="24"/>
        </w:rPr>
      </w:pPr>
      <w:hyperlink w:anchor="_Toc446776795" w:history="1">
        <w:r w:rsidR="00C82E7E">
          <w:rPr>
            <w:rStyle w:val="Hyperlink"/>
            <w:rFonts w:ascii="Times New Roman" w:hAnsi="Times New Roman"/>
            <w:noProof/>
            <w:sz w:val="24"/>
            <w:szCs w:val="24"/>
          </w:rPr>
          <w:t>VI</w:t>
        </w:r>
        <w:r w:rsidR="00AB3CED" w:rsidRPr="00AB3CED">
          <w:rPr>
            <w:rStyle w:val="Hyperlink"/>
            <w:rFonts w:ascii="Times New Roman" w:hAnsi="Times New Roman"/>
            <w:noProof/>
            <w:sz w:val="24"/>
            <w:szCs w:val="24"/>
          </w:rPr>
          <w:t>.- PETITORIO</w:t>
        </w:r>
        <w:r w:rsidR="00AB3CED" w:rsidRPr="00AB3CED">
          <w:rPr>
            <w:rFonts w:ascii="Times New Roman" w:hAnsi="Times New Roman"/>
            <w:noProof/>
            <w:webHidden/>
            <w:sz w:val="24"/>
            <w:szCs w:val="24"/>
          </w:rPr>
          <w:tab/>
        </w:r>
        <w:r w:rsidR="00AB3CED" w:rsidRPr="00AB3CED">
          <w:rPr>
            <w:rFonts w:ascii="Times New Roman" w:hAnsi="Times New Roman"/>
            <w:noProof/>
            <w:webHidden/>
            <w:sz w:val="24"/>
            <w:szCs w:val="24"/>
          </w:rPr>
          <w:fldChar w:fldCharType="begin"/>
        </w:r>
        <w:r w:rsidR="00AB3CED" w:rsidRPr="00AB3CED">
          <w:rPr>
            <w:rFonts w:ascii="Times New Roman" w:hAnsi="Times New Roman"/>
            <w:noProof/>
            <w:webHidden/>
            <w:sz w:val="24"/>
            <w:szCs w:val="24"/>
          </w:rPr>
          <w:instrText xml:space="preserve"> PAGEREF _Toc446776795 \h </w:instrText>
        </w:r>
        <w:r w:rsidR="00AB3CED" w:rsidRPr="00AB3CED">
          <w:rPr>
            <w:rFonts w:ascii="Times New Roman" w:hAnsi="Times New Roman"/>
            <w:noProof/>
            <w:webHidden/>
            <w:sz w:val="24"/>
            <w:szCs w:val="24"/>
          </w:rPr>
        </w:r>
        <w:r w:rsidR="00AB3CED" w:rsidRPr="00AB3CED">
          <w:rPr>
            <w:rFonts w:ascii="Times New Roman" w:hAnsi="Times New Roman"/>
            <w:noProof/>
            <w:webHidden/>
            <w:sz w:val="24"/>
            <w:szCs w:val="24"/>
          </w:rPr>
          <w:fldChar w:fldCharType="separate"/>
        </w:r>
        <w:r w:rsidR="00AB3CED" w:rsidRPr="00AB3CED">
          <w:rPr>
            <w:rFonts w:ascii="Times New Roman" w:hAnsi="Times New Roman"/>
            <w:noProof/>
            <w:webHidden/>
            <w:sz w:val="24"/>
            <w:szCs w:val="24"/>
          </w:rPr>
          <w:t>4</w:t>
        </w:r>
        <w:r w:rsidR="00AB3CED" w:rsidRPr="00AB3CED">
          <w:rPr>
            <w:rFonts w:ascii="Times New Roman" w:hAnsi="Times New Roman"/>
            <w:noProof/>
            <w:webHidden/>
            <w:sz w:val="24"/>
            <w:szCs w:val="24"/>
          </w:rPr>
          <w:fldChar w:fldCharType="end"/>
        </w:r>
      </w:hyperlink>
      <w:r w:rsidR="00C82E7E">
        <w:rPr>
          <w:rFonts w:ascii="Times New Roman" w:hAnsi="Times New Roman"/>
          <w:noProof/>
          <w:sz w:val="24"/>
          <w:szCs w:val="24"/>
        </w:rPr>
        <w:t>0</w:t>
      </w:r>
    </w:p>
    <w:p w:rsidR="00F82788" w:rsidRDefault="00350C73" w:rsidP="003B1275">
      <w:pPr>
        <w:pStyle w:val="NoSpacing"/>
        <w:widowControl w:val="0"/>
        <w:spacing w:line="480" w:lineRule="auto"/>
        <w:jc w:val="both"/>
        <w:outlineLvl w:val="0"/>
        <w:rPr>
          <w:rFonts w:ascii="Times New Roman" w:hAnsi="Times New Roman"/>
          <w:b/>
          <w:sz w:val="24"/>
          <w:szCs w:val="24"/>
        </w:rPr>
      </w:pPr>
      <w:r w:rsidRPr="0054131B">
        <w:rPr>
          <w:rFonts w:ascii="Times New Roman" w:hAnsi="Times New Roman"/>
          <w:sz w:val="24"/>
          <w:szCs w:val="24"/>
        </w:rPr>
        <w:fldChar w:fldCharType="end"/>
      </w:r>
      <w:bookmarkStart w:id="5" w:name="_Toc446776764"/>
      <w:r w:rsidR="00D27E44" w:rsidRPr="0054131B">
        <w:rPr>
          <w:rFonts w:ascii="Times New Roman" w:hAnsi="Times New Roman"/>
          <w:b/>
          <w:sz w:val="24"/>
          <w:szCs w:val="24"/>
        </w:rPr>
        <w:t>II</w:t>
      </w:r>
      <w:r w:rsidR="002E2709">
        <w:rPr>
          <w:rFonts w:ascii="Times New Roman" w:hAnsi="Times New Roman"/>
          <w:b/>
          <w:sz w:val="24"/>
          <w:szCs w:val="24"/>
        </w:rPr>
        <w:t>I</w:t>
      </w:r>
      <w:r w:rsidR="0054131B">
        <w:rPr>
          <w:rFonts w:ascii="Times New Roman" w:hAnsi="Times New Roman"/>
          <w:b/>
          <w:sz w:val="24"/>
          <w:szCs w:val="24"/>
        </w:rPr>
        <w:t>.</w:t>
      </w:r>
      <w:r w:rsidR="00D27E44" w:rsidRPr="0054131B">
        <w:rPr>
          <w:rFonts w:ascii="Times New Roman" w:hAnsi="Times New Roman"/>
          <w:b/>
          <w:sz w:val="24"/>
          <w:szCs w:val="24"/>
        </w:rPr>
        <w:t>-</w:t>
      </w:r>
      <w:r w:rsidR="0054131B">
        <w:rPr>
          <w:rFonts w:ascii="Times New Roman" w:hAnsi="Times New Roman"/>
          <w:b/>
          <w:sz w:val="24"/>
          <w:szCs w:val="24"/>
        </w:rPr>
        <w:t xml:space="preserve"> </w:t>
      </w:r>
      <w:r w:rsidR="00C072AA">
        <w:rPr>
          <w:rFonts w:ascii="Times New Roman" w:hAnsi="Times New Roman"/>
          <w:b/>
          <w:sz w:val="24"/>
          <w:szCs w:val="24"/>
        </w:rPr>
        <w:t>BIBLIOGRAFÍ</w:t>
      </w:r>
      <w:r w:rsidR="00D27E44" w:rsidRPr="0054131B">
        <w:rPr>
          <w:rFonts w:ascii="Times New Roman" w:hAnsi="Times New Roman"/>
          <w:b/>
          <w:sz w:val="24"/>
          <w:szCs w:val="24"/>
        </w:rPr>
        <w:t>A</w:t>
      </w:r>
      <w:bookmarkStart w:id="6" w:name="_Toc397607530"/>
      <w:bookmarkStart w:id="7" w:name="_Toc397630934"/>
      <w:bookmarkStart w:id="8" w:name="_Toc446776765"/>
      <w:bookmarkEnd w:id="5"/>
    </w:p>
    <w:p w:rsidR="00F82788" w:rsidRDefault="00D27E44" w:rsidP="003B1275">
      <w:pPr>
        <w:pStyle w:val="NoSpacing"/>
        <w:widowControl w:val="0"/>
        <w:spacing w:line="480" w:lineRule="auto"/>
        <w:jc w:val="both"/>
        <w:outlineLvl w:val="0"/>
        <w:rPr>
          <w:rFonts w:ascii="Times New Roman" w:hAnsi="Times New Roman"/>
          <w:b/>
          <w:sz w:val="24"/>
          <w:szCs w:val="24"/>
        </w:rPr>
      </w:pPr>
      <w:r w:rsidRPr="0054131B">
        <w:rPr>
          <w:rFonts w:ascii="Times New Roman" w:hAnsi="Times New Roman"/>
          <w:b/>
          <w:sz w:val="24"/>
          <w:szCs w:val="24"/>
        </w:rPr>
        <w:t>A) Libros y Documentos legales</w:t>
      </w:r>
      <w:bookmarkEnd w:id="6"/>
      <w:bookmarkEnd w:id="7"/>
      <w:bookmarkEnd w:id="8"/>
    </w:p>
    <w:p w:rsidR="00D27E44" w:rsidRPr="0054131B" w:rsidRDefault="00D27E44" w:rsidP="003B1275">
      <w:pPr>
        <w:pStyle w:val="NoSpacing"/>
        <w:widowControl w:val="0"/>
        <w:spacing w:line="480" w:lineRule="auto"/>
        <w:jc w:val="both"/>
        <w:outlineLvl w:val="0"/>
        <w:rPr>
          <w:rFonts w:ascii="Times New Roman" w:hAnsi="Times New Roman"/>
          <w:b/>
          <w:sz w:val="24"/>
          <w:szCs w:val="24"/>
        </w:rPr>
      </w:pPr>
      <w:r w:rsidRPr="0054131B">
        <w:rPr>
          <w:rFonts w:ascii="Times New Roman" w:hAnsi="Times New Roman"/>
          <w:b/>
          <w:sz w:val="24"/>
          <w:szCs w:val="24"/>
        </w:rPr>
        <w:t xml:space="preserve">A.1 Libros: </w:t>
      </w:r>
      <w:r w:rsidRPr="0054131B">
        <w:rPr>
          <w:rFonts w:ascii="Times New Roman" w:hAnsi="Times New Roman"/>
          <w:sz w:val="24"/>
          <w:szCs w:val="24"/>
        </w:rPr>
        <w:t xml:space="preserve">ACOSTA, Juana y ÁLVAREZ, Lina. </w:t>
      </w:r>
      <w:r w:rsidRPr="0054131B">
        <w:rPr>
          <w:rFonts w:ascii="Times New Roman" w:hAnsi="Times New Roman"/>
          <w:i/>
          <w:sz w:val="24"/>
          <w:szCs w:val="24"/>
        </w:rPr>
        <w:t xml:space="preserve">Las líneas lógicas de investigación: una contribución del sistema interamericano de </w:t>
      </w:r>
      <w:r w:rsidR="002E2709">
        <w:rPr>
          <w:rFonts w:ascii="Times New Roman" w:hAnsi="Times New Roman"/>
          <w:i/>
          <w:sz w:val="24"/>
          <w:szCs w:val="24"/>
        </w:rPr>
        <w:t>Derechos Humanos</w:t>
      </w:r>
      <w:r w:rsidRPr="0054131B">
        <w:rPr>
          <w:rFonts w:ascii="Times New Roman" w:hAnsi="Times New Roman"/>
          <w:i/>
          <w:sz w:val="24"/>
          <w:szCs w:val="24"/>
        </w:rPr>
        <w:t xml:space="preserve"> al juzgamiento de los crímenes de sistema en marcos de justicia transnacional.</w:t>
      </w:r>
      <w:r w:rsidRPr="0054131B">
        <w:rPr>
          <w:rFonts w:ascii="Times New Roman" w:hAnsi="Times New Roman"/>
          <w:sz w:val="24"/>
          <w:szCs w:val="24"/>
        </w:rPr>
        <w:t xml:space="preserve"> Revista Colombiana de Derecho Internacional, Bogotá, 2011, </w:t>
      </w:r>
      <w:r w:rsidRPr="0054131B">
        <w:rPr>
          <w:rFonts w:ascii="Times New Roman" w:hAnsi="Times New Roman"/>
          <w:b/>
          <w:sz w:val="24"/>
          <w:szCs w:val="24"/>
        </w:rPr>
        <w:t>p.22</w:t>
      </w:r>
      <w:r w:rsidRPr="0054131B">
        <w:rPr>
          <w:rFonts w:ascii="Times New Roman" w:hAnsi="Times New Roman"/>
          <w:sz w:val="24"/>
          <w:szCs w:val="24"/>
        </w:rPr>
        <w:t xml:space="preserve">; AGUIAR A, Asdrúbal. </w:t>
      </w:r>
      <w:r w:rsidRPr="0054131B">
        <w:rPr>
          <w:rFonts w:ascii="Times New Roman" w:hAnsi="Times New Roman"/>
          <w:i/>
          <w:sz w:val="24"/>
          <w:szCs w:val="24"/>
        </w:rPr>
        <w:t>La responsabilidad internacional del Estado por violaciones de DDHH</w:t>
      </w:r>
      <w:r w:rsidRPr="0054131B">
        <w:rPr>
          <w:rFonts w:ascii="Times New Roman" w:hAnsi="Times New Roman"/>
          <w:sz w:val="24"/>
          <w:szCs w:val="24"/>
        </w:rPr>
        <w:t>, Instituto de DDHH, Tomo I, Caracas, 1992,</w:t>
      </w:r>
      <w:r w:rsidR="007832CA" w:rsidRPr="0054131B">
        <w:rPr>
          <w:rFonts w:ascii="Times New Roman" w:hAnsi="Times New Roman"/>
          <w:b/>
          <w:sz w:val="24"/>
          <w:szCs w:val="24"/>
        </w:rPr>
        <w:t xml:space="preserve"> p.13</w:t>
      </w:r>
      <w:r w:rsidRPr="0054131B">
        <w:rPr>
          <w:rFonts w:ascii="Times New Roman" w:hAnsi="Times New Roman"/>
          <w:sz w:val="24"/>
          <w:szCs w:val="24"/>
          <w:lang w:val="es-ES"/>
        </w:rPr>
        <w:t xml:space="preserve">; ANAYA, James. </w:t>
      </w:r>
      <w:r w:rsidRPr="0054131B">
        <w:rPr>
          <w:rFonts w:ascii="Times New Roman" w:hAnsi="Times New Roman"/>
          <w:i/>
          <w:sz w:val="24"/>
          <w:szCs w:val="24"/>
          <w:lang w:val="es-ES"/>
        </w:rPr>
        <w:t>Los pueblos indígenas y el Estado multicultural</w:t>
      </w:r>
      <w:r w:rsidRPr="0054131B">
        <w:rPr>
          <w:rFonts w:ascii="Times New Roman" w:hAnsi="Times New Roman"/>
          <w:sz w:val="24"/>
          <w:szCs w:val="24"/>
          <w:lang w:val="es-ES"/>
        </w:rPr>
        <w:t>, Biblioteca Jurídica Virtual del Instituto de Investigaciones Jur</w:t>
      </w:r>
      <w:r w:rsidR="009B5AC0" w:rsidRPr="0054131B">
        <w:rPr>
          <w:rFonts w:ascii="Times New Roman" w:hAnsi="Times New Roman"/>
          <w:sz w:val="24"/>
          <w:szCs w:val="24"/>
          <w:lang w:val="es-ES"/>
        </w:rPr>
        <w:t xml:space="preserve">ídicas, </w:t>
      </w:r>
      <w:r w:rsidRPr="0054131B">
        <w:rPr>
          <w:rFonts w:ascii="Times New Roman" w:hAnsi="Times New Roman"/>
          <w:sz w:val="24"/>
          <w:szCs w:val="24"/>
          <w:lang w:val="es-ES"/>
        </w:rPr>
        <w:t xml:space="preserve">UNAM, México D.F., 2012, </w:t>
      </w:r>
      <w:r w:rsidRPr="0054131B">
        <w:rPr>
          <w:rFonts w:ascii="Times New Roman" w:hAnsi="Times New Roman"/>
          <w:b/>
          <w:sz w:val="24"/>
          <w:szCs w:val="24"/>
          <w:lang w:val="es-ES"/>
        </w:rPr>
        <w:t>p.3</w:t>
      </w:r>
      <w:r w:rsidR="007832CA" w:rsidRPr="0054131B">
        <w:rPr>
          <w:rFonts w:ascii="Times New Roman" w:hAnsi="Times New Roman"/>
          <w:b/>
          <w:sz w:val="24"/>
          <w:szCs w:val="24"/>
          <w:lang w:val="es-ES"/>
        </w:rPr>
        <w:t>5</w:t>
      </w:r>
      <w:r w:rsidRPr="0054131B">
        <w:rPr>
          <w:rFonts w:ascii="Times New Roman" w:hAnsi="Times New Roman"/>
          <w:sz w:val="24"/>
          <w:szCs w:val="24"/>
          <w:lang w:val="es-ES"/>
        </w:rPr>
        <w:t xml:space="preserve">; </w:t>
      </w:r>
      <w:r w:rsidRPr="0054131B">
        <w:rPr>
          <w:rFonts w:ascii="Times New Roman" w:hAnsi="Times New Roman"/>
          <w:sz w:val="24"/>
          <w:szCs w:val="24"/>
          <w:lang w:val="es-US"/>
        </w:rPr>
        <w:t xml:space="preserve">CERQUERIA, Daniel. </w:t>
      </w:r>
      <w:r w:rsidRPr="0054131B">
        <w:rPr>
          <w:rFonts w:ascii="Times New Roman" w:hAnsi="Times New Roman"/>
          <w:i/>
          <w:sz w:val="24"/>
          <w:szCs w:val="24"/>
          <w:lang w:val="es-US"/>
        </w:rPr>
        <w:t>La atribución de responsabilidad extraterritorial por actos de particulares en el sistema interamericano: contribuciones al debate sobre empresas y DDHH</w:t>
      </w:r>
      <w:r w:rsidRPr="0054131B">
        <w:rPr>
          <w:rFonts w:ascii="Times New Roman" w:hAnsi="Times New Roman"/>
          <w:sz w:val="24"/>
          <w:szCs w:val="24"/>
          <w:lang w:val="es-US"/>
        </w:rPr>
        <w:t xml:space="preserve">. Aportes DPLF, Washington D.C, 2015, </w:t>
      </w:r>
      <w:r w:rsidRPr="0054131B">
        <w:rPr>
          <w:rFonts w:ascii="Times New Roman" w:hAnsi="Times New Roman"/>
          <w:b/>
          <w:sz w:val="24"/>
          <w:szCs w:val="24"/>
          <w:lang w:val="es-US"/>
        </w:rPr>
        <w:t>p.14</w:t>
      </w:r>
      <w:r w:rsidRPr="0054131B">
        <w:rPr>
          <w:rFonts w:ascii="Times New Roman" w:hAnsi="Times New Roman"/>
          <w:sz w:val="24"/>
          <w:szCs w:val="24"/>
          <w:lang w:val="es-US"/>
        </w:rPr>
        <w:t xml:space="preserve">; </w:t>
      </w:r>
      <w:r w:rsidR="000C1746" w:rsidRPr="0054131B">
        <w:rPr>
          <w:rFonts w:ascii="Times New Roman" w:hAnsi="Times New Roman"/>
          <w:sz w:val="24"/>
          <w:szCs w:val="24"/>
        </w:rPr>
        <w:t xml:space="preserve">GALVIS, María. </w:t>
      </w:r>
      <w:r w:rsidR="000C1746" w:rsidRPr="0054131B">
        <w:rPr>
          <w:rFonts w:ascii="Times New Roman" w:hAnsi="Times New Roman"/>
          <w:i/>
          <w:sz w:val="24"/>
          <w:szCs w:val="24"/>
          <w:lang w:val="es-US"/>
        </w:rPr>
        <w:t>La obligación estatal de prevenir las conductas de particulares contrarias al derecho</w:t>
      </w:r>
      <w:r w:rsidR="000C1746" w:rsidRPr="0054131B">
        <w:rPr>
          <w:rFonts w:ascii="Times New Roman" w:hAnsi="Times New Roman"/>
          <w:sz w:val="24"/>
          <w:szCs w:val="24"/>
          <w:lang w:val="es-US"/>
        </w:rPr>
        <w:t xml:space="preserve">. Revista Aportes DPLF, Washington D.C, 2011, </w:t>
      </w:r>
      <w:r w:rsidR="000C1746" w:rsidRPr="0054131B">
        <w:rPr>
          <w:rFonts w:ascii="Times New Roman" w:hAnsi="Times New Roman"/>
          <w:b/>
          <w:sz w:val="24"/>
          <w:szCs w:val="24"/>
          <w:lang w:val="es-US"/>
        </w:rPr>
        <w:t>p. 37</w:t>
      </w:r>
      <w:r w:rsidR="000C1746" w:rsidRPr="0054131B">
        <w:rPr>
          <w:rFonts w:ascii="Times New Roman" w:hAnsi="Times New Roman"/>
          <w:sz w:val="24"/>
          <w:szCs w:val="24"/>
          <w:lang w:val="es-US"/>
        </w:rPr>
        <w:t>;</w:t>
      </w:r>
      <w:r w:rsidR="000C1746" w:rsidRPr="0054131B">
        <w:rPr>
          <w:rFonts w:ascii="Times New Roman" w:hAnsi="Times New Roman"/>
          <w:sz w:val="20"/>
          <w:szCs w:val="20"/>
          <w:lang w:val="es-US"/>
        </w:rPr>
        <w:t xml:space="preserve"> </w:t>
      </w:r>
      <w:r w:rsidRPr="0054131B">
        <w:rPr>
          <w:rFonts w:ascii="Times New Roman" w:hAnsi="Times New Roman"/>
          <w:sz w:val="24"/>
          <w:szCs w:val="24"/>
        </w:rPr>
        <w:t xml:space="preserve">LOUTAYF RANEA, Roberto, </w:t>
      </w:r>
      <w:r w:rsidRPr="0054131B">
        <w:rPr>
          <w:rFonts w:ascii="Times New Roman" w:hAnsi="Times New Roman"/>
          <w:i/>
          <w:sz w:val="24"/>
          <w:szCs w:val="24"/>
        </w:rPr>
        <w:t>El recurso ordinario de apelación en el proceso civil</w:t>
      </w:r>
      <w:r w:rsidR="009B5AC0" w:rsidRPr="0054131B">
        <w:rPr>
          <w:rFonts w:ascii="Times New Roman" w:hAnsi="Times New Roman"/>
          <w:sz w:val="24"/>
          <w:szCs w:val="24"/>
        </w:rPr>
        <w:t xml:space="preserve">, </w:t>
      </w:r>
      <w:r w:rsidRPr="0054131B">
        <w:rPr>
          <w:rFonts w:ascii="Times New Roman" w:hAnsi="Times New Roman"/>
          <w:sz w:val="24"/>
          <w:szCs w:val="24"/>
        </w:rPr>
        <w:t xml:space="preserve">Astrea, Buenos Aires, 2009, </w:t>
      </w:r>
      <w:r w:rsidRPr="0054131B">
        <w:rPr>
          <w:rFonts w:ascii="Times New Roman" w:hAnsi="Times New Roman"/>
          <w:b/>
          <w:sz w:val="24"/>
          <w:szCs w:val="24"/>
        </w:rPr>
        <w:t>p.2</w:t>
      </w:r>
      <w:r w:rsidR="007832CA" w:rsidRPr="0054131B">
        <w:rPr>
          <w:rFonts w:ascii="Times New Roman" w:hAnsi="Times New Roman"/>
          <w:b/>
          <w:sz w:val="24"/>
          <w:szCs w:val="24"/>
        </w:rPr>
        <w:t>8</w:t>
      </w:r>
      <w:r w:rsidRPr="0054131B">
        <w:rPr>
          <w:rFonts w:ascii="Times New Roman" w:hAnsi="Times New Roman"/>
          <w:sz w:val="24"/>
          <w:szCs w:val="24"/>
          <w:lang w:val="es-ES"/>
        </w:rPr>
        <w:t xml:space="preserve">; </w:t>
      </w:r>
      <w:r w:rsidRPr="0054131B">
        <w:rPr>
          <w:rFonts w:ascii="Times New Roman" w:hAnsi="Times New Roman"/>
          <w:sz w:val="24"/>
          <w:szCs w:val="24"/>
        </w:rPr>
        <w:t>PILLAY, Sukanya.</w:t>
      </w:r>
      <w:r w:rsidRPr="0054131B">
        <w:rPr>
          <w:rFonts w:ascii="Times New Roman" w:hAnsi="Times New Roman"/>
          <w:i/>
          <w:sz w:val="24"/>
          <w:szCs w:val="24"/>
        </w:rPr>
        <w:t xml:space="preserve"> ¿Y justicia para todos? Globalización, empresas multinacionales y la necesidad de protecciones legalmente ejecutables de los DDHH</w:t>
      </w:r>
      <w:r w:rsidRPr="0054131B">
        <w:rPr>
          <w:rFonts w:ascii="Times New Roman" w:hAnsi="Times New Roman"/>
          <w:sz w:val="24"/>
          <w:szCs w:val="24"/>
        </w:rPr>
        <w:t xml:space="preserve">. </w:t>
      </w:r>
      <w:r w:rsidR="00675FC4" w:rsidRPr="0054131B">
        <w:rPr>
          <w:rFonts w:ascii="Times New Roman" w:hAnsi="Times New Roman"/>
          <w:sz w:val="24"/>
          <w:szCs w:val="24"/>
        </w:rPr>
        <w:t xml:space="preserve">Universidad de Detroit, </w:t>
      </w:r>
      <w:r w:rsidRPr="0054131B">
        <w:rPr>
          <w:rFonts w:ascii="Times New Roman" w:hAnsi="Times New Roman"/>
          <w:sz w:val="24"/>
          <w:szCs w:val="24"/>
        </w:rPr>
        <w:t xml:space="preserve">Detroit, 2004, </w:t>
      </w:r>
      <w:r w:rsidRPr="0054131B">
        <w:rPr>
          <w:rFonts w:ascii="Times New Roman" w:hAnsi="Times New Roman"/>
          <w:b/>
          <w:sz w:val="24"/>
          <w:szCs w:val="24"/>
        </w:rPr>
        <w:t>p.14</w:t>
      </w:r>
      <w:r w:rsidRPr="0054131B">
        <w:rPr>
          <w:rFonts w:ascii="Times New Roman" w:hAnsi="Times New Roman"/>
          <w:sz w:val="24"/>
          <w:szCs w:val="24"/>
          <w:lang w:val="es-ES"/>
        </w:rPr>
        <w:t xml:space="preserve">; </w:t>
      </w:r>
      <w:r w:rsidRPr="0054131B">
        <w:rPr>
          <w:rFonts w:ascii="Times New Roman" w:hAnsi="Times New Roman"/>
          <w:sz w:val="24"/>
          <w:szCs w:val="24"/>
          <w:lang w:val="es-US"/>
        </w:rPr>
        <w:t xml:space="preserve">SALMÓN, Elizabeth. </w:t>
      </w:r>
      <w:r w:rsidRPr="0054131B">
        <w:rPr>
          <w:rFonts w:ascii="Times New Roman" w:hAnsi="Times New Roman"/>
          <w:i/>
          <w:sz w:val="24"/>
          <w:szCs w:val="24"/>
          <w:lang w:val="es-US"/>
        </w:rPr>
        <w:t>La progresiva incorporación de las empresas multinacionales en la lógica de los DDHH</w:t>
      </w:r>
      <w:r w:rsidR="009B5AC0" w:rsidRPr="0054131B">
        <w:rPr>
          <w:rFonts w:ascii="Times New Roman" w:hAnsi="Times New Roman"/>
          <w:sz w:val="24"/>
          <w:szCs w:val="24"/>
          <w:lang w:val="es-US"/>
        </w:rPr>
        <w:t xml:space="preserve">. </w:t>
      </w:r>
      <w:r w:rsidRPr="0054131B">
        <w:rPr>
          <w:rFonts w:ascii="Times New Roman" w:hAnsi="Times New Roman"/>
          <w:sz w:val="24"/>
          <w:szCs w:val="24"/>
          <w:lang w:val="es-US"/>
        </w:rPr>
        <w:t>Konrad Adenauer, Lima, 2012</w:t>
      </w:r>
      <w:r w:rsidR="0055295B" w:rsidRPr="0054131B">
        <w:rPr>
          <w:rFonts w:ascii="Times New Roman" w:hAnsi="Times New Roman"/>
          <w:sz w:val="24"/>
          <w:szCs w:val="24"/>
          <w:lang w:val="es-US"/>
        </w:rPr>
        <w:t>,</w:t>
      </w:r>
      <w:r w:rsidR="0055295B" w:rsidRPr="0054131B">
        <w:rPr>
          <w:rFonts w:ascii="Times New Roman" w:hAnsi="Times New Roman"/>
          <w:b/>
          <w:sz w:val="24"/>
          <w:szCs w:val="24"/>
          <w:lang w:val="es-US"/>
        </w:rPr>
        <w:t xml:space="preserve"> p.14</w:t>
      </w:r>
      <w:r w:rsidRPr="0054131B">
        <w:rPr>
          <w:rFonts w:ascii="Times New Roman" w:hAnsi="Times New Roman"/>
          <w:sz w:val="24"/>
          <w:szCs w:val="24"/>
          <w:lang w:val="es-US"/>
        </w:rPr>
        <w:t>.</w:t>
      </w:r>
    </w:p>
    <w:p w:rsidR="00D27E44" w:rsidRPr="0054131B" w:rsidRDefault="00D27E44" w:rsidP="003B1275">
      <w:pPr>
        <w:spacing w:after="0" w:line="480" w:lineRule="auto"/>
        <w:jc w:val="both"/>
        <w:rPr>
          <w:rFonts w:ascii="Times New Roman" w:hAnsi="Times New Roman"/>
          <w:b/>
          <w:sz w:val="24"/>
          <w:szCs w:val="24"/>
          <w:lang w:val="es-US"/>
        </w:rPr>
      </w:pPr>
      <w:r w:rsidRPr="0054131B">
        <w:rPr>
          <w:rFonts w:ascii="Times New Roman" w:hAnsi="Times New Roman"/>
          <w:b/>
          <w:sz w:val="24"/>
          <w:szCs w:val="24"/>
        </w:rPr>
        <w:lastRenderedPageBreak/>
        <w:t xml:space="preserve">A.2 Documentos Legales Internacionales: </w:t>
      </w:r>
      <w:r w:rsidRPr="0054131B">
        <w:rPr>
          <w:rStyle w:val="Hyperlink"/>
          <w:rFonts w:ascii="Times New Roman" w:hAnsi="Times New Roman"/>
          <w:b/>
          <w:color w:val="auto"/>
          <w:sz w:val="24"/>
          <w:szCs w:val="24"/>
          <w:u w:val="none"/>
          <w:shd w:val="clear" w:color="auto" w:fill="FFFFFF"/>
        </w:rPr>
        <w:t>CIDH</w:t>
      </w:r>
      <w:r w:rsidRPr="0054131B">
        <w:rPr>
          <w:rStyle w:val="Hyperlink"/>
          <w:rFonts w:ascii="Times New Roman" w:hAnsi="Times New Roman"/>
          <w:color w:val="auto"/>
          <w:sz w:val="24"/>
          <w:szCs w:val="24"/>
          <w:u w:val="none"/>
          <w:shd w:val="clear" w:color="auto" w:fill="FFFFFF"/>
        </w:rPr>
        <w:t>.-</w:t>
      </w:r>
      <w:r w:rsidRPr="0054131B">
        <w:rPr>
          <w:rFonts w:ascii="Times New Roman" w:hAnsi="Times New Roman"/>
          <w:sz w:val="24"/>
          <w:szCs w:val="24"/>
          <w:shd w:val="clear" w:color="auto" w:fill="FFFFFF"/>
        </w:rPr>
        <w:t xml:space="preserve">Reglamento de la CIDH, </w:t>
      </w:r>
      <w:r w:rsidRPr="0054131B">
        <w:rPr>
          <w:rFonts w:ascii="Times New Roman" w:hAnsi="Times New Roman"/>
          <w:sz w:val="24"/>
          <w:szCs w:val="24"/>
          <w:lang w:val="es-US"/>
        </w:rPr>
        <w:t xml:space="preserve">Resolución 01/03, 2003, </w:t>
      </w:r>
      <w:r w:rsidRPr="0054131B">
        <w:rPr>
          <w:rFonts w:ascii="Times New Roman" w:hAnsi="Times New Roman"/>
          <w:b/>
          <w:sz w:val="24"/>
          <w:szCs w:val="24"/>
          <w:lang w:val="es-US"/>
        </w:rPr>
        <w:t>p.12</w:t>
      </w:r>
      <w:r w:rsidRPr="0054131B">
        <w:rPr>
          <w:rFonts w:ascii="Times New Roman" w:hAnsi="Times New Roman"/>
          <w:sz w:val="24"/>
          <w:szCs w:val="24"/>
          <w:lang w:val="es-US"/>
        </w:rPr>
        <w:t>;</w:t>
      </w:r>
      <w:r w:rsidR="00006A4D" w:rsidRPr="0054131B">
        <w:rPr>
          <w:rFonts w:ascii="Times New Roman" w:hAnsi="Times New Roman"/>
          <w:sz w:val="24"/>
          <w:szCs w:val="24"/>
          <w:lang w:val="es-US"/>
        </w:rPr>
        <w:t xml:space="preserve"> </w:t>
      </w:r>
      <w:r w:rsidRPr="0054131B">
        <w:rPr>
          <w:rFonts w:ascii="Times New Roman" w:hAnsi="Times New Roman"/>
          <w:sz w:val="24"/>
          <w:szCs w:val="24"/>
        </w:rPr>
        <w:t xml:space="preserve">Informe sobre democracia y DDHH en Venezuela, 2009, </w:t>
      </w:r>
      <w:r w:rsidR="007832CA" w:rsidRPr="0054131B">
        <w:rPr>
          <w:rFonts w:ascii="Times New Roman" w:hAnsi="Times New Roman"/>
          <w:b/>
          <w:sz w:val="24"/>
          <w:szCs w:val="24"/>
        </w:rPr>
        <w:t>p.23</w:t>
      </w:r>
      <w:r w:rsidRPr="0054131B">
        <w:rPr>
          <w:rFonts w:ascii="Times New Roman" w:hAnsi="Times New Roman"/>
          <w:b/>
          <w:sz w:val="24"/>
          <w:szCs w:val="24"/>
        </w:rPr>
        <w:t>,</w:t>
      </w:r>
      <w:r w:rsidR="00FE60AD" w:rsidRPr="0054131B">
        <w:rPr>
          <w:rFonts w:ascii="Times New Roman" w:hAnsi="Times New Roman"/>
          <w:b/>
          <w:sz w:val="24"/>
          <w:szCs w:val="24"/>
        </w:rPr>
        <w:t xml:space="preserve"> </w:t>
      </w:r>
      <w:r w:rsidRPr="0054131B">
        <w:rPr>
          <w:rFonts w:ascii="Times New Roman" w:hAnsi="Times New Roman"/>
          <w:b/>
          <w:sz w:val="24"/>
          <w:szCs w:val="24"/>
        </w:rPr>
        <w:t>25</w:t>
      </w:r>
      <w:r w:rsidRPr="0054131B">
        <w:rPr>
          <w:rFonts w:ascii="Times New Roman" w:hAnsi="Times New Roman"/>
          <w:sz w:val="24"/>
          <w:szCs w:val="24"/>
        </w:rPr>
        <w:t xml:space="preserve">. </w:t>
      </w:r>
      <w:r w:rsidRPr="0054131B">
        <w:rPr>
          <w:rFonts w:ascii="Times New Roman" w:hAnsi="Times New Roman"/>
          <w:b/>
          <w:sz w:val="24"/>
          <w:szCs w:val="24"/>
        </w:rPr>
        <w:t>OEA</w:t>
      </w:r>
      <w:r w:rsidRPr="0054131B">
        <w:rPr>
          <w:rFonts w:ascii="Times New Roman" w:hAnsi="Times New Roman"/>
          <w:sz w:val="24"/>
          <w:szCs w:val="24"/>
        </w:rPr>
        <w:t>.-</w:t>
      </w:r>
      <w:r w:rsidR="00006A4D" w:rsidRPr="0054131B">
        <w:rPr>
          <w:rFonts w:ascii="Times New Roman" w:hAnsi="Times New Roman"/>
          <w:sz w:val="24"/>
          <w:szCs w:val="24"/>
        </w:rPr>
        <w:t xml:space="preserve"> </w:t>
      </w:r>
      <w:r w:rsidRPr="0054131B">
        <w:rPr>
          <w:rFonts w:ascii="Times New Roman" w:hAnsi="Times New Roman"/>
          <w:sz w:val="24"/>
          <w:szCs w:val="24"/>
        </w:rPr>
        <w:t xml:space="preserve">Carta de la OEA, novena Conferencia Internacional Americana. Bogotá, 1948, </w:t>
      </w:r>
      <w:r w:rsidRPr="0054131B">
        <w:rPr>
          <w:rFonts w:ascii="Times New Roman" w:hAnsi="Times New Roman"/>
          <w:b/>
          <w:sz w:val="24"/>
          <w:szCs w:val="24"/>
        </w:rPr>
        <w:t>p.21</w:t>
      </w:r>
      <w:r w:rsidRPr="0054131B">
        <w:rPr>
          <w:rFonts w:ascii="Times New Roman" w:hAnsi="Times New Roman"/>
          <w:sz w:val="24"/>
          <w:szCs w:val="24"/>
        </w:rPr>
        <w:t xml:space="preserve">; CADH. Conferencia Especializada Interamericana sobre DDHH. San José, 1969,  </w:t>
      </w:r>
      <w:r w:rsidRPr="0054131B">
        <w:rPr>
          <w:rFonts w:ascii="Times New Roman" w:hAnsi="Times New Roman"/>
          <w:b/>
          <w:sz w:val="24"/>
          <w:szCs w:val="24"/>
        </w:rPr>
        <w:t>p.12,</w:t>
      </w:r>
      <w:r w:rsidR="00FE60AD" w:rsidRPr="0054131B">
        <w:rPr>
          <w:rFonts w:ascii="Times New Roman" w:hAnsi="Times New Roman"/>
          <w:b/>
          <w:sz w:val="24"/>
          <w:szCs w:val="24"/>
        </w:rPr>
        <w:t xml:space="preserve"> </w:t>
      </w:r>
      <w:r w:rsidRPr="0054131B">
        <w:rPr>
          <w:rFonts w:ascii="Times New Roman" w:hAnsi="Times New Roman"/>
          <w:b/>
          <w:sz w:val="24"/>
          <w:szCs w:val="24"/>
        </w:rPr>
        <w:t>23,</w:t>
      </w:r>
      <w:r w:rsidR="00FE60AD" w:rsidRPr="0054131B">
        <w:rPr>
          <w:rFonts w:ascii="Times New Roman" w:hAnsi="Times New Roman"/>
          <w:b/>
          <w:sz w:val="24"/>
          <w:szCs w:val="24"/>
        </w:rPr>
        <w:t xml:space="preserve"> </w:t>
      </w:r>
      <w:r w:rsidRPr="0054131B">
        <w:rPr>
          <w:rFonts w:ascii="Times New Roman" w:hAnsi="Times New Roman"/>
          <w:b/>
          <w:sz w:val="24"/>
          <w:szCs w:val="24"/>
        </w:rPr>
        <w:t>27,</w:t>
      </w:r>
      <w:r w:rsidR="00FE60AD" w:rsidRPr="0054131B">
        <w:rPr>
          <w:rFonts w:ascii="Times New Roman" w:hAnsi="Times New Roman"/>
          <w:b/>
          <w:sz w:val="24"/>
          <w:szCs w:val="24"/>
        </w:rPr>
        <w:t xml:space="preserve"> </w:t>
      </w:r>
      <w:r w:rsidRPr="0054131B">
        <w:rPr>
          <w:rFonts w:ascii="Times New Roman" w:hAnsi="Times New Roman"/>
          <w:b/>
          <w:sz w:val="24"/>
          <w:szCs w:val="24"/>
        </w:rPr>
        <w:t>32</w:t>
      </w:r>
      <w:r w:rsidR="00006A4D" w:rsidRPr="0054131B">
        <w:rPr>
          <w:rFonts w:ascii="Times New Roman" w:hAnsi="Times New Roman"/>
          <w:sz w:val="24"/>
          <w:szCs w:val="24"/>
        </w:rPr>
        <w:t xml:space="preserve">; Protocolo Adicional a la CADH en Materia de DESC,  "Protocolo De San Salvador", 1988, </w:t>
      </w:r>
      <w:r w:rsidR="00006A4D" w:rsidRPr="0054131B">
        <w:rPr>
          <w:rFonts w:ascii="Times New Roman" w:hAnsi="Times New Roman"/>
          <w:b/>
          <w:sz w:val="24"/>
          <w:szCs w:val="24"/>
        </w:rPr>
        <w:t>p.32</w:t>
      </w:r>
      <w:r w:rsidR="00006A4D" w:rsidRPr="0054131B">
        <w:rPr>
          <w:rFonts w:ascii="Times New Roman" w:hAnsi="Times New Roman"/>
          <w:b/>
          <w:sz w:val="24"/>
          <w:szCs w:val="24"/>
          <w:shd w:val="clear" w:color="auto" w:fill="FFFFFF"/>
        </w:rPr>
        <w:t xml:space="preserve">. </w:t>
      </w:r>
      <w:r w:rsidRPr="0054131B">
        <w:rPr>
          <w:rFonts w:ascii="Times New Roman" w:hAnsi="Times New Roman"/>
          <w:b/>
          <w:sz w:val="24"/>
          <w:szCs w:val="24"/>
          <w:shd w:val="clear" w:color="auto" w:fill="FFFFFF"/>
        </w:rPr>
        <w:t>OIT</w:t>
      </w:r>
      <w:r w:rsidRPr="0054131B">
        <w:rPr>
          <w:rFonts w:ascii="Times New Roman" w:hAnsi="Times New Roman"/>
          <w:sz w:val="24"/>
          <w:szCs w:val="24"/>
          <w:shd w:val="clear" w:color="auto" w:fill="FFFFFF"/>
        </w:rPr>
        <w:t>.-</w:t>
      </w:r>
      <w:r w:rsidRPr="0054131B">
        <w:rPr>
          <w:rFonts w:ascii="Times New Roman" w:hAnsi="Times New Roman"/>
          <w:sz w:val="24"/>
          <w:szCs w:val="24"/>
        </w:rPr>
        <w:t xml:space="preserve">Informes del Comité de Libertad Sindical. Informe provisional 233, 1984, </w:t>
      </w:r>
      <w:r w:rsidR="004479D2" w:rsidRPr="0054131B">
        <w:rPr>
          <w:rFonts w:ascii="Times New Roman" w:hAnsi="Times New Roman"/>
          <w:b/>
          <w:sz w:val="24"/>
          <w:szCs w:val="24"/>
        </w:rPr>
        <w:t>p.23</w:t>
      </w:r>
      <w:r w:rsidRPr="0054131B">
        <w:rPr>
          <w:rStyle w:val="Hyperlink"/>
          <w:rFonts w:ascii="Times New Roman" w:hAnsi="Times New Roman"/>
          <w:color w:val="auto"/>
          <w:sz w:val="24"/>
          <w:szCs w:val="24"/>
          <w:u w:val="none"/>
          <w:shd w:val="clear" w:color="auto" w:fill="FFFFFF"/>
        </w:rPr>
        <w:t xml:space="preserve">; </w:t>
      </w:r>
      <w:r w:rsidRPr="0054131B">
        <w:rPr>
          <w:rFonts w:ascii="Times New Roman" w:hAnsi="Times New Roman"/>
          <w:sz w:val="24"/>
          <w:szCs w:val="24"/>
        </w:rPr>
        <w:t xml:space="preserve">Convenio 169 sobre Pueblos Indígenas y Tribales en Países Independientes, 1989, </w:t>
      </w:r>
      <w:r w:rsidRPr="0054131B">
        <w:rPr>
          <w:rFonts w:ascii="Times New Roman" w:hAnsi="Times New Roman"/>
          <w:b/>
          <w:sz w:val="24"/>
          <w:szCs w:val="24"/>
        </w:rPr>
        <w:t>p.29</w:t>
      </w:r>
      <w:r w:rsidR="004479D2" w:rsidRPr="0054131B">
        <w:rPr>
          <w:rFonts w:ascii="Times New Roman" w:hAnsi="Times New Roman"/>
          <w:b/>
          <w:sz w:val="24"/>
          <w:szCs w:val="24"/>
        </w:rPr>
        <w:t>, 35</w:t>
      </w:r>
      <w:r w:rsidRPr="0054131B">
        <w:rPr>
          <w:rFonts w:ascii="Times New Roman" w:hAnsi="Times New Roman"/>
          <w:sz w:val="24"/>
          <w:szCs w:val="24"/>
        </w:rPr>
        <w:t xml:space="preserve">. </w:t>
      </w:r>
      <w:r w:rsidRPr="0054131B">
        <w:rPr>
          <w:rFonts w:ascii="Times New Roman" w:hAnsi="Times New Roman"/>
          <w:b/>
          <w:sz w:val="24"/>
          <w:szCs w:val="24"/>
        </w:rPr>
        <w:t>ONU</w:t>
      </w:r>
      <w:r w:rsidRPr="0054131B">
        <w:rPr>
          <w:rFonts w:ascii="Times New Roman" w:hAnsi="Times New Roman"/>
          <w:sz w:val="24"/>
          <w:szCs w:val="24"/>
        </w:rPr>
        <w:t xml:space="preserve">.-Convención sobre los Derechos del Niño, Resolución 44/25 de la Asamblea General, 1989, </w:t>
      </w:r>
      <w:r w:rsidRPr="0054131B">
        <w:rPr>
          <w:rFonts w:ascii="Times New Roman" w:hAnsi="Times New Roman"/>
          <w:b/>
          <w:sz w:val="24"/>
          <w:szCs w:val="24"/>
        </w:rPr>
        <w:t xml:space="preserve">p.26; </w:t>
      </w:r>
      <w:r w:rsidRPr="0054131B">
        <w:rPr>
          <w:rFonts w:ascii="Times New Roman" w:hAnsi="Times New Roman"/>
          <w:sz w:val="24"/>
          <w:szCs w:val="24"/>
        </w:rPr>
        <w:t xml:space="preserve">Convención de la ONU Contra la Delincuencia Organizada Transnacional. Resolución 55/25 de la Asamblea General, 2000, </w:t>
      </w:r>
      <w:r w:rsidR="004479D2" w:rsidRPr="0054131B">
        <w:rPr>
          <w:rFonts w:ascii="Times New Roman" w:hAnsi="Times New Roman"/>
          <w:b/>
          <w:sz w:val="24"/>
          <w:szCs w:val="24"/>
        </w:rPr>
        <w:t>p.21</w:t>
      </w:r>
      <w:r w:rsidRPr="0054131B">
        <w:rPr>
          <w:rFonts w:ascii="Times New Roman" w:hAnsi="Times New Roman"/>
          <w:b/>
          <w:sz w:val="24"/>
          <w:szCs w:val="24"/>
        </w:rPr>
        <w:t xml:space="preserve">; </w:t>
      </w:r>
      <w:r w:rsidRPr="0054131B">
        <w:rPr>
          <w:rFonts w:ascii="Times New Roman" w:hAnsi="Times New Roman"/>
          <w:sz w:val="24"/>
          <w:szCs w:val="24"/>
          <w:shd w:val="clear" w:color="auto" w:fill="FFFFFF"/>
        </w:rPr>
        <w:t xml:space="preserve">Declaración de Kyoto de los pueblos indígenas sobre el agua, Japón, 2003, </w:t>
      </w:r>
      <w:r w:rsidRPr="0054131B">
        <w:rPr>
          <w:rFonts w:ascii="Times New Roman" w:hAnsi="Times New Roman"/>
          <w:b/>
          <w:sz w:val="24"/>
          <w:szCs w:val="24"/>
          <w:shd w:val="clear" w:color="auto" w:fill="FFFFFF"/>
        </w:rPr>
        <w:t xml:space="preserve">p.33; </w:t>
      </w:r>
      <w:r w:rsidRPr="0054131B">
        <w:rPr>
          <w:rFonts w:ascii="Times New Roman" w:eastAsia="BitstreamVeraSans-Roman" w:hAnsi="Times New Roman"/>
          <w:sz w:val="24"/>
          <w:szCs w:val="24"/>
        </w:rPr>
        <w:t>Conjunto de principios actualizado para la protección y la promoción de los DDHH mediante la lucha contra la impunidad, 2005</w:t>
      </w:r>
      <w:r w:rsidRPr="0054131B">
        <w:rPr>
          <w:rFonts w:ascii="Times New Roman" w:hAnsi="Times New Roman"/>
          <w:sz w:val="24"/>
          <w:szCs w:val="24"/>
        </w:rPr>
        <w:t xml:space="preserve">, </w:t>
      </w:r>
      <w:r w:rsidRPr="0054131B">
        <w:rPr>
          <w:rFonts w:ascii="Times New Roman" w:hAnsi="Times New Roman"/>
          <w:b/>
          <w:sz w:val="24"/>
          <w:szCs w:val="24"/>
        </w:rPr>
        <w:t xml:space="preserve">p.20; </w:t>
      </w:r>
      <w:r w:rsidRPr="0054131B">
        <w:rPr>
          <w:rFonts w:ascii="Times New Roman" w:hAnsi="Times New Roman"/>
          <w:sz w:val="24"/>
          <w:szCs w:val="24"/>
        </w:rPr>
        <w:t xml:space="preserve">Comité de la ONU sobre DESC. Observación general 15 “El derecho al agua”, 34 período de sesiones, 2005, </w:t>
      </w:r>
      <w:r w:rsidR="004479D2" w:rsidRPr="0054131B">
        <w:rPr>
          <w:rFonts w:ascii="Times New Roman" w:hAnsi="Times New Roman"/>
          <w:b/>
          <w:sz w:val="24"/>
          <w:szCs w:val="24"/>
        </w:rPr>
        <w:t>p.33</w:t>
      </w:r>
      <w:r w:rsidRPr="0054131B">
        <w:rPr>
          <w:rFonts w:ascii="Times New Roman" w:hAnsi="Times New Roman"/>
          <w:b/>
          <w:sz w:val="24"/>
          <w:szCs w:val="24"/>
        </w:rPr>
        <w:t xml:space="preserve">; </w:t>
      </w:r>
      <w:r w:rsidRPr="0054131B">
        <w:rPr>
          <w:rFonts w:ascii="Times New Roman" w:eastAsia="BitstreamVeraSans-Roman" w:hAnsi="Times New Roman"/>
          <w:sz w:val="24"/>
          <w:szCs w:val="24"/>
        </w:rPr>
        <w:t>Principios Rectores sobre las Empresas y los DDHH de la Relatoría sobre DDHH y empresas transnacionales, Ginebra, 2011</w:t>
      </w:r>
      <w:r w:rsidRPr="0054131B">
        <w:rPr>
          <w:rFonts w:ascii="Times New Roman" w:hAnsi="Times New Roman"/>
          <w:b/>
          <w:sz w:val="24"/>
          <w:szCs w:val="24"/>
        </w:rPr>
        <w:t>, p.15</w:t>
      </w:r>
      <w:r w:rsidR="00FE60AD" w:rsidRPr="0054131B">
        <w:rPr>
          <w:rFonts w:ascii="Times New Roman" w:hAnsi="Times New Roman"/>
          <w:b/>
          <w:sz w:val="24"/>
          <w:szCs w:val="24"/>
        </w:rPr>
        <w:t>, 18</w:t>
      </w:r>
      <w:r w:rsidRPr="0054131B">
        <w:rPr>
          <w:rFonts w:ascii="Times New Roman" w:hAnsi="Times New Roman"/>
          <w:b/>
          <w:sz w:val="24"/>
          <w:szCs w:val="24"/>
        </w:rPr>
        <w:t xml:space="preserve">. </w:t>
      </w:r>
      <w:r w:rsidRPr="0054131B">
        <w:rPr>
          <w:rFonts w:ascii="Times New Roman" w:hAnsi="Times New Roman"/>
          <w:sz w:val="24"/>
          <w:szCs w:val="24"/>
        </w:rPr>
        <w:t xml:space="preserve">CDH. </w:t>
      </w:r>
      <w:r w:rsidRPr="0054131B">
        <w:rPr>
          <w:rFonts w:ascii="Times New Roman" w:hAnsi="Times New Roman"/>
          <w:sz w:val="24"/>
          <w:szCs w:val="24"/>
          <w:lang w:val="es-ES_tradnl"/>
        </w:rPr>
        <w:t xml:space="preserve">Comentario General No. 23. Los derechos de las minorías, quincuagésima sesión, 1994, </w:t>
      </w:r>
      <w:r w:rsidRPr="0054131B">
        <w:rPr>
          <w:rFonts w:ascii="Times New Roman" w:hAnsi="Times New Roman"/>
          <w:b/>
          <w:sz w:val="24"/>
          <w:szCs w:val="24"/>
          <w:lang w:val="es-ES_tradnl"/>
        </w:rPr>
        <w:t>p.35</w:t>
      </w:r>
      <w:r w:rsidR="00FE60AD" w:rsidRPr="0054131B">
        <w:rPr>
          <w:rFonts w:ascii="Times New Roman" w:hAnsi="Times New Roman"/>
          <w:b/>
          <w:sz w:val="24"/>
          <w:szCs w:val="24"/>
          <w:lang w:val="es-ES_tradnl"/>
        </w:rPr>
        <w:t>;</w:t>
      </w:r>
      <w:r w:rsidR="00FE60AD" w:rsidRPr="0054131B">
        <w:rPr>
          <w:rFonts w:ascii="Times New Roman" w:hAnsi="Times New Roman"/>
          <w:sz w:val="24"/>
          <w:szCs w:val="24"/>
        </w:rPr>
        <w:t xml:space="preserve"> Comisión</w:t>
      </w:r>
      <w:r w:rsidRPr="0054131B">
        <w:rPr>
          <w:rFonts w:ascii="Times New Roman" w:hAnsi="Times New Roman"/>
          <w:sz w:val="24"/>
          <w:szCs w:val="24"/>
        </w:rPr>
        <w:t xml:space="preserve"> Internacional de Juristas. Principios de Maastricht sobre las Obligaciones Extraterritoriales de los Estados en el Área de los DESC, 2011, </w:t>
      </w:r>
      <w:r w:rsidR="004479D2" w:rsidRPr="0054131B">
        <w:rPr>
          <w:rFonts w:ascii="Times New Roman" w:hAnsi="Times New Roman"/>
          <w:b/>
          <w:sz w:val="24"/>
          <w:szCs w:val="24"/>
        </w:rPr>
        <w:t>p.36</w:t>
      </w:r>
      <w:r w:rsidRPr="0054131B">
        <w:rPr>
          <w:rFonts w:ascii="Times New Roman" w:hAnsi="Times New Roman"/>
          <w:sz w:val="24"/>
          <w:szCs w:val="24"/>
        </w:rPr>
        <w:t xml:space="preserve">; </w:t>
      </w:r>
      <w:r w:rsidRPr="0054131B">
        <w:rPr>
          <w:rFonts w:ascii="Times New Roman" w:eastAsia="BitstreamVeraSans-Roman" w:hAnsi="Times New Roman"/>
          <w:sz w:val="24"/>
          <w:szCs w:val="20"/>
        </w:rPr>
        <w:t>Convención de Noumea sobre la protección de los Recursos Naturales y el Medio Ambiente del Pacifico Sur, 1986</w:t>
      </w:r>
      <w:r w:rsidRPr="0054131B">
        <w:rPr>
          <w:rFonts w:ascii="Times New Roman" w:eastAsia="BitstreamVeraSans-Roman" w:hAnsi="Times New Roman"/>
          <w:sz w:val="24"/>
          <w:szCs w:val="24"/>
        </w:rPr>
        <w:t xml:space="preserve">, </w:t>
      </w:r>
      <w:r w:rsidRPr="0054131B">
        <w:rPr>
          <w:rFonts w:ascii="Times New Roman" w:eastAsia="BitstreamVeraSans-Roman" w:hAnsi="Times New Roman"/>
          <w:b/>
          <w:sz w:val="24"/>
          <w:szCs w:val="24"/>
        </w:rPr>
        <w:t>p.37</w:t>
      </w:r>
      <w:r w:rsidRPr="0054131B">
        <w:rPr>
          <w:rFonts w:ascii="Times New Roman" w:eastAsia="BitstreamVeraSans-Roman" w:hAnsi="Times New Roman"/>
          <w:sz w:val="24"/>
          <w:szCs w:val="24"/>
        </w:rPr>
        <w:t>;</w:t>
      </w:r>
      <w:r w:rsidR="00FE60AD" w:rsidRPr="0054131B">
        <w:rPr>
          <w:rFonts w:ascii="Times New Roman" w:eastAsia="BitstreamVeraSans-Roman" w:hAnsi="Times New Roman"/>
          <w:sz w:val="24"/>
          <w:szCs w:val="24"/>
        </w:rPr>
        <w:t xml:space="preserve"> </w:t>
      </w:r>
      <w:r w:rsidRPr="0054131B">
        <w:rPr>
          <w:rFonts w:ascii="Times New Roman" w:hAnsi="Times New Roman"/>
          <w:sz w:val="24"/>
          <w:szCs w:val="24"/>
        </w:rPr>
        <w:t xml:space="preserve">Convención de Viena sobre Relaciones Diplomáticas, 1961, </w:t>
      </w:r>
      <w:r w:rsidR="004479D2" w:rsidRPr="0054131B">
        <w:rPr>
          <w:rFonts w:ascii="Times New Roman" w:hAnsi="Times New Roman"/>
          <w:b/>
          <w:sz w:val="24"/>
          <w:szCs w:val="24"/>
        </w:rPr>
        <w:t>p.20</w:t>
      </w:r>
      <w:r w:rsidRPr="0054131B">
        <w:rPr>
          <w:rFonts w:ascii="Times New Roman" w:hAnsi="Times New Roman"/>
          <w:sz w:val="24"/>
          <w:szCs w:val="24"/>
        </w:rPr>
        <w:t>.</w:t>
      </w:r>
    </w:p>
    <w:p w:rsidR="00F82788" w:rsidRPr="00F82788" w:rsidRDefault="00D27E44" w:rsidP="003B1275">
      <w:pPr>
        <w:spacing w:after="0" w:line="480" w:lineRule="auto"/>
        <w:jc w:val="both"/>
        <w:rPr>
          <w:rFonts w:ascii="Times New Roman" w:hAnsi="Times New Roman"/>
          <w:sz w:val="24"/>
          <w:szCs w:val="24"/>
        </w:rPr>
      </w:pPr>
      <w:r w:rsidRPr="00F82788">
        <w:rPr>
          <w:rFonts w:ascii="Times New Roman" w:eastAsia="BitstreamVeraSans-Roman" w:hAnsi="Times New Roman"/>
          <w:b/>
          <w:sz w:val="24"/>
          <w:szCs w:val="24"/>
        </w:rPr>
        <w:t xml:space="preserve">A.3 </w:t>
      </w:r>
      <w:bookmarkStart w:id="9" w:name="_Toc397630938"/>
      <w:r w:rsidRPr="00F82788">
        <w:rPr>
          <w:rFonts w:ascii="Times New Roman" w:hAnsi="Times New Roman"/>
          <w:b/>
          <w:sz w:val="24"/>
          <w:szCs w:val="24"/>
        </w:rPr>
        <w:t>Legislación Comparada</w:t>
      </w:r>
      <w:bookmarkEnd w:id="9"/>
      <w:r w:rsidRPr="00F82788">
        <w:rPr>
          <w:rFonts w:ascii="Times New Roman" w:hAnsi="Times New Roman"/>
          <w:b/>
          <w:sz w:val="24"/>
          <w:szCs w:val="24"/>
        </w:rPr>
        <w:t>:</w:t>
      </w:r>
      <w:r w:rsidR="00FE60AD" w:rsidRPr="00F82788">
        <w:rPr>
          <w:rFonts w:ascii="Times New Roman" w:hAnsi="Times New Roman"/>
          <w:b/>
          <w:sz w:val="24"/>
          <w:szCs w:val="24"/>
        </w:rPr>
        <w:t xml:space="preserve"> </w:t>
      </w:r>
      <w:r w:rsidRPr="00F82788">
        <w:rPr>
          <w:rFonts w:ascii="Times New Roman" w:hAnsi="Times New Roman"/>
          <w:b/>
          <w:sz w:val="24"/>
          <w:szCs w:val="24"/>
        </w:rPr>
        <w:t>Estados Unidos de América</w:t>
      </w:r>
      <w:r w:rsidRPr="00F82788">
        <w:rPr>
          <w:rFonts w:ascii="Times New Roman" w:hAnsi="Times New Roman"/>
          <w:sz w:val="24"/>
          <w:szCs w:val="24"/>
        </w:rPr>
        <w:t xml:space="preserve">.- Ley de víctimas de trata y protección contra la violencia, 2000, </w:t>
      </w:r>
      <w:r w:rsidRPr="00F82788">
        <w:rPr>
          <w:rFonts w:ascii="Times New Roman" w:hAnsi="Times New Roman"/>
          <w:b/>
          <w:sz w:val="24"/>
          <w:szCs w:val="24"/>
        </w:rPr>
        <w:t>p.18</w:t>
      </w:r>
      <w:r w:rsidRPr="00F82788">
        <w:rPr>
          <w:rFonts w:ascii="Times New Roman" w:hAnsi="Times New Roman"/>
          <w:sz w:val="24"/>
          <w:szCs w:val="24"/>
        </w:rPr>
        <w:t xml:space="preserve">; Ley de reclamaciones extranjeras, 1789, </w:t>
      </w:r>
      <w:r w:rsidRPr="00F82788">
        <w:rPr>
          <w:rFonts w:ascii="Times New Roman" w:hAnsi="Times New Roman"/>
          <w:b/>
          <w:sz w:val="24"/>
          <w:szCs w:val="24"/>
        </w:rPr>
        <w:t>p.18</w:t>
      </w:r>
      <w:r w:rsidRPr="00F82788">
        <w:rPr>
          <w:rFonts w:ascii="Times New Roman" w:hAnsi="Times New Roman"/>
          <w:sz w:val="24"/>
          <w:szCs w:val="24"/>
        </w:rPr>
        <w:t>.</w:t>
      </w:r>
      <w:bookmarkStart w:id="10" w:name="_Toc446716812"/>
      <w:bookmarkStart w:id="11" w:name="_Toc446776766"/>
    </w:p>
    <w:p w:rsidR="00F82788" w:rsidRPr="00F82788" w:rsidRDefault="00D27E44" w:rsidP="003B1275">
      <w:pPr>
        <w:spacing w:after="0" w:line="480" w:lineRule="auto"/>
        <w:jc w:val="both"/>
        <w:rPr>
          <w:rFonts w:ascii="Times New Roman" w:hAnsi="Times New Roman"/>
          <w:b/>
          <w:sz w:val="24"/>
          <w:szCs w:val="24"/>
        </w:rPr>
      </w:pPr>
      <w:r w:rsidRPr="00F82788">
        <w:rPr>
          <w:rFonts w:ascii="Times New Roman" w:hAnsi="Times New Roman"/>
          <w:b/>
          <w:sz w:val="24"/>
          <w:szCs w:val="24"/>
        </w:rPr>
        <w:t>B) Casos legales:</w:t>
      </w:r>
      <w:bookmarkStart w:id="12" w:name="_Toc446715016"/>
      <w:bookmarkStart w:id="13" w:name="_Toc446715459"/>
      <w:bookmarkStart w:id="14" w:name="_Toc446716082"/>
      <w:bookmarkStart w:id="15" w:name="_Toc446716813"/>
      <w:bookmarkStart w:id="16" w:name="_Toc446717024"/>
      <w:bookmarkStart w:id="17" w:name="_Toc446776767"/>
      <w:bookmarkEnd w:id="10"/>
      <w:bookmarkEnd w:id="11"/>
    </w:p>
    <w:p w:rsidR="00D27E44" w:rsidRPr="00F82788" w:rsidRDefault="00D27E44" w:rsidP="003B1275">
      <w:pPr>
        <w:widowControl w:val="0"/>
        <w:spacing w:after="0" w:line="480" w:lineRule="auto"/>
        <w:jc w:val="both"/>
        <w:rPr>
          <w:rFonts w:ascii="Times New Roman" w:hAnsi="Times New Roman"/>
          <w:b/>
          <w:sz w:val="24"/>
          <w:szCs w:val="24"/>
        </w:rPr>
      </w:pPr>
      <w:r w:rsidRPr="00F82788">
        <w:rPr>
          <w:rFonts w:ascii="Times New Roman" w:hAnsi="Times New Roman"/>
          <w:b/>
          <w:sz w:val="24"/>
          <w:szCs w:val="24"/>
        </w:rPr>
        <w:t>B.1 Casos Contenciosos de la Corte IDH:</w:t>
      </w:r>
      <w:r w:rsidRPr="00F82788">
        <w:rPr>
          <w:rFonts w:ascii="Times New Roman" w:hAnsi="Times New Roman"/>
          <w:sz w:val="24"/>
          <w:szCs w:val="24"/>
        </w:rPr>
        <w:t xml:space="preserve"> </w:t>
      </w:r>
      <w:r w:rsidRPr="00F82788">
        <w:rPr>
          <w:rStyle w:val="Strong"/>
          <w:rFonts w:ascii="Times New Roman" w:hAnsi="Times New Roman"/>
          <w:b w:val="0"/>
          <w:sz w:val="24"/>
          <w:szCs w:val="24"/>
        </w:rPr>
        <w:t xml:space="preserve">Caso Velásquez Rodríguez vs. Honduras. Sentencia, </w:t>
      </w:r>
      <w:r w:rsidRPr="00F82788">
        <w:rPr>
          <w:rStyle w:val="Strong"/>
          <w:rFonts w:ascii="Times New Roman" w:hAnsi="Times New Roman"/>
          <w:b w:val="0"/>
          <w:sz w:val="24"/>
          <w:szCs w:val="24"/>
        </w:rPr>
        <w:lastRenderedPageBreak/>
        <w:t xml:space="preserve">1988, </w:t>
      </w:r>
      <w:r w:rsidRPr="00F82788">
        <w:rPr>
          <w:rStyle w:val="Strong"/>
          <w:rFonts w:ascii="Times New Roman" w:hAnsi="Times New Roman"/>
          <w:sz w:val="24"/>
          <w:szCs w:val="24"/>
        </w:rPr>
        <w:t>p.16</w:t>
      </w:r>
      <w:r w:rsidRPr="00F82788">
        <w:rPr>
          <w:rStyle w:val="Strong"/>
          <w:rFonts w:ascii="Times New Roman" w:hAnsi="Times New Roman"/>
          <w:b w:val="0"/>
          <w:sz w:val="24"/>
          <w:szCs w:val="24"/>
        </w:rPr>
        <w:t xml:space="preserve">; Caso Blake vs. Guatemala. Sentencia, 1998, </w:t>
      </w:r>
      <w:r w:rsidRPr="00F82788">
        <w:rPr>
          <w:rStyle w:val="Strong"/>
          <w:rFonts w:ascii="Times New Roman" w:hAnsi="Times New Roman"/>
          <w:sz w:val="24"/>
          <w:szCs w:val="24"/>
        </w:rPr>
        <w:t>p.15,</w:t>
      </w:r>
      <w:r w:rsidR="00556413" w:rsidRPr="00F82788">
        <w:rPr>
          <w:rStyle w:val="Strong"/>
          <w:rFonts w:ascii="Times New Roman" w:hAnsi="Times New Roman"/>
          <w:sz w:val="24"/>
          <w:szCs w:val="24"/>
        </w:rPr>
        <w:t xml:space="preserve"> </w:t>
      </w:r>
      <w:r w:rsidRPr="00F82788">
        <w:rPr>
          <w:rStyle w:val="Strong"/>
          <w:rFonts w:ascii="Times New Roman" w:hAnsi="Times New Roman"/>
          <w:sz w:val="24"/>
          <w:szCs w:val="24"/>
        </w:rPr>
        <w:t>25</w:t>
      </w:r>
      <w:r w:rsidRPr="00F82788">
        <w:rPr>
          <w:rStyle w:val="Strong"/>
          <w:rFonts w:ascii="Times New Roman" w:hAnsi="Times New Roman"/>
          <w:b w:val="0"/>
          <w:sz w:val="24"/>
          <w:szCs w:val="24"/>
        </w:rPr>
        <w:t xml:space="preserve">; Caso Baena Ricardo y otros vs. Panamá. Sentencia, 1999, </w:t>
      </w:r>
      <w:r w:rsidRPr="00F82788">
        <w:rPr>
          <w:rStyle w:val="Strong"/>
          <w:rFonts w:ascii="Times New Roman" w:hAnsi="Times New Roman"/>
          <w:sz w:val="24"/>
          <w:szCs w:val="24"/>
        </w:rPr>
        <w:t>p.23</w:t>
      </w:r>
      <w:r w:rsidR="00FE60AD" w:rsidRPr="00F82788">
        <w:rPr>
          <w:rStyle w:val="Strong"/>
          <w:rFonts w:ascii="Times New Roman" w:hAnsi="Times New Roman"/>
          <w:sz w:val="24"/>
          <w:szCs w:val="24"/>
        </w:rPr>
        <w:t xml:space="preserve"> </w:t>
      </w:r>
      <w:r w:rsidRPr="00F82788">
        <w:rPr>
          <w:rStyle w:val="Strong"/>
          <w:rFonts w:ascii="Times New Roman" w:hAnsi="Times New Roman"/>
          <w:sz w:val="24"/>
          <w:szCs w:val="24"/>
        </w:rPr>
        <w:t>,38</w:t>
      </w:r>
      <w:r w:rsidRPr="00F82788">
        <w:rPr>
          <w:rFonts w:ascii="Times New Roman" w:hAnsi="Times New Roman"/>
          <w:b/>
          <w:sz w:val="24"/>
          <w:szCs w:val="24"/>
        </w:rPr>
        <w:t>;</w:t>
      </w:r>
      <w:r w:rsidRPr="00F82788">
        <w:rPr>
          <w:rFonts w:ascii="Times New Roman" w:hAnsi="Times New Roman"/>
          <w:sz w:val="24"/>
          <w:szCs w:val="24"/>
        </w:rPr>
        <w:t xml:space="preserve"> Caso Bámaca Velásquez vs. Guatemala. Sentencia, 2000, </w:t>
      </w:r>
      <w:r w:rsidRPr="00F82788">
        <w:rPr>
          <w:rFonts w:ascii="Times New Roman" w:hAnsi="Times New Roman"/>
          <w:b/>
          <w:sz w:val="24"/>
          <w:szCs w:val="24"/>
        </w:rPr>
        <w:t>p.</w:t>
      </w:r>
      <w:r w:rsidRPr="00F82788">
        <w:rPr>
          <w:rStyle w:val="Strong"/>
          <w:rFonts w:ascii="Times New Roman" w:hAnsi="Times New Roman"/>
          <w:sz w:val="24"/>
          <w:szCs w:val="24"/>
        </w:rPr>
        <w:t>26;</w:t>
      </w:r>
      <w:r w:rsidR="00006A4D" w:rsidRPr="00F82788">
        <w:rPr>
          <w:rStyle w:val="Strong"/>
          <w:rFonts w:ascii="Times New Roman" w:hAnsi="Times New Roman"/>
          <w:sz w:val="24"/>
          <w:szCs w:val="24"/>
        </w:rPr>
        <w:t xml:space="preserve"> </w:t>
      </w:r>
      <w:r w:rsidRPr="00F82788">
        <w:rPr>
          <w:rFonts w:ascii="Times New Roman" w:hAnsi="Times New Roman"/>
          <w:sz w:val="24"/>
          <w:szCs w:val="24"/>
        </w:rPr>
        <w:t xml:space="preserve">Caso del Tribunal Constitucional vs. Perú. Sentencia, 2001, </w:t>
      </w:r>
      <w:r w:rsidRPr="00F82788">
        <w:rPr>
          <w:rFonts w:ascii="Times New Roman" w:hAnsi="Times New Roman"/>
          <w:b/>
          <w:sz w:val="24"/>
          <w:szCs w:val="24"/>
        </w:rPr>
        <w:t>p.21,</w:t>
      </w:r>
      <w:r w:rsidR="00FE60AD" w:rsidRPr="00F82788">
        <w:rPr>
          <w:rFonts w:ascii="Times New Roman" w:hAnsi="Times New Roman"/>
          <w:b/>
          <w:sz w:val="24"/>
          <w:szCs w:val="24"/>
        </w:rPr>
        <w:t xml:space="preserve"> </w:t>
      </w:r>
      <w:r w:rsidRPr="00F82788">
        <w:rPr>
          <w:rFonts w:ascii="Times New Roman" w:hAnsi="Times New Roman"/>
          <w:b/>
          <w:sz w:val="24"/>
          <w:szCs w:val="24"/>
        </w:rPr>
        <w:t>38</w:t>
      </w:r>
      <w:r w:rsidRPr="00F82788">
        <w:rPr>
          <w:rFonts w:ascii="Times New Roman" w:hAnsi="Times New Roman"/>
          <w:sz w:val="24"/>
          <w:szCs w:val="24"/>
        </w:rPr>
        <w:t xml:space="preserve">; Caso "La Última Tentación de Cristo" (Olmedo Bustos y otros) vs. Chile. Sentencia, 2001, </w:t>
      </w:r>
      <w:r w:rsidRPr="00F82788">
        <w:rPr>
          <w:rFonts w:ascii="Times New Roman" w:hAnsi="Times New Roman"/>
          <w:b/>
          <w:sz w:val="24"/>
          <w:szCs w:val="24"/>
        </w:rPr>
        <w:t>p</w:t>
      </w:r>
      <w:r w:rsidRPr="00F82788">
        <w:rPr>
          <w:rFonts w:ascii="Times New Roman" w:hAnsi="Times New Roman"/>
          <w:sz w:val="24"/>
          <w:szCs w:val="24"/>
        </w:rPr>
        <w:t>.</w:t>
      </w:r>
      <w:r w:rsidRPr="00F82788">
        <w:rPr>
          <w:rStyle w:val="Strong"/>
          <w:rFonts w:ascii="Times New Roman" w:hAnsi="Times New Roman"/>
          <w:sz w:val="24"/>
          <w:szCs w:val="24"/>
        </w:rPr>
        <w:t xml:space="preserve">28; </w:t>
      </w:r>
      <w:r w:rsidRPr="00F82788">
        <w:rPr>
          <w:rFonts w:ascii="Times New Roman" w:hAnsi="Times New Roman"/>
          <w:sz w:val="24"/>
          <w:szCs w:val="24"/>
        </w:rPr>
        <w:t xml:space="preserve">Caso de los "Niños de la Calle" (Villagrán Morales y otros) vs. Guatemala. Sentencia, 2001, </w:t>
      </w:r>
      <w:r w:rsidRPr="00F82788">
        <w:rPr>
          <w:rFonts w:ascii="Times New Roman" w:hAnsi="Times New Roman"/>
          <w:b/>
          <w:sz w:val="24"/>
          <w:szCs w:val="24"/>
        </w:rPr>
        <w:t>p.25</w:t>
      </w:r>
      <w:r w:rsidRPr="00F82788">
        <w:rPr>
          <w:rFonts w:ascii="Times New Roman" w:hAnsi="Times New Roman"/>
          <w:sz w:val="24"/>
          <w:szCs w:val="24"/>
        </w:rPr>
        <w:t>; Caso de la Comunidad Mayagna (Sumo) Awas</w:t>
      </w:r>
      <w:r w:rsidR="00523A55" w:rsidRPr="00F82788">
        <w:rPr>
          <w:rFonts w:ascii="Times New Roman" w:hAnsi="Times New Roman"/>
          <w:sz w:val="24"/>
          <w:szCs w:val="24"/>
        </w:rPr>
        <w:t xml:space="preserve"> </w:t>
      </w:r>
      <w:r w:rsidRPr="00F82788">
        <w:rPr>
          <w:rFonts w:ascii="Times New Roman" w:hAnsi="Times New Roman"/>
          <w:sz w:val="24"/>
          <w:szCs w:val="24"/>
        </w:rPr>
        <w:t xml:space="preserve">Tingni vs. Nicaragua. Sentencia, 2001, </w:t>
      </w:r>
      <w:r w:rsidRPr="00F82788">
        <w:rPr>
          <w:rFonts w:ascii="Times New Roman" w:hAnsi="Times New Roman"/>
          <w:b/>
          <w:sz w:val="24"/>
          <w:szCs w:val="24"/>
        </w:rPr>
        <w:t>p.</w:t>
      </w:r>
      <w:r w:rsidRPr="00F82788">
        <w:rPr>
          <w:rStyle w:val="Strong"/>
          <w:rFonts w:ascii="Times New Roman" w:hAnsi="Times New Roman"/>
          <w:sz w:val="24"/>
          <w:szCs w:val="24"/>
        </w:rPr>
        <w:t xml:space="preserve">28; </w:t>
      </w:r>
      <w:r w:rsidRPr="00F82788">
        <w:rPr>
          <w:rFonts w:ascii="Times New Roman" w:hAnsi="Times New Roman"/>
          <w:sz w:val="24"/>
          <w:szCs w:val="24"/>
        </w:rPr>
        <w:t xml:space="preserve">Caso Cantos vs. Argentina. Sentencia, 2002, </w:t>
      </w:r>
      <w:r w:rsidRPr="00F82788">
        <w:rPr>
          <w:rFonts w:ascii="Times New Roman" w:hAnsi="Times New Roman"/>
          <w:b/>
          <w:sz w:val="24"/>
          <w:szCs w:val="24"/>
        </w:rPr>
        <w:t>p.16</w:t>
      </w:r>
      <w:r w:rsidRPr="00F82788">
        <w:rPr>
          <w:rStyle w:val="Strong"/>
          <w:rFonts w:ascii="Times New Roman" w:hAnsi="Times New Roman"/>
          <w:sz w:val="24"/>
          <w:szCs w:val="24"/>
        </w:rPr>
        <w:t xml:space="preserve">; </w:t>
      </w:r>
      <w:r w:rsidRPr="00F82788">
        <w:rPr>
          <w:rFonts w:ascii="Times New Roman" w:hAnsi="Times New Roman"/>
          <w:sz w:val="24"/>
          <w:szCs w:val="24"/>
        </w:rPr>
        <w:t xml:space="preserve">Caso Myrna Mack Chang vs. Guatemala. Sentencia, 2003, </w:t>
      </w:r>
      <w:r w:rsidRPr="00F82788">
        <w:rPr>
          <w:rFonts w:ascii="Times New Roman" w:hAnsi="Times New Roman"/>
          <w:b/>
          <w:sz w:val="24"/>
          <w:szCs w:val="24"/>
        </w:rPr>
        <w:t>p.16,</w:t>
      </w:r>
      <w:r w:rsidR="00FE60AD" w:rsidRPr="00F82788">
        <w:rPr>
          <w:rFonts w:ascii="Times New Roman" w:hAnsi="Times New Roman"/>
          <w:b/>
          <w:sz w:val="24"/>
          <w:szCs w:val="24"/>
        </w:rPr>
        <w:t xml:space="preserve"> </w:t>
      </w:r>
      <w:r w:rsidRPr="00F82788">
        <w:rPr>
          <w:rFonts w:ascii="Times New Roman" w:hAnsi="Times New Roman"/>
          <w:b/>
          <w:sz w:val="24"/>
          <w:szCs w:val="24"/>
        </w:rPr>
        <w:t>24</w:t>
      </w:r>
      <w:r w:rsidRPr="00F82788">
        <w:rPr>
          <w:rFonts w:ascii="Times New Roman" w:hAnsi="Times New Roman"/>
          <w:sz w:val="24"/>
          <w:szCs w:val="24"/>
        </w:rPr>
        <w:t>; Caso Huilca</w:t>
      </w:r>
      <w:r w:rsidR="003C5FF2" w:rsidRPr="00F82788">
        <w:rPr>
          <w:rFonts w:ascii="Times New Roman" w:hAnsi="Times New Roman"/>
          <w:sz w:val="24"/>
          <w:szCs w:val="24"/>
        </w:rPr>
        <w:t xml:space="preserve"> </w:t>
      </w:r>
      <w:r w:rsidRPr="00F82788">
        <w:rPr>
          <w:rFonts w:ascii="Times New Roman" w:hAnsi="Times New Roman"/>
          <w:sz w:val="24"/>
          <w:szCs w:val="24"/>
        </w:rPr>
        <w:t xml:space="preserve">Tecse vs. Perú. Sentencia, 2005, </w:t>
      </w:r>
      <w:r w:rsidRPr="00F82788">
        <w:rPr>
          <w:rFonts w:ascii="Times New Roman" w:hAnsi="Times New Roman"/>
          <w:b/>
          <w:sz w:val="24"/>
          <w:szCs w:val="24"/>
        </w:rPr>
        <w:t>p.</w:t>
      </w:r>
      <w:r w:rsidR="003C5FF2" w:rsidRPr="00F82788">
        <w:rPr>
          <w:rFonts w:ascii="Times New Roman" w:hAnsi="Times New Roman"/>
          <w:b/>
          <w:sz w:val="24"/>
          <w:szCs w:val="24"/>
        </w:rPr>
        <w:t xml:space="preserve">23, </w:t>
      </w:r>
      <w:r w:rsidRPr="00F82788">
        <w:rPr>
          <w:rFonts w:ascii="Times New Roman" w:hAnsi="Times New Roman"/>
          <w:b/>
          <w:sz w:val="24"/>
          <w:szCs w:val="24"/>
        </w:rPr>
        <w:t>24</w:t>
      </w:r>
      <w:r w:rsidRPr="00F82788">
        <w:rPr>
          <w:rFonts w:ascii="Times New Roman" w:hAnsi="Times New Roman"/>
          <w:sz w:val="24"/>
          <w:szCs w:val="24"/>
        </w:rPr>
        <w:t xml:space="preserve">; Caso de la Comunidad Moiwana vs. Surinam. Sentencia, 2005, </w:t>
      </w:r>
      <w:r w:rsidRPr="00F82788">
        <w:rPr>
          <w:rFonts w:ascii="Times New Roman" w:hAnsi="Times New Roman"/>
          <w:b/>
          <w:sz w:val="24"/>
          <w:szCs w:val="24"/>
        </w:rPr>
        <w:t>p.36</w:t>
      </w:r>
      <w:r w:rsidRPr="00F82788">
        <w:rPr>
          <w:rFonts w:ascii="Times New Roman" w:hAnsi="Times New Roman"/>
          <w:sz w:val="24"/>
          <w:szCs w:val="24"/>
        </w:rPr>
        <w:t xml:space="preserve">; Caso Comunidad Indígena Yakye Axa vs. Paraguay. Sentencia, 2005, </w:t>
      </w:r>
      <w:r w:rsidRPr="00F82788">
        <w:rPr>
          <w:rFonts w:ascii="Times New Roman" w:hAnsi="Times New Roman"/>
          <w:b/>
          <w:sz w:val="24"/>
          <w:szCs w:val="24"/>
        </w:rPr>
        <w:t>p.29,</w:t>
      </w:r>
      <w:r w:rsidR="00FE60AD" w:rsidRPr="00F82788">
        <w:rPr>
          <w:rFonts w:ascii="Times New Roman" w:hAnsi="Times New Roman"/>
          <w:b/>
          <w:sz w:val="24"/>
          <w:szCs w:val="24"/>
        </w:rPr>
        <w:t xml:space="preserve"> </w:t>
      </w:r>
      <w:r w:rsidRPr="00F82788">
        <w:rPr>
          <w:rFonts w:ascii="Times New Roman" w:hAnsi="Times New Roman"/>
          <w:b/>
          <w:sz w:val="24"/>
          <w:szCs w:val="24"/>
        </w:rPr>
        <w:t>34,</w:t>
      </w:r>
      <w:r w:rsidR="00FE60AD" w:rsidRPr="00F82788">
        <w:rPr>
          <w:rFonts w:ascii="Times New Roman" w:hAnsi="Times New Roman"/>
          <w:b/>
          <w:sz w:val="24"/>
          <w:szCs w:val="24"/>
        </w:rPr>
        <w:t xml:space="preserve"> </w:t>
      </w:r>
      <w:r w:rsidRPr="00F82788">
        <w:rPr>
          <w:rFonts w:ascii="Times New Roman" w:hAnsi="Times New Roman"/>
          <w:b/>
          <w:sz w:val="24"/>
          <w:szCs w:val="24"/>
        </w:rPr>
        <w:t>35</w:t>
      </w:r>
      <w:r w:rsidR="000F250D" w:rsidRPr="00F82788">
        <w:rPr>
          <w:rFonts w:ascii="Times New Roman" w:hAnsi="Times New Roman"/>
          <w:sz w:val="24"/>
          <w:szCs w:val="24"/>
        </w:rPr>
        <w:t>;</w:t>
      </w:r>
      <w:r w:rsidRPr="00F82788">
        <w:rPr>
          <w:rFonts w:ascii="Times New Roman" w:hAnsi="Times New Roman"/>
          <w:sz w:val="24"/>
          <w:szCs w:val="24"/>
        </w:rPr>
        <w:t xml:space="preserve"> Caso Fermín Ramírez vs. Guatemala. Sentencia, 2005, </w:t>
      </w:r>
      <w:r w:rsidRPr="00F82788">
        <w:rPr>
          <w:rFonts w:ascii="Times New Roman" w:hAnsi="Times New Roman"/>
          <w:b/>
          <w:sz w:val="24"/>
          <w:szCs w:val="24"/>
        </w:rPr>
        <w:t>p.28</w:t>
      </w:r>
      <w:r w:rsidRPr="00F82788">
        <w:rPr>
          <w:rFonts w:ascii="Times New Roman" w:hAnsi="Times New Roman"/>
          <w:sz w:val="24"/>
          <w:szCs w:val="24"/>
        </w:rPr>
        <w:t xml:space="preserve">; </w:t>
      </w:r>
      <w:r w:rsidRPr="00F82788">
        <w:rPr>
          <w:rStyle w:val="Strong"/>
          <w:rFonts w:ascii="Times New Roman" w:hAnsi="Times New Roman"/>
          <w:b w:val="0"/>
          <w:sz w:val="24"/>
          <w:szCs w:val="24"/>
        </w:rPr>
        <w:t>Caso de la "Masacre de Mapiripán" vs. Colombia. Sentencia, 2005,</w:t>
      </w:r>
      <w:r w:rsidRPr="00F82788">
        <w:rPr>
          <w:rStyle w:val="Strong"/>
          <w:rFonts w:ascii="Times New Roman" w:hAnsi="Times New Roman"/>
          <w:sz w:val="24"/>
          <w:szCs w:val="24"/>
        </w:rPr>
        <w:t xml:space="preserve"> p.16, 20;</w:t>
      </w:r>
      <w:r w:rsidR="00FE60AD" w:rsidRPr="00F82788">
        <w:rPr>
          <w:rStyle w:val="Strong"/>
          <w:rFonts w:ascii="Times New Roman" w:hAnsi="Times New Roman"/>
          <w:sz w:val="24"/>
          <w:szCs w:val="24"/>
        </w:rPr>
        <w:t xml:space="preserve"> </w:t>
      </w:r>
      <w:r w:rsidRPr="00F82788">
        <w:rPr>
          <w:rFonts w:ascii="Times New Roman" w:hAnsi="Times New Roman"/>
          <w:sz w:val="24"/>
          <w:szCs w:val="24"/>
        </w:rPr>
        <w:t>Caso Palamara</w:t>
      </w:r>
      <w:r w:rsidR="00FE60AD" w:rsidRPr="00F82788">
        <w:rPr>
          <w:rFonts w:ascii="Times New Roman" w:hAnsi="Times New Roman"/>
          <w:sz w:val="24"/>
          <w:szCs w:val="24"/>
        </w:rPr>
        <w:t xml:space="preserve"> </w:t>
      </w:r>
      <w:r w:rsidRPr="00F82788">
        <w:rPr>
          <w:rFonts w:ascii="Times New Roman" w:hAnsi="Times New Roman"/>
          <w:sz w:val="24"/>
          <w:szCs w:val="24"/>
        </w:rPr>
        <w:t xml:space="preserve">Iribarne vs. Chile. Sentencia, 2005, </w:t>
      </w:r>
      <w:r w:rsidRPr="00F82788">
        <w:rPr>
          <w:rFonts w:ascii="Times New Roman" w:hAnsi="Times New Roman"/>
          <w:b/>
          <w:sz w:val="24"/>
          <w:szCs w:val="24"/>
        </w:rPr>
        <w:t>p.29</w:t>
      </w:r>
      <w:r w:rsidRPr="00F82788">
        <w:rPr>
          <w:rFonts w:ascii="Times New Roman" w:hAnsi="Times New Roman"/>
          <w:sz w:val="24"/>
          <w:szCs w:val="24"/>
        </w:rPr>
        <w:t xml:space="preserve">; </w:t>
      </w:r>
      <w:r w:rsidRPr="00F82788">
        <w:rPr>
          <w:rFonts w:ascii="Times New Roman" w:hAnsi="Times New Roman"/>
          <w:sz w:val="24"/>
          <w:szCs w:val="24"/>
          <w:lang w:val="es-ES_tradnl"/>
        </w:rPr>
        <w:t xml:space="preserve">Caso Comunidad Indígena Yakye Axa vs. Paraguay. Interpretación de Sentencia, 2006, </w:t>
      </w:r>
      <w:r w:rsidRPr="00F82788">
        <w:rPr>
          <w:rFonts w:ascii="Times New Roman" w:hAnsi="Times New Roman"/>
          <w:b/>
          <w:sz w:val="24"/>
          <w:szCs w:val="24"/>
          <w:lang w:val="es-ES_tradnl"/>
        </w:rPr>
        <w:t>p.33</w:t>
      </w:r>
      <w:r w:rsidRPr="00F82788">
        <w:rPr>
          <w:rFonts w:ascii="Times New Roman" w:hAnsi="Times New Roman"/>
          <w:sz w:val="24"/>
          <w:szCs w:val="24"/>
          <w:lang w:val="es-ES_tradnl"/>
        </w:rPr>
        <w:t xml:space="preserve">; </w:t>
      </w:r>
      <w:r w:rsidRPr="00F82788">
        <w:rPr>
          <w:rFonts w:ascii="Times New Roman" w:hAnsi="Times New Roman"/>
          <w:sz w:val="24"/>
          <w:szCs w:val="24"/>
          <w:lang w:eastAsia="es-PE"/>
        </w:rPr>
        <w:t xml:space="preserve">Caso Comunidad Indígena Sawhoyamaxa vs. Paraguay. Sentencia, 2006, </w:t>
      </w:r>
      <w:r w:rsidRPr="00F82788">
        <w:rPr>
          <w:rFonts w:ascii="Times New Roman" w:hAnsi="Times New Roman"/>
          <w:b/>
          <w:sz w:val="24"/>
          <w:szCs w:val="24"/>
          <w:lang w:eastAsia="es-PE"/>
        </w:rPr>
        <w:t>p.</w:t>
      </w:r>
      <w:r w:rsidRPr="00F82788">
        <w:rPr>
          <w:rFonts w:ascii="Times New Roman" w:hAnsi="Times New Roman"/>
          <w:b/>
          <w:sz w:val="24"/>
          <w:szCs w:val="24"/>
        </w:rPr>
        <w:t>28,</w:t>
      </w:r>
      <w:r w:rsidR="00556413" w:rsidRPr="00F82788">
        <w:rPr>
          <w:rFonts w:ascii="Times New Roman" w:hAnsi="Times New Roman"/>
          <w:b/>
          <w:sz w:val="24"/>
          <w:szCs w:val="24"/>
        </w:rPr>
        <w:t xml:space="preserve"> </w:t>
      </w:r>
      <w:r w:rsidRPr="00F82788">
        <w:rPr>
          <w:rFonts w:ascii="Times New Roman" w:hAnsi="Times New Roman"/>
          <w:b/>
          <w:sz w:val="24"/>
          <w:szCs w:val="24"/>
        </w:rPr>
        <w:t>33</w:t>
      </w:r>
      <w:r w:rsidRPr="00F82788">
        <w:rPr>
          <w:rFonts w:ascii="Times New Roman" w:hAnsi="Times New Roman"/>
          <w:sz w:val="24"/>
          <w:szCs w:val="24"/>
        </w:rPr>
        <w:t xml:space="preserve">; Caso Baldeón García vs. Perú. Sentencia, 2006, </w:t>
      </w:r>
      <w:r w:rsidRPr="00F82788">
        <w:rPr>
          <w:rFonts w:ascii="Times New Roman" w:hAnsi="Times New Roman"/>
          <w:b/>
          <w:sz w:val="24"/>
          <w:szCs w:val="24"/>
        </w:rPr>
        <w:t>p.</w:t>
      </w:r>
      <w:r w:rsidRPr="00F82788">
        <w:rPr>
          <w:rStyle w:val="Strong"/>
          <w:rFonts w:ascii="Times New Roman" w:hAnsi="Times New Roman"/>
          <w:sz w:val="24"/>
          <w:szCs w:val="24"/>
        </w:rPr>
        <w:t>17,</w:t>
      </w:r>
      <w:r w:rsidR="00556413" w:rsidRPr="00F82788">
        <w:rPr>
          <w:rStyle w:val="Strong"/>
          <w:rFonts w:ascii="Times New Roman" w:hAnsi="Times New Roman"/>
          <w:sz w:val="24"/>
          <w:szCs w:val="24"/>
        </w:rPr>
        <w:t xml:space="preserve"> </w:t>
      </w:r>
      <w:r w:rsidRPr="00F82788">
        <w:rPr>
          <w:rStyle w:val="Strong"/>
          <w:rFonts w:ascii="Times New Roman" w:hAnsi="Times New Roman"/>
          <w:sz w:val="24"/>
          <w:szCs w:val="24"/>
        </w:rPr>
        <w:t xml:space="preserve">20; </w:t>
      </w:r>
      <w:r w:rsidR="00FE60AD" w:rsidRPr="00F82788">
        <w:rPr>
          <w:rFonts w:ascii="Times New Roman" w:hAnsi="Times New Roman"/>
          <w:sz w:val="24"/>
          <w:szCs w:val="24"/>
        </w:rPr>
        <w:t xml:space="preserve">Caso Xímenes López vs. Brasil. </w:t>
      </w:r>
      <w:r w:rsidR="00556413" w:rsidRPr="00F82788">
        <w:rPr>
          <w:rFonts w:ascii="Times New Roman" w:hAnsi="Times New Roman"/>
          <w:sz w:val="24"/>
          <w:szCs w:val="24"/>
        </w:rPr>
        <w:t xml:space="preserve">Sentencia, </w:t>
      </w:r>
      <w:r w:rsidRPr="00F82788">
        <w:rPr>
          <w:rFonts w:ascii="Times New Roman" w:hAnsi="Times New Roman"/>
          <w:b/>
          <w:sz w:val="24"/>
          <w:szCs w:val="24"/>
        </w:rPr>
        <w:t>p.15</w:t>
      </w:r>
      <w:r w:rsidR="003C5FF2" w:rsidRPr="00F82788">
        <w:rPr>
          <w:rFonts w:ascii="Times New Roman" w:hAnsi="Times New Roman"/>
          <w:sz w:val="24"/>
          <w:szCs w:val="24"/>
        </w:rPr>
        <w:t xml:space="preserve">; </w:t>
      </w:r>
      <w:r w:rsidRPr="00F82788">
        <w:rPr>
          <w:rFonts w:ascii="Times New Roman" w:hAnsi="Times New Roman"/>
          <w:sz w:val="24"/>
          <w:szCs w:val="24"/>
          <w:lang w:val="es-US"/>
        </w:rPr>
        <w:t xml:space="preserve">Caso Goiburú y otros vs. Paraguay. Sentencia, 2006, </w:t>
      </w:r>
      <w:r w:rsidRPr="00F82788">
        <w:rPr>
          <w:rFonts w:ascii="Times New Roman" w:hAnsi="Times New Roman"/>
          <w:b/>
          <w:sz w:val="24"/>
          <w:szCs w:val="24"/>
          <w:lang w:val="es-US"/>
        </w:rPr>
        <w:t>p.</w:t>
      </w:r>
      <w:r w:rsidRPr="00F82788">
        <w:rPr>
          <w:rFonts w:ascii="Times New Roman" w:hAnsi="Times New Roman"/>
          <w:b/>
          <w:sz w:val="24"/>
          <w:szCs w:val="24"/>
        </w:rPr>
        <w:t>21</w:t>
      </w:r>
      <w:r w:rsidRPr="00F82788">
        <w:rPr>
          <w:rFonts w:ascii="Times New Roman" w:hAnsi="Times New Roman"/>
          <w:sz w:val="24"/>
          <w:szCs w:val="24"/>
        </w:rPr>
        <w:t xml:space="preserve">; </w:t>
      </w:r>
      <w:r w:rsidRPr="00F82788">
        <w:rPr>
          <w:rFonts w:ascii="Times New Roman" w:hAnsi="Times New Roman"/>
          <w:sz w:val="24"/>
          <w:szCs w:val="24"/>
          <w:lang w:val="es-US"/>
        </w:rPr>
        <w:t xml:space="preserve">Caso La Cantuta vs. Perú. Sentencia, 2006, </w:t>
      </w:r>
      <w:r w:rsidRPr="00F82788">
        <w:rPr>
          <w:rFonts w:ascii="Times New Roman" w:hAnsi="Times New Roman"/>
          <w:b/>
          <w:sz w:val="24"/>
          <w:szCs w:val="24"/>
          <w:lang w:val="es-US"/>
        </w:rPr>
        <w:t>p.</w:t>
      </w:r>
      <w:r w:rsidRPr="00F82788">
        <w:rPr>
          <w:rFonts w:ascii="Times New Roman" w:hAnsi="Times New Roman"/>
          <w:b/>
          <w:sz w:val="24"/>
          <w:szCs w:val="24"/>
        </w:rPr>
        <w:t>21</w:t>
      </w:r>
      <w:r w:rsidRPr="00F82788">
        <w:rPr>
          <w:rFonts w:ascii="Times New Roman" w:hAnsi="Times New Roman"/>
          <w:sz w:val="24"/>
          <w:szCs w:val="24"/>
        </w:rPr>
        <w:t xml:space="preserve">; Caso de la Masacre de La Rochela vs. Colombia. Sentencia, 2007, </w:t>
      </w:r>
      <w:r w:rsidRPr="00F82788">
        <w:rPr>
          <w:rFonts w:ascii="Times New Roman" w:hAnsi="Times New Roman"/>
          <w:b/>
          <w:sz w:val="24"/>
          <w:szCs w:val="24"/>
        </w:rPr>
        <w:t>p.20</w:t>
      </w:r>
      <w:r w:rsidRPr="00F82788">
        <w:rPr>
          <w:rFonts w:ascii="Times New Roman" w:hAnsi="Times New Roman"/>
          <w:sz w:val="24"/>
          <w:szCs w:val="24"/>
        </w:rPr>
        <w:t xml:space="preserve">; Caso Chaparro Álvarez y Lapo Íñiguez vs. Ecuador. Sentencia, 2007, </w:t>
      </w:r>
      <w:r w:rsidRPr="00F82788">
        <w:rPr>
          <w:rFonts w:ascii="Times New Roman" w:hAnsi="Times New Roman"/>
          <w:b/>
          <w:sz w:val="24"/>
          <w:szCs w:val="24"/>
        </w:rPr>
        <w:t>p.27</w:t>
      </w:r>
      <w:r w:rsidRPr="00F82788">
        <w:rPr>
          <w:rFonts w:ascii="Times New Roman" w:hAnsi="Times New Roman"/>
          <w:sz w:val="24"/>
          <w:szCs w:val="24"/>
        </w:rPr>
        <w:t xml:space="preserve">; Caso del Pueblo Saramaka vs. Surinam. Sentencia, 2007, </w:t>
      </w:r>
      <w:r w:rsidR="009375B9" w:rsidRPr="00F82788">
        <w:rPr>
          <w:rFonts w:ascii="Times New Roman" w:hAnsi="Times New Roman"/>
          <w:b/>
          <w:sz w:val="24"/>
          <w:szCs w:val="24"/>
        </w:rPr>
        <w:t>p.34</w:t>
      </w:r>
      <w:r w:rsidRPr="00F82788">
        <w:rPr>
          <w:rFonts w:ascii="Times New Roman" w:hAnsi="Times New Roman"/>
          <w:b/>
          <w:sz w:val="24"/>
          <w:szCs w:val="24"/>
        </w:rPr>
        <w:t>,</w:t>
      </w:r>
      <w:r w:rsidR="00FE60AD" w:rsidRPr="00F82788">
        <w:rPr>
          <w:rFonts w:ascii="Times New Roman" w:hAnsi="Times New Roman"/>
          <w:b/>
          <w:sz w:val="24"/>
          <w:szCs w:val="24"/>
        </w:rPr>
        <w:t xml:space="preserve"> </w:t>
      </w:r>
      <w:r w:rsidR="009375B9" w:rsidRPr="00F82788">
        <w:rPr>
          <w:rFonts w:ascii="Times New Roman" w:hAnsi="Times New Roman"/>
          <w:b/>
          <w:sz w:val="24"/>
          <w:szCs w:val="24"/>
        </w:rPr>
        <w:t>38</w:t>
      </w:r>
      <w:r w:rsidRPr="00F82788">
        <w:rPr>
          <w:rFonts w:ascii="Times New Roman" w:hAnsi="Times New Roman"/>
          <w:sz w:val="24"/>
          <w:szCs w:val="24"/>
        </w:rPr>
        <w:t xml:space="preserve">; Caso Apitz Barbera y otros vs. Venezuela. Sentencia, 2008, </w:t>
      </w:r>
      <w:r w:rsidRPr="00F82788">
        <w:rPr>
          <w:rFonts w:ascii="Times New Roman" w:hAnsi="Times New Roman"/>
          <w:b/>
          <w:sz w:val="24"/>
          <w:szCs w:val="24"/>
        </w:rPr>
        <w:t>p.27</w:t>
      </w:r>
      <w:r w:rsidRPr="00F82788">
        <w:rPr>
          <w:rFonts w:ascii="Times New Roman" w:hAnsi="Times New Roman"/>
          <w:sz w:val="24"/>
          <w:szCs w:val="24"/>
        </w:rPr>
        <w:t xml:space="preserve">; Caso del Pueblo Saramaka vs. Surinam. Interpretación de la Sentencia, </w:t>
      </w:r>
      <w:r w:rsidR="00796240" w:rsidRPr="00F82788">
        <w:rPr>
          <w:rFonts w:ascii="Times New Roman" w:hAnsi="Times New Roman"/>
          <w:b/>
          <w:sz w:val="24"/>
          <w:szCs w:val="24"/>
        </w:rPr>
        <w:t>p.35</w:t>
      </w:r>
      <w:r w:rsidRPr="00F82788">
        <w:rPr>
          <w:rFonts w:ascii="Times New Roman" w:hAnsi="Times New Roman"/>
          <w:sz w:val="24"/>
          <w:szCs w:val="24"/>
        </w:rPr>
        <w:t xml:space="preserve">; Caso Bayarri vs. Argentina. Sentencia, 2008, </w:t>
      </w:r>
      <w:r w:rsidR="00006A4D" w:rsidRPr="00F82788">
        <w:rPr>
          <w:rFonts w:ascii="Times New Roman" w:hAnsi="Times New Roman"/>
          <w:b/>
          <w:sz w:val="24"/>
          <w:szCs w:val="24"/>
        </w:rPr>
        <w:t>p.16</w:t>
      </w:r>
      <w:r w:rsidRPr="00F82788">
        <w:rPr>
          <w:rFonts w:ascii="Times New Roman" w:hAnsi="Times New Roman"/>
          <w:sz w:val="24"/>
          <w:szCs w:val="24"/>
        </w:rPr>
        <w:t xml:space="preserve">; Caso Valle Jaramillo y otros vs. Colombia. Sentencia, 2008, </w:t>
      </w:r>
      <w:r w:rsidR="003C5FF2" w:rsidRPr="00F82788">
        <w:rPr>
          <w:rFonts w:ascii="Times New Roman" w:hAnsi="Times New Roman"/>
          <w:b/>
          <w:sz w:val="24"/>
          <w:szCs w:val="24"/>
        </w:rPr>
        <w:t>p.25</w:t>
      </w:r>
      <w:r w:rsidRPr="00F82788">
        <w:rPr>
          <w:rFonts w:ascii="Times New Roman" w:hAnsi="Times New Roman"/>
          <w:sz w:val="24"/>
          <w:szCs w:val="24"/>
        </w:rPr>
        <w:t xml:space="preserve">; Caso Ríos y otros vs. Venezuela. Sentencia, 2009, </w:t>
      </w:r>
      <w:r w:rsidRPr="00F82788">
        <w:rPr>
          <w:rFonts w:ascii="Times New Roman" w:hAnsi="Times New Roman"/>
          <w:b/>
          <w:sz w:val="24"/>
          <w:szCs w:val="24"/>
        </w:rPr>
        <w:t>p.17,</w:t>
      </w:r>
      <w:r w:rsidR="00556413" w:rsidRPr="00F82788">
        <w:rPr>
          <w:rFonts w:ascii="Times New Roman" w:hAnsi="Times New Roman"/>
          <w:b/>
          <w:sz w:val="24"/>
          <w:szCs w:val="24"/>
        </w:rPr>
        <w:t xml:space="preserve"> </w:t>
      </w:r>
      <w:r w:rsidRPr="00F82788">
        <w:rPr>
          <w:rFonts w:ascii="Times New Roman" w:hAnsi="Times New Roman"/>
          <w:b/>
          <w:sz w:val="24"/>
          <w:szCs w:val="24"/>
        </w:rPr>
        <w:t>20,</w:t>
      </w:r>
      <w:r w:rsidR="00556413" w:rsidRPr="00F82788">
        <w:rPr>
          <w:rFonts w:ascii="Times New Roman" w:hAnsi="Times New Roman"/>
          <w:b/>
          <w:sz w:val="24"/>
          <w:szCs w:val="24"/>
        </w:rPr>
        <w:t xml:space="preserve"> </w:t>
      </w:r>
      <w:r w:rsidRPr="00F82788">
        <w:rPr>
          <w:rFonts w:ascii="Times New Roman" w:hAnsi="Times New Roman"/>
          <w:b/>
          <w:sz w:val="24"/>
          <w:szCs w:val="24"/>
        </w:rPr>
        <w:t>21</w:t>
      </w:r>
      <w:r w:rsidRPr="00F82788">
        <w:rPr>
          <w:rFonts w:ascii="Times New Roman" w:hAnsi="Times New Roman"/>
          <w:sz w:val="24"/>
          <w:szCs w:val="24"/>
        </w:rPr>
        <w:t xml:space="preserve">; Caso Acevedo Buendía y otros vs. Perú. Sentencia, 2009, </w:t>
      </w:r>
      <w:r w:rsidRPr="00F82788">
        <w:rPr>
          <w:rFonts w:ascii="Times New Roman" w:hAnsi="Times New Roman"/>
          <w:b/>
          <w:sz w:val="24"/>
          <w:szCs w:val="24"/>
        </w:rPr>
        <w:t>p.31,</w:t>
      </w:r>
      <w:r w:rsidR="00FE60AD" w:rsidRPr="00F82788">
        <w:rPr>
          <w:rFonts w:ascii="Times New Roman" w:hAnsi="Times New Roman"/>
          <w:b/>
          <w:sz w:val="24"/>
          <w:szCs w:val="24"/>
        </w:rPr>
        <w:t xml:space="preserve"> </w:t>
      </w:r>
      <w:r w:rsidRPr="00F82788">
        <w:rPr>
          <w:rFonts w:ascii="Times New Roman" w:hAnsi="Times New Roman"/>
          <w:b/>
          <w:sz w:val="24"/>
          <w:szCs w:val="24"/>
        </w:rPr>
        <w:t>32,</w:t>
      </w:r>
      <w:r w:rsidR="00FE60AD" w:rsidRPr="00F82788">
        <w:rPr>
          <w:rFonts w:ascii="Times New Roman" w:hAnsi="Times New Roman"/>
          <w:b/>
          <w:sz w:val="24"/>
          <w:szCs w:val="24"/>
        </w:rPr>
        <w:t xml:space="preserve"> </w:t>
      </w:r>
      <w:r w:rsidRPr="00F82788">
        <w:rPr>
          <w:rFonts w:ascii="Times New Roman" w:hAnsi="Times New Roman"/>
          <w:b/>
          <w:sz w:val="24"/>
          <w:szCs w:val="24"/>
        </w:rPr>
        <w:t>33</w:t>
      </w:r>
      <w:r w:rsidRPr="00F82788">
        <w:rPr>
          <w:rFonts w:ascii="Times New Roman" w:hAnsi="Times New Roman"/>
          <w:sz w:val="24"/>
          <w:szCs w:val="24"/>
        </w:rPr>
        <w:t xml:space="preserve">; Caso González y otras ("Campo Algodonero") vs. México. Sentencia, 2009, </w:t>
      </w:r>
      <w:r w:rsidRPr="00F82788">
        <w:rPr>
          <w:rFonts w:ascii="Times New Roman" w:hAnsi="Times New Roman"/>
          <w:b/>
          <w:sz w:val="24"/>
          <w:szCs w:val="24"/>
        </w:rPr>
        <w:lastRenderedPageBreak/>
        <w:t>p.15,</w:t>
      </w:r>
      <w:r w:rsidR="00FE60AD" w:rsidRPr="00F82788">
        <w:rPr>
          <w:rFonts w:ascii="Times New Roman" w:hAnsi="Times New Roman"/>
          <w:b/>
          <w:sz w:val="24"/>
          <w:szCs w:val="24"/>
        </w:rPr>
        <w:t xml:space="preserve"> </w:t>
      </w:r>
      <w:r w:rsidR="00432CDD" w:rsidRPr="00F82788">
        <w:rPr>
          <w:rFonts w:ascii="Times New Roman" w:hAnsi="Times New Roman"/>
          <w:b/>
          <w:sz w:val="24"/>
          <w:szCs w:val="24"/>
        </w:rPr>
        <w:t>19</w:t>
      </w:r>
      <w:r w:rsidRPr="00F82788">
        <w:rPr>
          <w:rFonts w:ascii="Times New Roman" w:hAnsi="Times New Roman"/>
          <w:b/>
          <w:sz w:val="24"/>
          <w:szCs w:val="24"/>
        </w:rPr>
        <w:t>,</w:t>
      </w:r>
      <w:r w:rsidR="00FE60AD" w:rsidRPr="00F82788">
        <w:rPr>
          <w:rFonts w:ascii="Times New Roman" w:hAnsi="Times New Roman"/>
          <w:b/>
          <w:sz w:val="24"/>
          <w:szCs w:val="24"/>
        </w:rPr>
        <w:t xml:space="preserve"> </w:t>
      </w:r>
      <w:r w:rsidRPr="00F82788">
        <w:rPr>
          <w:rFonts w:ascii="Times New Roman" w:hAnsi="Times New Roman"/>
          <w:b/>
          <w:sz w:val="24"/>
          <w:szCs w:val="24"/>
        </w:rPr>
        <w:t>25</w:t>
      </w:r>
      <w:r w:rsidRPr="00F82788">
        <w:rPr>
          <w:rFonts w:ascii="Times New Roman" w:hAnsi="Times New Roman"/>
          <w:sz w:val="24"/>
          <w:szCs w:val="24"/>
        </w:rPr>
        <w:t>; Caso Chocrón</w:t>
      </w:r>
      <w:r w:rsidR="00432CDD" w:rsidRPr="00F82788">
        <w:rPr>
          <w:rFonts w:ascii="Times New Roman" w:hAnsi="Times New Roman"/>
          <w:sz w:val="24"/>
          <w:szCs w:val="24"/>
        </w:rPr>
        <w:t xml:space="preserve"> </w:t>
      </w:r>
      <w:r w:rsidRPr="00F82788">
        <w:rPr>
          <w:rFonts w:ascii="Times New Roman" w:hAnsi="Times New Roman"/>
          <w:sz w:val="24"/>
          <w:szCs w:val="24"/>
        </w:rPr>
        <w:t xml:space="preserve">Chocrón vs. Venezuela. Sentencia, 2011, </w:t>
      </w:r>
      <w:r w:rsidRPr="00F82788">
        <w:rPr>
          <w:rFonts w:ascii="Times New Roman" w:hAnsi="Times New Roman"/>
          <w:b/>
          <w:sz w:val="24"/>
          <w:szCs w:val="24"/>
        </w:rPr>
        <w:t>p.27</w:t>
      </w:r>
      <w:r w:rsidRPr="00F82788">
        <w:rPr>
          <w:rFonts w:ascii="Times New Roman" w:hAnsi="Times New Roman"/>
          <w:sz w:val="24"/>
          <w:szCs w:val="24"/>
        </w:rPr>
        <w:t xml:space="preserve">; </w:t>
      </w:r>
      <w:r w:rsidRPr="00F82788">
        <w:rPr>
          <w:rFonts w:ascii="Times New Roman" w:hAnsi="Times New Roman"/>
          <w:sz w:val="24"/>
          <w:szCs w:val="24"/>
          <w:lang w:val="es-US"/>
        </w:rPr>
        <w:t xml:space="preserve">Caso Mejía Idrovo vs. Ecuador. Sentencia, 2011, </w:t>
      </w:r>
      <w:r w:rsidRPr="00F82788">
        <w:rPr>
          <w:rFonts w:ascii="Times New Roman" w:hAnsi="Times New Roman"/>
          <w:b/>
          <w:sz w:val="24"/>
          <w:szCs w:val="24"/>
          <w:lang w:val="es-US"/>
        </w:rPr>
        <w:t>p.13</w:t>
      </w:r>
      <w:r w:rsidRPr="00F82788">
        <w:rPr>
          <w:rFonts w:ascii="Times New Roman" w:hAnsi="Times New Roman"/>
          <w:sz w:val="24"/>
          <w:szCs w:val="24"/>
          <w:lang w:val="es-US"/>
        </w:rPr>
        <w:t xml:space="preserve">; </w:t>
      </w:r>
      <w:r w:rsidRPr="00F82788">
        <w:rPr>
          <w:rFonts w:ascii="Times New Roman" w:hAnsi="Times New Roman"/>
          <w:sz w:val="24"/>
          <w:szCs w:val="24"/>
        </w:rPr>
        <w:t>Caso Pueblo Indígena Kichwa de Sarayaku vs. Ecuador. Sentencia, 2012</w:t>
      </w:r>
      <w:r w:rsidRPr="00F82788">
        <w:rPr>
          <w:rFonts w:ascii="Times New Roman" w:hAnsi="Times New Roman"/>
          <w:b/>
          <w:sz w:val="24"/>
          <w:szCs w:val="24"/>
        </w:rPr>
        <w:t>, p.11,</w:t>
      </w:r>
      <w:r w:rsidR="00FE60AD" w:rsidRPr="00F82788">
        <w:rPr>
          <w:rFonts w:ascii="Times New Roman" w:hAnsi="Times New Roman"/>
          <w:b/>
          <w:sz w:val="24"/>
          <w:szCs w:val="24"/>
        </w:rPr>
        <w:t xml:space="preserve"> </w:t>
      </w:r>
      <w:r w:rsidRPr="00F82788">
        <w:rPr>
          <w:rFonts w:ascii="Times New Roman" w:hAnsi="Times New Roman"/>
          <w:b/>
          <w:sz w:val="24"/>
          <w:szCs w:val="24"/>
        </w:rPr>
        <w:t>30,</w:t>
      </w:r>
      <w:r w:rsidR="00FE60AD" w:rsidRPr="00F82788">
        <w:rPr>
          <w:rFonts w:ascii="Times New Roman" w:hAnsi="Times New Roman"/>
          <w:b/>
          <w:sz w:val="24"/>
          <w:szCs w:val="24"/>
        </w:rPr>
        <w:t xml:space="preserve"> </w:t>
      </w:r>
      <w:r w:rsidRPr="00F82788">
        <w:rPr>
          <w:rFonts w:ascii="Times New Roman" w:hAnsi="Times New Roman"/>
          <w:b/>
          <w:sz w:val="24"/>
          <w:szCs w:val="24"/>
        </w:rPr>
        <w:t>35</w:t>
      </w:r>
      <w:r w:rsidR="00FE60AD" w:rsidRPr="00F82788">
        <w:rPr>
          <w:rFonts w:ascii="Times New Roman" w:hAnsi="Times New Roman"/>
          <w:b/>
          <w:sz w:val="24"/>
          <w:szCs w:val="24"/>
        </w:rPr>
        <w:t xml:space="preserve"> </w:t>
      </w:r>
      <w:r w:rsidRPr="00F82788">
        <w:rPr>
          <w:rFonts w:ascii="Times New Roman" w:hAnsi="Times New Roman"/>
          <w:b/>
          <w:sz w:val="24"/>
          <w:szCs w:val="24"/>
        </w:rPr>
        <w:t>,39</w:t>
      </w:r>
      <w:r w:rsidRPr="00F82788">
        <w:rPr>
          <w:rFonts w:ascii="Times New Roman" w:hAnsi="Times New Roman"/>
          <w:sz w:val="24"/>
          <w:szCs w:val="24"/>
        </w:rPr>
        <w:t xml:space="preserve">; Caso Masacres de Río Negro vs. Guatemala. Sentencia, 2012, </w:t>
      </w:r>
      <w:r w:rsidRPr="00F82788">
        <w:rPr>
          <w:rFonts w:ascii="Times New Roman" w:hAnsi="Times New Roman"/>
          <w:b/>
          <w:sz w:val="24"/>
          <w:szCs w:val="24"/>
        </w:rPr>
        <w:t>p.24</w:t>
      </w:r>
      <w:r w:rsidRPr="00F82788">
        <w:rPr>
          <w:rFonts w:ascii="Times New Roman" w:hAnsi="Times New Roman"/>
          <w:sz w:val="24"/>
          <w:szCs w:val="24"/>
        </w:rPr>
        <w:t xml:space="preserve">; Caso Luna López vs. Honduras. Sentencia, 2013, </w:t>
      </w:r>
      <w:r w:rsidRPr="00F82788">
        <w:rPr>
          <w:rFonts w:ascii="Times New Roman" w:hAnsi="Times New Roman"/>
          <w:b/>
          <w:sz w:val="24"/>
          <w:szCs w:val="24"/>
        </w:rPr>
        <w:t>p.25</w:t>
      </w:r>
      <w:r w:rsidRPr="00F82788">
        <w:rPr>
          <w:rFonts w:ascii="Times New Roman" w:hAnsi="Times New Roman"/>
          <w:sz w:val="24"/>
          <w:szCs w:val="24"/>
        </w:rPr>
        <w:t xml:space="preserve">; </w:t>
      </w:r>
      <w:r w:rsidRPr="00F82788">
        <w:rPr>
          <w:rFonts w:ascii="Times New Roman" w:hAnsi="Times New Roman"/>
          <w:sz w:val="24"/>
          <w:szCs w:val="24"/>
          <w:lang w:val="es-US"/>
        </w:rPr>
        <w:t xml:space="preserve">Caso Familia Pacheco Tineo vs. Bolivia. Sentencia, 2013, </w:t>
      </w:r>
      <w:r w:rsidRPr="00F82788">
        <w:rPr>
          <w:rFonts w:ascii="Times New Roman" w:hAnsi="Times New Roman"/>
          <w:b/>
          <w:sz w:val="24"/>
          <w:szCs w:val="24"/>
          <w:lang w:val="es-US"/>
        </w:rPr>
        <w:t>p.13</w:t>
      </w:r>
      <w:r w:rsidRPr="00F82788">
        <w:rPr>
          <w:rFonts w:ascii="Times New Roman" w:hAnsi="Times New Roman"/>
          <w:sz w:val="24"/>
          <w:szCs w:val="24"/>
          <w:lang w:val="es-US"/>
        </w:rPr>
        <w:t xml:space="preserve">; </w:t>
      </w:r>
      <w:r w:rsidRPr="00F82788">
        <w:rPr>
          <w:rFonts w:ascii="Times New Roman" w:hAnsi="Times New Roman"/>
          <w:sz w:val="24"/>
          <w:szCs w:val="24"/>
        </w:rPr>
        <w:t xml:space="preserve">Caso Veliz Franco y otros vs. Guatemala. Sentencia, 2014, </w:t>
      </w:r>
      <w:r w:rsidRPr="00F82788">
        <w:rPr>
          <w:rFonts w:ascii="Times New Roman" w:hAnsi="Times New Roman"/>
          <w:b/>
          <w:sz w:val="24"/>
          <w:szCs w:val="24"/>
        </w:rPr>
        <w:t>p.26</w:t>
      </w:r>
      <w:r w:rsidRPr="00F82788">
        <w:rPr>
          <w:rFonts w:ascii="Times New Roman" w:hAnsi="Times New Roman"/>
          <w:sz w:val="24"/>
          <w:szCs w:val="24"/>
        </w:rPr>
        <w:t xml:space="preserve">; Caso Tarazona Arrieta y Otros vs. Perú. Sentencia, 2014, </w:t>
      </w:r>
      <w:r w:rsidRPr="00F82788">
        <w:rPr>
          <w:rFonts w:ascii="Times New Roman" w:hAnsi="Times New Roman"/>
          <w:b/>
          <w:sz w:val="24"/>
          <w:szCs w:val="24"/>
        </w:rPr>
        <w:t>p.25</w:t>
      </w:r>
      <w:r w:rsidRPr="00F82788">
        <w:rPr>
          <w:rFonts w:ascii="Times New Roman" w:hAnsi="Times New Roman"/>
          <w:sz w:val="24"/>
          <w:szCs w:val="24"/>
        </w:rPr>
        <w:t xml:space="preserve">; Caso Canales Huapaya y otros vs. Perú. Sentencia, 2015, </w:t>
      </w:r>
      <w:r w:rsidR="008306DE" w:rsidRPr="00F82788">
        <w:rPr>
          <w:rFonts w:ascii="Times New Roman" w:hAnsi="Times New Roman"/>
          <w:b/>
          <w:sz w:val="24"/>
          <w:szCs w:val="24"/>
        </w:rPr>
        <w:t>p.3</w:t>
      </w:r>
      <w:r w:rsidR="00F10001" w:rsidRPr="00F82788">
        <w:rPr>
          <w:rFonts w:ascii="Times New Roman" w:hAnsi="Times New Roman"/>
          <w:b/>
          <w:sz w:val="24"/>
          <w:szCs w:val="24"/>
        </w:rPr>
        <w:t>3</w:t>
      </w:r>
      <w:r w:rsidRPr="00F82788">
        <w:rPr>
          <w:rFonts w:ascii="Times New Roman" w:hAnsi="Times New Roman"/>
          <w:sz w:val="24"/>
          <w:szCs w:val="24"/>
        </w:rPr>
        <w:t xml:space="preserve">; Caso Gonzales Lluy y otros vs. Ecuador. Sentencia, 2015, </w:t>
      </w:r>
      <w:r w:rsidRPr="00F82788">
        <w:rPr>
          <w:rFonts w:ascii="Times New Roman" w:hAnsi="Times New Roman"/>
          <w:b/>
          <w:sz w:val="24"/>
          <w:szCs w:val="24"/>
        </w:rPr>
        <w:t>p.33</w:t>
      </w:r>
      <w:r w:rsidRPr="00F82788">
        <w:rPr>
          <w:rFonts w:ascii="Times New Roman" w:hAnsi="Times New Roman"/>
          <w:sz w:val="24"/>
          <w:szCs w:val="24"/>
        </w:rPr>
        <w:t xml:space="preserve">; Caso Ruano Torres vs. El Salvador. Sentencia, 2015, </w:t>
      </w:r>
      <w:r w:rsidRPr="00F82788">
        <w:rPr>
          <w:rFonts w:ascii="Times New Roman" w:hAnsi="Times New Roman"/>
          <w:b/>
          <w:sz w:val="24"/>
          <w:szCs w:val="24"/>
        </w:rPr>
        <w:t>p.26</w:t>
      </w:r>
      <w:r w:rsidRPr="00F82788">
        <w:rPr>
          <w:rFonts w:ascii="Times New Roman" w:hAnsi="Times New Roman"/>
          <w:sz w:val="24"/>
          <w:szCs w:val="24"/>
        </w:rPr>
        <w:t xml:space="preserve">; Caso Comunidad Garífuna Triunfo de la Cruz y sus Miembros Vs. Honduras. Sentencia, 2015, </w:t>
      </w:r>
      <w:r w:rsidRPr="00F82788">
        <w:rPr>
          <w:rFonts w:ascii="Times New Roman" w:hAnsi="Times New Roman"/>
          <w:b/>
          <w:sz w:val="24"/>
          <w:szCs w:val="24"/>
        </w:rPr>
        <w:t>p.</w:t>
      </w:r>
      <w:r w:rsidR="000F250D" w:rsidRPr="00F82788">
        <w:rPr>
          <w:rFonts w:ascii="Times New Roman" w:hAnsi="Times New Roman"/>
          <w:b/>
          <w:sz w:val="24"/>
          <w:szCs w:val="24"/>
        </w:rPr>
        <w:t xml:space="preserve">28, </w:t>
      </w:r>
      <w:r w:rsidRPr="00F82788">
        <w:rPr>
          <w:rFonts w:ascii="Times New Roman" w:hAnsi="Times New Roman"/>
          <w:b/>
          <w:sz w:val="24"/>
          <w:szCs w:val="24"/>
        </w:rPr>
        <w:t>29,</w:t>
      </w:r>
      <w:r w:rsidR="00FE60AD" w:rsidRPr="00F82788">
        <w:rPr>
          <w:rFonts w:ascii="Times New Roman" w:hAnsi="Times New Roman"/>
          <w:b/>
          <w:sz w:val="24"/>
          <w:szCs w:val="24"/>
        </w:rPr>
        <w:t xml:space="preserve"> </w:t>
      </w:r>
      <w:r w:rsidRPr="00F82788">
        <w:rPr>
          <w:rFonts w:ascii="Times New Roman" w:hAnsi="Times New Roman"/>
          <w:b/>
          <w:sz w:val="24"/>
          <w:szCs w:val="24"/>
        </w:rPr>
        <w:t>30</w:t>
      </w:r>
      <w:r w:rsidRPr="00F82788">
        <w:rPr>
          <w:rFonts w:ascii="Times New Roman" w:hAnsi="Times New Roman"/>
          <w:sz w:val="24"/>
          <w:szCs w:val="24"/>
        </w:rPr>
        <w:t xml:space="preserve">; Caso Velásquez Paiz y otros vs. Guatemala. Sentencia, 2015, </w:t>
      </w:r>
      <w:r w:rsidRPr="00F82788">
        <w:rPr>
          <w:rFonts w:ascii="Times New Roman" w:hAnsi="Times New Roman"/>
          <w:b/>
          <w:sz w:val="24"/>
          <w:szCs w:val="24"/>
        </w:rPr>
        <w:t>p.22</w:t>
      </w:r>
      <w:r w:rsidRPr="00F82788">
        <w:rPr>
          <w:rFonts w:ascii="Times New Roman" w:hAnsi="Times New Roman"/>
          <w:sz w:val="24"/>
          <w:szCs w:val="24"/>
        </w:rPr>
        <w:t>.</w:t>
      </w:r>
      <w:bookmarkEnd w:id="12"/>
      <w:bookmarkEnd w:id="13"/>
      <w:bookmarkEnd w:id="14"/>
      <w:bookmarkEnd w:id="15"/>
      <w:bookmarkEnd w:id="16"/>
      <w:bookmarkEnd w:id="17"/>
    </w:p>
    <w:p w:rsidR="00D27E44" w:rsidRPr="0054131B" w:rsidRDefault="00D27E44" w:rsidP="003B1275">
      <w:pPr>
        <w:pStyle w:val="Heading3"/>
        <w:spacing w:before="0" w:line="480" w:lineRule="auto"/>
        <w:rPr>
          <w:b w:val="0"/>
          <w:szCs w:val="24"/>
        </w:rPr>
      </w:pPr>
      <w:bookmarkStart w:id="18" w:name="_Toc446715017"/>
      <w:bookmarkStart w:id="19" w:name="_Toc446715460"/>
      <w:bookmarkStart w:id="20" w:name="_Toc446716083"/>
      <w:bookmarkStart w:id="21" w:name="_Toc446716814"/>
      <w:bookmarkStart w:id="22" w:name="_Toc446717025"/>
      <w:bookmarkStart w:id="23" w:name="_Toc446776768"/>
      <w:r w:rsidRPr="0054131B">
        <w:rPr>
          <w:bCs w:val="0"/>
          <w:iCs w:val="0"/>
          <w:szCs w:val="24"/>
        </w:rPr>
        <w:t>B.2 Opiniones Consultivas emitidas por la Corte IDH</w:t>
      </w:r>
      <w:r w:rsidRPr="0054131B">
        <w:rPr>
          <w:b w:val="0"/>
          <w:bCs w:val="0"/>
          <w:iCs w:val="0"/>
          <w:szCs w:val="24"/>
        </w:rPr>
        <w:t xml:space="preserve">: </w:t>
      </w:r>
      <w:r w:rsidRPr="0054131B">
        <w:rPr>
          <w:b w:val="0"/>
          <w:szCs w:val="24"/>
        </w:rPr>
        <w:t xml:space="preserve">La Expresión "Leyes" en el Artículo 30 de la CADH. Opinión Consultiva OC-6/86, 1986, </w:t>
      </w:r>
      <w:r w:rsidRPr="0054131B">
        <w:rPr>
          <w:szCs w:val="24"/>
        </w:rPr>
        <w:t>p.31</w:t>
      </w:r>
      <w:r w:rsidRPr="0054131B">
        <w:rPr>
          <w:b w:val="0"/>
          <w:szCs w:val="24"/>
        </w:rPr>
        <w:t xml:space="preserve">; </w:t>
      </w:r>
      <w:r w:rsidRPr="0054131B">
        <w:rPr>
          <w:b w:val="0"/>
          <w:szCs w:val="24"/>
          <w:lang w:val="es-US"/>
        </w:rPr>
        <w:t xml:space="preserve">Garantías Judiciales en Estados de Emergencia (arts. 27.2, 25 y 8 CADH). Opinión Consultiva OC-9/87, </w:t>
      </w:r>
      <w:r w:rsidRPr="0054131B">
        <w:rPr>
          <w:szCs w:val="24"/>
          <w:lang w:val="es-US"/>
        </w:rPr>
        <w:t>p.</w:t>
      </w:r>
      <w:r w:rsidRPr="0054131B">
        <w:rPr>
          <w:szCs w:val="24"/>
        </w:rPr>
        <w:t>27</w:t>
      </w:r>
      <w:r w:rsidRPr="0054131B">
        <w:rPr>
          <w:b w:val="0"/>
          <w:szCs w:val="24"/>
        </w:rPr>
        <w:t xml:space="preserve">; Condición Jurídica y Derechos de los Migrantes Indocumentados. Opinión Consultiva OC-18/03, 2003, </w:t>
      </w:r>
      <w:r w:rsidRPr="0054131B">
        <w:rPr>
          <w:szCs w:val="24"/>
        </w:rPr>
        <w:t>p.15</w:t>
      </w:r>
      <w:r w:rsidRPr="0054131B">
        <w:rPr>
          <w:b w:val="0"/>
          <w:szCs w:val="24"/>
        </w:rPr>
        <w:t>.</w:t>
      </w:r>
      <w:bookmarkEnd w:id="18"/>
      <w:bookmarkEnd w:id="19"/>
      <w:bookmarkEnd w:id="20"/>
      <w:bookmarkEnd w:id="21"/>
      <w:bookmarkEnd w:id="22"/>
      <w:bookmarkEnd w:id="23"/>
    </w:p>
    <w:p w:rsidR="00D27E44" w:rsidRPr="0054131B" w:rsidRDefault="00D27E44" w:rsidP="003B1275">
      <w:pPr>
        <w:spacing w:after="0" w:line="480" w:lineRule="auto"/>
        <w:jc w:val="both"/>
        <w:rPr>
          <w:rFonts w:ascii="Times New Roman" w:hAnsi="Times New Roman"/>
          <w:b/>
          <w:sz w:val="24"/>
          <w:szCs w:val="24"/>
        </w:rPr>
      </w:pPr>
      <w:r w:rsidRPr="0054131B">
        <w:rPr>
          <w:rFonts w:ascii="Times New Roman" w:hAnsi="Times New Roman"/>
          <w:b/>
          <w:sz w:val="24"/>
          <w:szCs w:val="24"/>
        </w:rPr>
        <w:t xml:space="preserve">B.3 Supervisiones de Cumplimiento de Sentencia de la Corte IDH: </w:t>
      </w:r>
      <w:r w:rsidRPr="0054131B">
        <w:rPr>
          <w:rFonts w:ascii="Times New Roman" w:hAnsi="Times New Roman"/>
          <w:sz w:val="24"/>
          <w:szCs w:val="24"/>
        </w:rPr>
        <w:t xml:space="preserve">Caso Acevedo Buendía y otros vs. Perú. Supervisión de Cumplimiento de Sentencia, 2015, </w:t>
      </w:r>
      <w:r w:rsidRPr="0054131B">
        <w:rPr>
          <w:rFonts w:ascii="Times New Roman" w:hAnsi="Times New Roman"/>
          <w:b/>
          <w:sz w:val="24"/>
          <w:szCs w:val="24"/>
        </w:rPr>
        <w:t>p.31</w:t>
      </w:r>
      <w:r w:rsidRPr="0054131B">
        <w:rPr>
          <w:rFonts w:ascii="Times New Roman" w:hAnsi="Times New Roman"/>
          <w:sz w:val="24"/>
          <w:szCs w:val="24"/>
        </w:rPr>
        <w:t xml:space="preserve">; Caso de la “Masacre de Mapiripán” vs. Colombia. Supervisión de Cumplimiento de Sentencia, 2012, </w:t>
      </w:r>
      <w:r w:rsidRPr="0054131B">
        <w:rPr>
          <w:rFonts w:ascii="Times New Roman" w:hAnsi="Times New Roman"/>
          <w:b/>
          <w:sz w:val="24"/>
          <w:szCs w:val="24"/>
        </w:rPr>
        <w:t>p31.</w:t>
      </w:r>
    </w:p>
    <w:p w:rsidR="00D27E44" w:rsidRPr="0054131B" w:rsidRDefault="00D27E44" w:rsidP="003B1275">
      <w:pPr>
        <w:widowControl w:val="0"/>
        <w:spacing w:after="0" w:line="480" w:lineRule="auto"/>
        <w:jc w:val="both"/>
        <w:rPr>
          <w:rFonts w:ascii="Times New Roman" w:hAnsi="Times New Roman"/>
          <w:b/>
          <w:sz w:val="24"/>
          <w:szCs w:val="24"/>
        </w:rPr>
      </w:pPr>
      <w:r w:rsidRPr="0054131B">
        <w:rPr>
          <w:rFonts w:ascii="Times New Roman" w:hAnsi="Times New Roman"/>
          <w:b/>
          <w:sz w:val="24"/>
          <w:szCs w:val="24"/>
        </w:rPr>
        <w:t xml:space="preserve">B.4 Votos de Magistrados de la Corte IDH: </w:t>
      </w:r>
      <w:r w:rsidRPr="0054131B">
        <w:rPr>
          <w:rFonts w:ascii="Times New Roman" w:hAnsi="Times New Roman"/>
          <w:sz w:val="24"/>
          <w:szCs w:val="24"/>
        </w:rPr>
        <w:t xml:space="preserve">Voto concurrente razonado del juez Sergio García Ramírez en el caso "Cinco Pensionistas" vs. Perú. Fondo. Sentencia, 2003, </w:t>
      </w:r>
      <w:r w:rsidRPr="0054131B">
        <w:rPr>
          <w:rFonts w:ascii="Times New Roman" w:hAnsi="Times New Roman"/>
          <w:b/>
          <w:sz w:val="24"/>
          <w:szCs w:val="24"/>
        </w:rPr>
        <w:t>p.34</w:t>
      </w:r>
      <w:r w:rsidRPr="0054131B">
        <w:rPr>
          <w:rFonts w:ascii="Times New Roman" w:hAnsi="Times New Roman"/>
          <w:sz w:val="24"/>
          <w:szCs w:val="24"/>
        </w:rPr>
        <w:t>; Voto disidente conjunto de los jueces Antonio Cançado</w:t>
      </w:r>
      <w:r w:rsidR="005F47F8">
        <w:rPr>
          <w:rFonts w:ascii="Times New Roman" w:hAnsi="Times New Roman"/>
          <w:sz w:val="24"/>
          <w:szCs w:val="24"/>
        </w:rPr>
        <w:t xml:space="preserve"> </w:t>
      </w:r>
      <w:r w:rsidRPr="0054131B">
        <w:rPr>
          <w:rFonts w:ascii="Times New Roman" w:hAnsi="Times New Roman"/>
          <w:sz w:val="24"/>
          <w:szCs w:val="24"/>
        </w:rPr>
        <w:t xml:space="preserve">Trindade y Manuel Ventura Robles en el caso Comunidad Indígena Yakye Axa vs. Paraguay. Sentencia, 2005, </w:t>
      </w:r>
      <w:r w:rsidRPr="0054131B">
        <w:rPr>
          <w:rFonts w:ascii="Times New Roman" w:hAnsi="Times New Roman"/>
          <w:b/>
          <w:sz w:val="24"/>
          <w:szCs w:val="24"/>
        </w:rPr>
        <w:t>p.36</w:t>
      </w:r>
      <w:r w:rsidRPr="0054131B">
        <w:rPr>
          <w:rFonts w:ascii="Times New Roman" w:hAnsi="Times New Roman"/>
          <w:sz w:val="24"/>
          <w:szCs w:val="24"/>
        </w:rPr>
        <w:t>; Voto conjunto concurrente de los jueces Roberto F. Caldas y Eduardo Ferrer Mac-Gregor</w:t>
      </w:r>
      <w:r w:rsidR="00FE60AD" w:rsidRPr="0054131B">
        <w:rPr>
          <w:rFonts w:ascii="Times New Roman" w:hAnsi="Times New Roman"/>
          <w:sz w:val="24"/>
          <w:szCs w:val="24"/>
        </w:rPr>
        <w:t xml:space="preserve"> </w:t>
      </w:r>
      <w:r w:rsidRPr="0054131B">
        <w:rPr>
          <w:rFonts w:ascii="Times New Roman" w:hAnsi="Times New Roman"/>
          <w:sz w:val="24"/>
          <w:szCs w:val="24"/>
        </w:rPr>
        <w:t xml:space="preserve">Poisot en el caso Canales Huapaya y otros vs. Perú. Sentencia, 2015, </w:t>
      </w:r>
      <w:r w:rsidRPr="0054131B">
        <w:rPr>
          <w:rFonts w:ascii="Times New Roman" w:hAnsi="Times New Roman"/>
          <w:b/>
          <w:sz w:val="24"/>
          <w:szCs w:val="24"/>
        </w:rPr>
        <w:t>p.31,</w:t>
      </w:r>
      <w:r w:rsidR="00FE60AD" w:rsidRPr="0054131B">
        <w:rPr>
          <w:rFonts w:ascii="Times New Roman" w:hAnsi="Times New Roman"/>
          <w:b/>
          <w:sz w:val="24"/>
          <w:szCs w:val="24"/>
        </w:rPr>
        <w:t xml:space="preserve"> </w:t>
      </w:r>
      <w:r w:rsidRPr="0054131B">
        <w:rPr>
          <w:rFonts w:ascii="Times New Roman" w:hAnsi="Times New Roman"/>
          <w:b/>
          <w:sz w:val="24"/>
          <w:szCs w:val="24"/>
        </w:rPr>
        <w:t>32,</w:t>
      </w:r>
      <w:r w:rsidR="00FE60AD" w:rsidRPr="0054131B">
        <w:rPr>
          <w:rFonts w:ascii="Times New Roman" w:hAnsi="Times New Roman"/>
          <w:b/>
          <w:sz w:val="24"/>
          <w:szCs w:val="24"/>
        </w:rPr>
        <w:t xml:space="preserve"> </w:t>
      </w:r>
      <w:r w:rsidRPr="0054131B">
        <w:rPr>
          <w:rFonts w:ascii="Times New Roman" w:hAnsi="Times New Roman"/>
          <w:b/>
          <w:sz w:val="24"/>
          <w:szCs w:val="24"/>
        </w:rPr>
        <w:t>34</w:t>
      </w:r>
      <w:r w:rsidRPr="0054131B">
        <w:rPr>
          <w:rFonts w:ascii="Times New Roman" w:hAnsi="Times New Roman"/>
          <w:sz w:val="24"/>
          <w:szCs w:val="24"/>
        </w:rPr>
        <w:t xml:space="preserve">; Voto concurrente del juez Humberto </w:t>
      </w:r>
      <w:r w:rsidRPr="0054131B">
        <w:rPr>
          <w:rFonts w:ascii="Times New Roman" w:hAnsi="Times New Roman"/>
          <w:sz w:val="24"/>
          <w:szCs w:val="24"/>
        </w:rPr>
        <w:lastRenderedPageBreak/>
        <w:t>Sierra Porto en el caso Gonzales Lluy y otros vs. Ecuador. Sentencia, 2015</w:t>
      </w:r>
      <w:bookmarkStart w:id="24" w:name="_Toc397630940"/>
      <w:r w:rsidRPr="0054131B">
        <w:rPr>
          <w:rFonts w:ascii="Times New Roman" w:hAnsi="Times New Roman"/>
          <w:b/>
          <w:sz w:val="24"/>
          <w:szCs w:val="24"/>
        </w:rPr>
        <w:t>, p.32</w:t>
      </w:r>
      <w:r w:rsidRPr="0054131B">
        <w:rPr>
          <w:rFonts w:ascii="Times New Roman" w:hAnsi="Times New Roman"/>
          <w:sz w:val="24"/>
          <w:szCs w:val="24"/>
        </w:rPr>
        <w:t>.</w:t>
      </w:r>
    </w:p>
    <w:p w:rsidR="00D27E44" w:rsidRPr="0054131B" w:rsidRDefault="00D27E44" w:rsidP="003B1275">
      <w:pPr>
        <w:pStyle w:val="FootnoteText"/>
        <w:widowControl w:val="0"/>
        <w:spacing w:line="480" w:lineRule="auto"/>
        <w:jc w:val="both"/>
        <w:rPr>
          <w:rFonts w:ascii="Times New Roman" w:hAnsi="Times New Roman" w:cs="Times New Roman"/>
          <w:b/>
          <w:sz w:val="24"/>
          <w:szCs w:val="24"/>
        </w:rPr>
      </w:pPr>
      <w:r w:rsidRPr="0054131B">
        <w:rPr>
          <w:rFonts w:ascii="Times New Roman" w:hAnsi="Times New Roman" w:cs="Times New Roman"/>
          <w:b/>
          <w:sz w:val="24"/>
          <w:szCs w:val="24"/>
        </w:rPr>
        <w:t>B.5 Casos contenciosos de la C</w:t>
      </w:r>
      <w:bookmarkEnd w:id="24"/>
      <w:r w:rsidRPr="0054131B">
        <w:rPr>
          <w:rFonts w:ascii="Times New Roman" w:hAnsi="Times New Roman" w:cs="Times New Roman"/>
          <w:b/>
          <w:sz w:val="24"/>
          <w:szCs w:val="24"/>
        </w:rPr>
        <w:t xml:space="preserve">IDH: </w:t>
      </w:r>
      <w:r w:rsidRPr="0054131B">
        <w:rPr>
          <w:rFonts w:ascii="Times New Roman" w:hAnsi="Times New Roman" w:cs="Times New Roman"/>
          <w:sz w:val="24"/>
          <w:szCs w:val="24"/>
        </w:rPr>
        <w:t>Caso Víctor Saldaño vs. Argentina. Informe 38/99</w:t>
      </w:r>
      <w:r w:rsidRPr="0054131B">
        <w:rPr>
          <w:rFonts w:ascii="Times New Roman" w:hAnsi="Times New Roman" w:cs="Times New Roman"/>
          <w:sz w:val="24"/>
          <w:szCs w:val="24"/>
          <w:lang w:val="es-US"/>
        </w:rPr>
        <w:t xml:space="preserve">, </w:t>
      </w:r>
      <w:r w:rsidRPr="0054131B">
        <w:rPr>
          <w:rFonts w:ascii="Times New Roman" w:hAnsi="Times New Roman" w:cs="Times New Roman"/>
          <w:sz w:val="24"/>
          <w:szCs w:val="24"/>
        </w:rPr>
        <w:t xml:space="preserve">1999, </w:t>
      </w:r>
      <w:r w:rsidRPr="0054131B">
        <w:rPr>
          <w:rFonts w:ascii="Times New Roman" w:hAnsi="Times New Roman" w:cs="Times New Roman"/>
          <w:b/>
          <w:sz w:val="24"/>
          <w:szCs w:val="24"/>
        </w:rPr>
        <w:t>p.</w:t>
      </w:r>
      <w:r w:rsidRPr="0054131B">
        <w:rPr>
          <w:rFonts w:ascii="Times New Roman" w:hAnsi="Times New Roman" w:cs="Times New Roman"/>
          <w:b/>
          <w:sz w:val="24"/>
          <w:szCs w:val="24"/>
          <w:lang w:val="es-ES"/>
        </w:rPr>
        <w:t>13</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lang w:val="es-US"/>
        </w:rPr>
        <w:t xml:space="preserve">Caso Coard y otros vs. </w:t>
      </w:r>
      <w:r w:rsidR="001B4A15" w:rsidRPr="0054131B">
        <w:rPr>
          <w:rFonts w:ascii="Times New Roman" w:hAnsi="Times New Roman" w:cs="Times New Roman"/>
          <w:sz w:val="24"/>
          <w:szCs w:val="24"/>
          <w:lang w:val="es-US"/>
        </w:rPr>
        <w:t>EE.UU.</w:t>
      </w:r>
      <w:r w:rsidRPr="0054131B">
        <w:rPr>
          <w:rFonts w:ascii="Times New Roman" w:hAnsi="Times New Roman" w:cs="Times New Roman"/>
          <w:sz w:val="24"/>
          <w:szCs w:val="24"/>
          <w:lang w:val="es-US"/>
        </w:rPr>
        <w:t xml:space="preserve"> Informe 109/99, 1999, </w:t>
      </w:r>
      <w:r w:rsidRPr="0054131B">
        <w:rPr>
          <w:rFonts w:ascii="Times New Roman" w:hAnsi="Times New Roman" w:cs="Times New Roman"/>
          <w:b/>
          <w:sz w:val="24"/>
          <w:szCs w:val="24"/>
          <w:lang w:val="es-US"/>
        </w:rPr>
        <w:t>p.</w:t>
      </w:r>
      <w:r w:rsidR="006B0AC2" w:rsidRPr="0054131B">
        <w:rPr>
          <w:rFonts w:ascii="Times New Roman" w:hAnsi="Times New Roman" w:cs="Times New Roman"/>
          <w:b/>
          <w:sz w:val="24"/>
          <w:szCs w:val="24"/>
          <w:lang w:val="es-ES"/>
        </w:rPr>
        <w:t>12</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lang w:val="es-US"/>
        </w:rPr>
        <w:t xml:space="preserve">Caso Armando Alejandre Jr. y otros vs. Cuba. Informe 86/99, 1999, </w:t>
      </w:r>
      <w:r w:rsidRPr="0054131B">
        <w:rPr>
          <w:rFonts w:ascii="Times New Roman" w:hAnsi="Times New Roman" w:cs="Times New Roman"/>
          <w:b/>
          <w:sz w:val="24"/>
          <w:szCs w:val="24"/>
          <w:lang w:val="es-US"/>
        </w:rPr>
        <w:t>p.</w:t>
      </w:r>
      <w:r w:rsidR="006B0AC2" w:rsidRPr="0054131B">
        <w:rPr>
          <w:rFonts w:ascii="Times New Roman" w:hAnsi="Times New Roman" w:cs="Times New Roman"/>
          <w:b/>
          <w:sz w:val="24"/>
          <w:szCs w:val="24"/>
          <w:lang w:val="es-ES"/>
        </w:rPr>
        <w:t>12</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rPr>
        <w:t xml:space="preserve">Caso Corumbiara vs. Brasil. Informe 32/04, 2004, </w:t>
      </w:r>
      <w:r w:rsidRPr="0054131B">
        <w:rPr>
          <w:rFonts w:ascii="Times New Roman" w:hAnsi="Times New Roman" w:cs="Times New Roman"/>
          <w:b/>
          <w:sz w:val="24"/>
          <w:szCs w:val="24"/>
        </w:rPr>
        <w:t>p.</w:t>
      </w:r>
      <w:r w:rsidRPr="0054131B">
        <w:rPr>
          <w:rFonts w:ascii="Times New Roman" w:hAnsi="Times New Roman" w:cs="Times New Roman"/>
          <w:b/>
          <w:sz w:val="24"/>
          <w:szCs w:val="24"/>
          <w:lang w:val="es-ES"/>
        </w:rPr>
        <w:t>16</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rPr>
        <w:t xml:space="preserve">Caso Asociación Nacional de Ex Servidores del Instituto Peruano de Seguridad Social y otras vs. Perú, Informe Nº38/09, Admisibilidad y Fondo, 2009, </w:t>
      </w:r>
      <w:r w:rsidRPr="0054131B">
        <w:rPr>
          <w:rFonts w:ascii="Times New Roman" w:hAnsi="Times New Roman" w:cs="Times New Roman"/>
          <w:b/>
          <w:sz w:val="24"/>
          <w:szCs w:val="24"/>
        </w:rPr>
        <w:t>p.</w:t>
      </w:r>
      <w:r w:rsidRPr="0054131B">
        <w:rPr>
          <w:rFonts w:ascii="Times New Roman" w:hAnsi="Times New Roman" w:cs="Times New Roman"/>
          <w:b/>
          <w:sz w:val="24"/>
          <w:szCs w:val="24"/>
          <w:lang w:val="es-ES"/>
        </w:rPr>
        <w:t>33,</w:t>
      </w:r>
      <w:r w:rsidR="00FE60AD" w:rsidRPr="0054131B">
        <w:rPr>
          <w:rFonts w:ascii="Times New Roman" w:hAnsi="Times New Roman" w:cs="Times New Roman"/>
          <w:b/>
          <w:sz w:val="24"/>
          <w:szCs w:val="24"/>
          <w:lang w:val="es-ES"/>
        </w:rPr>
        <w:t xml:space="preserve"> </w:t>
      </w:r>
      <w:r w:rsidRPr="0054131B">
        <w:rPr>
          <w:rFonts w:ascii="Times New Roman" w:hAnsi="Times New Roman" w:cs="Times New Roman"/>
          <w:b/>
          <w:sz w:val="24"/>
          <w:szCs w:val="24"/>
          <w:lang w:val="es-ES"/>
        </w:rPr>
        <w:t>34</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rPr>
        <w:t xml:space="preserve">Caso Masacre de Santa Domingo. Informe 31/11, 2011, </w:t>
      </w:r>
      <w:r w:rsidRPr="0054131B">
        <w:rPr>
          <w:rFonts w:ascii="Times New Roman" w:hAnsi="Times New Roman" w:cs="Times New Roman"/>
          <w:b/>
          <w:sz w:val="24"/>
          <w:szCs w:val="24"/>
        </w:rPr>
        <w:t>p.</w:t>
      </w:r>
      <w:r w:rsidR="003C5FF2" w:rsidRPr="0054131B">
        <w:rPr>
          <w:rFonts w:ascii="Times New Roman" w:hAnsi="Times New Roman" w:cs="Times New Roman"/>
          <w:b/>
          <w:sz w:val="24"/>
          <w:szCs w:val="24"/>
          <w:lang w:val="es-ES"/>
        </w:rPr>
        <w:t>21</w:t>
      </w:r>
      <w:r w:rsidRPr="0054131B">
        <w:rPr>
          <w:rFonts w:ascii="Times New Roman" w:hAnsi="Times New Roman" w:cs="Times New Roman"/>
          <w:sz w:val="24"/>
          <w:szCs w:val="24"/>
          <w:lang w:val="es-ES"/>
        </w:rPr>
        <w:t xml:space="preserve">; </w:t>
      </w:r>
      <w:r w:rsidRPr="0054131B">
        <w:rPr>
          <w:rFonts w:ascii="Times New Roman" w:hAnsi="Times New Roman" w:cs="Times New Roman"/>
          <w:sz w:val="24"/>
          <w:szCs w:val="24"/>
        </w:rPr>
        <w:t xml:space="preserve">Caso James Zapata Valencia y otro vs. Colombia. Informe 79/11, 2011, </w:t>
      </w:r>
      <w:r w:rsidRPr="0054131B">
        <w:rPr>
          <w:rFonts w:ascii="Times New Roman" w:hAnsi="Times New Roman" w:cs="Times New Roman"/>
          <w:b/>
          <w:sz w:val="24"/>
          <w:szCs w:val="24"/>
        </w:rPr>
        <w:t>p.17</w:t>
      </w:r>
      <w:r w:rsidRPr="0054131B">
        <w:rPr>
          <w:rFonts w:ascii="Times New Roman" w:hAnsi="Times New Roman" w:cs="Times New Roman"/>
          <w:sz w:val="24"/>
          <w:szCs w:val="24"/>
        </w:rPr>
        <w:t>.</w:t>
      </w:r>
    </w:p>
    <w:p w:rsidR="00D27E44" w:rsidRPr="0054131B" w:rsidRDefault="00D27E44" w:rsidP="003B1275">
      <w:pPr>
        <w:spacing w:after="0" w:line="480" w:lineRule="auto"/>
        <w:jc w:val="both"/>
        <w:rPr>
          <w:rFonts w:ascii="Times New Roman" w:hAnsi="Times New Roman"/>
          <w:b/>
          <w:sz w:val="24"/>
          <w:szCs w:val="24"/>
        </w:rPr>
      </w:pPr>
      <w:r w:rsidRPr="0054131B">
        <w:rPr>
          <w:rFonts w:ascii="Times New Roman" w:hAnsi="Times New Roman"/>
          <w:b/>
          <w:sz w:val="24"/>
          <w:szCs w:val="24"/>
        </w:rPr>
        <w:t xml:space="preserve">B.6 Casos contenciosos de la TEDH: </w:t>
      </w:r>
      <w:r w:rsidRPr="0054131B">
        <w:rPr>
          <w:rFonts w:ascii="Times New Roman" w:hAnsi="Times New Roman"/>
          <w:sz w:val="24"/>
          <w:szCs w:val="24"/>
        </w:rPr>
        <w:t xml:space="preserve">Caso </w:t>
      </w:r>
      <w:r w:rsidRPr="0054131B">
        <w:rPr>
          <w:rFonts w:ascii="Times New Roman" w:hAnsi="Times New Roman"/>
          <w:iCs/>
          <w:sz w:val="24"/>
          <w:szCs w:val="24"/>
        </w:rPr>
        <w:t>X y</w:t>
      </w:r>
      <w:r w:rsidR="00FE60AD" w:rsidRPr="0054131B">
        <w:rPr>
          <w:rFonts w:ascii="Times New Roman" w:hAnsi="Times New Roman"/>
          <w:iCs/>
          <w:sz w:val="24"/>
          <w:szCs w:val="24"/>
        </w:rPr>
        <w:t xml:space="preserve"> </w:t>
      </w:r>
      <w:r w:rsidRPr="0054131B">
        <w:rPr>
          <w:rFonts w:ascii="Times New Roman" w:hAnsi="Times New Roman"/>
          <w:iCs/>
          <w:sz w:val="24"/>
          <w:szCs w:val="24"/>
        </w:rPr>
        <w:t>Y vs. Países Bajos. Solicitud</w:t>
      </w:r>
      <w:r w:rsidRPr="0054131B">
        <w:rPr>
          <w:rFonts w:ascii="Times New Roman" w:hAnsi="Times New Roman"/>
          <w:sz w:val="24"/>
          <w:szCs w:val="24"/>
        </w:rPr>
        <w:t xml:space="preserve"> 897/80. Sentencia, 1985, </w:t>
      </w:r>
      <w:r w:rsidRPr="0054131B">
        <w:rPr>
          <w:rFonts w:ascii="Times New Roman" w:hAnsi="Times New Roman"/>
          <w:b/>
          <w:sz w:val="24"/>
          <w:szCs w:val="24"/>
        </w:rPr>
        <w:t>p.15</w:t>
      </w:r>
      <w:r w:rsidRPr="0054131B">
        <w:rPr>
          <w:rFonts w:ascii="Times New Roman" w:hAnsi="Times New Roman"/>
          <w:sz w:val="24"/>
          <w:szCs w:val="24"/>
        </w:rPr>
        <w:t>; Caso Soering</w:t>
      </w:r>
      <w:r w:rsidR="00AA5EC8" w:rsidRPr="0054131B">
        <w:rPr>
          <w:rFonts w:ascii="Times New Roman" w:hAnsi="Times New Roman"/>
          <w:sz w:val="24"/>
          <w:szCs w:val="24"/>
        </w:rPr>
        <w:t xml:space="preserve"> </w:t>
      </w:r>
      <w:r w:rsidRPr="0054131B">
        <w:rPr>
          <w:rFonts w:ascii="Times New Roman" w:hAnsi="Times New Roman"/>
          <w:sz w:val="24"/>
          <w:szCs w:val="24"/>
        </w:rPr>
        <w:t>vs</w:t>
      </w:r>
      <w:r w:rsidR="00AA5EC8" w:rsidRPr="0054131B">
        <w:rPr>
          <w:rFonts w:ascii="Times New Roman" w:hAnsi="Times New Roman"/>
          <w:sz w:val="24"/>
          <w:szCs w:val="24"/>
        </w:rPr>
        <w:t>.</w:t>
      </w:r>
      <w:r w:rsidRPr="0054131B">
        <w:rPr>
          <w:rFonts w:ascii="Times New Roman" w:hAnsi="Times New Roman"/>
          <w:sz w:val="24"/>
          <w:szCs w:val="24"/>
        </w:rPr>
        <w:t xml:space="preserve"> Reino Unido. </w:t>
      </w:r>
      <w:r w:rsidRPr="0054131B">
        <w:rPr>
          <w:rFonts w:ascii="Times New Roman" w:hAnsi="Times New Roman"/>
          <w:iCs/>
          <w:sz w:val="24"/>
          <w:szCs w:val="24"/>
        </w:rPr>
        <w:t>Solicitud</w:t>
      </w:r>
      <w:r w:rsidRPr="0054131B">
        <w:rPr>
          <w:rFonts w:ascii="Times New Roman" w:hAnsi="Times New Roman"/>
          <w:sz w:val="24"/>
          <w:szCs w:val="24"/>
        </w:rPr>
        <w:t xml:space="preserve"> 88/90. </w:t>
      </w:r>
      <w:r w:rsidRPr="0054131B">
        <w:rPr>
          <w:rFonts w:ascii="Times New Roman" w:hAnsi="Times New Roman"/>
          <w:sz w:val="24"/>
          <w:szCs w:val="24"/>
          <w:lang w:val="es-ES"/>
        </w:rPr>
        <w:t xml:space="preserve">Sentencia, 1989, </w:t>
      </w:r>
      <w:r w:rsidRPr="0054131B">
        <w:rPr>
          <w:rFonts w:ascii="Times New Roman" w:hAnsi="Times New Roman"/>
          <w:b/>
          <w:sz w:val="24"/>
          <w:szCs w:val="24"/>
          <w:lang w:val="es-ES"/>
        </w:rPr>
        <w:t>p.</w:t>
      </w:r>
      <w:r w:rsidRPr="0054131B">
        <w:rPr>
          <w:rFonts w:ascii="Times New Roman" w:hAnsi="Times New Roman"/>
          <w:b/>
          <w:sz w:val="24"/>
          <w:szCs w:val="24"/>
        </w:rPr>
        <w:t>37</w:t>
      </w:r>
      <w:r w:rsidRPr="0054131B">
        <w:rPr>
          <w:rFonts w:ascii="Times New Roman" w:hAnsi="Times New Roman"/>
          <w:sz w:val="24"/>
          <w:szCs w:val="24"/>
        </w:rPr>
        <w:t xml:space="preserve">; Caso Drozd y otro vs. Francia y España. Solicitud 5467/91. Sentencia, 1992, </w:t>
      </w:r>
      <w:r w:rsidR="00AA5EC8" w:rsidRPr="0054131B">
        <w:rPr>
          <w:rFonts w:ascii="Times New Roman" w:hAnsi="Times New Roman"/>
          <w:b/>
          <w:sz w:val="24"/>
          <w:szCs w:val="24"/>
        </w:rPr>
        <w:t>p.12</w:t>
      </w:r>
      <w:r w:rsidRPr="0054131B">
        <w:rPr>
          <w:rFonts w:ascii="Times New Roman" w:hAnsi="Times New Roman"/>
          <w:b/>
          <w:sz w:val="24"/>
          <w:szCs w:val="24"/>
        </w:rPr>
        <w:t>,</w:t>
      </w:r>
      <w:r w:rsidR="00FE60AD" w:rsidRPr="0054131B">
        <w:rPr>
          <w:rFonts w:ascii="Times New Roman" w:hAnsi="Times New Roman"/>
          <w:b/>
          <w:sz w:val="24"/>
          <w:szCs w:val="24"/>
        </w:rPr>
        <w:t xml:space="preserve"> </w:t>
      </w:r>
      <w:r w:rsidRPr="0054131B">
        <w:rPr>
          <w:rFonts w:ascii="Times New Roman" w:hAnsi="Times New Roman"/>
          <w:b/>
          <w:sz w:val="24"/>
          <w:szCs w:val="24"/>
        </w:rPr>
        <w:t>37</w:t>
      </w:r>
      <w:r w:rsidRPr="0054131B">
        <w:rPr>
          <w:rFonts w:ascii="Times New Roman" w:hAnsi="Times New Roman"/>
          <w:sz w:val="24"/>
          <w:szCs w:val="24"/>
        </w:rPr>
        <w:t xml:space="preserve">; </w:t>
      </w:r>
      <w:r w:rsidRPr="0054131B">
        <w:rPr>
          <w:rFonts w:ascii="Times New Roman" w:hAnsi="Times New Roman"/>
          <w:sz w:val="24"/>
          <w:szCs w:val="24"/>
          <w:lang w:val="es-US"/>
        </w:rPr>
        <w:t xml:space="preserve">Caso Rantsev vs. Chipre y Rusia. Solicitud 25965/05. Sentencia, 2010, </w:t>
      </w:r>
      <w:r w:rsidRPr="0054131B">
        <w:rPr>
          <w:rFonts w:ascii="Times New Roman" w:hAnsi="Times New Roman"/>
          <w:b/>
          <w:sz w:val="24"/>
          <w:szCs w:val="24"/>
          <w:lang w:val="es-US"/>
        </w:rPr>
        <w:t>p.13</w:t>
      </w:r>
      <w:r w:rsidRPr="0054131B">
        <w:rPr>
          <w:rFonts w:ascii="Times New Roman" w:hAnsi="Times New Roman"/>
          <w:sz w:val="24"/>
          <w:szCs w:val="24"/>
          <w:lang w:val="es-US"/>
        </w:rPr>
        <w:t>.</w:t>
      </w:r>
    </w:p>
    <w:p w:rsidR="00D27E44" w:rsidRPr="0054131B" w:rsidRDefault="00D27E44" w:rsidP="003B1275">
      <w:pPr>
        <w:spacing w:after="0" w:line="480" w:lineRule="auto"/>
        <w:jc w:val="both"/>
        <w:rPr>
          <w:rFonts w:ascii="Times New Roman" w:hAnsi="Times New Roman"/>
          <w:b/>
          <w:sz w:val="24"/>
          <w:szCs w:val="24"/>
          <w:lang w:val="es-ES"/>
        </w:rPr>
      </w:pPr>
      <w:r w:rsidRPr="0054131B">
        <w:rPr>
          <w:rFonts w:ascii="Times New Roman" w:hAnsi="Times New Roman"/>
          <w:b/>
          <w:sz w:val="24"/>
          <w:szCs w:val="24"/>
          <w:lang w:val="es-ES"/>
        </w:rPr>
        <w:t xml:space="preserve">B.7 </w:t>
      </w:r>
      <w:r w:rsidRPr="0054131B">
        <w:rPr>
          <w:rFonts w:ascii="Times New Roman" w:hAnsi="Times New Roman"/>
          <w:b/>
          <w:sz w:val="24"/>
          <w:szCs w:val="24"/>
        </w:rPr>
        <w:t xml:space="preserve">Casos contenciosos de </w:t>
      </w:r>
      <w:r w:rsidRPr="0054131B">
        <w:rPr>
          <w:rFonts w:ascii="Times New Roman" w:hAnsi="Times New Roman"/>
          <w:b/>
          <w:sz w:val="24"/>
          <w:szCs w:val="24"/>
          <w:lang w:val="es-ES"/>
        </w:rPr>
        <w:t>otros Tribunales Internacionales: CIJ.-</w:t>
      </w:r>
      <w:r w:rsidRPr="0054131B">
        <w:rPr>
          <w:rFonts w:ascii="Times New Roman" w:hAnsi="Times New Roman"/>
          <w:sz w:val="24"/>
          <w:szCs w:val="24"/>
        </w:rPr>
        <w:t xml:space="preserve"> Caso “Plantas de celulosa sobre el río Uruguay” (Argentina vs. Uruguay). Sentencia, 2010</w:t>
      </w:r>
      <w:r w:rsidR="009B5AC0" w:rsidRPr="0054131B">
        <w:rPr>
          <w:rFonts w:ascii="Times New Roman" w:hAnsi="Times New Roman"/>
          <w:sz w:val="24"/>
          <w:szCs w:val="24"/>
        </w:rPr>
        <w:t xml:space="preserve"> </w:t>
      </w:r>
      <w:r w:rsidR="00AA5EC8" w:rsidRPr="0054131B">
        <w:rPr>
          <w:rFonts w:ascii="Times New Roman" w:hAnsi="Times New Roman"/>
          <w:b/>
          <w:sz w:val="24"/>
          <w:szCs w:val="24"/>
        </w:rPr>
        <w:t>p.37</w:t>
      </w:r>
      <w:r w:rsidRPr="0054131B">
        <w:rPr>
          <w:rFonts w:ascii="Times New Roman" w:hAnsi="Times New Roman"/>
          <w:sz w:val="24"/>
          <w:szCs w:val="24"/>
        </w:rPr>
        <w:t>;</w:t>
      </w:r>
      <w:r w:rsidR="00FE60AD" w:rsidRPr="0054131B">
        <w:rPr>
          <w:rFonts w:ascii="Times New Roman" w:hAnsi="Times New Roman"/>
          <w:sz w:val="24"/>
          <w:szCs w:val="24"/>
        </w:rPr>
        <w:t xml:space="preserve"> </w:t>
      </w:r>
      <w:r w:rsidRPr="0054131B">
        <w:rPr>
          <w:rFonts w:ascii="Times New Roman" w:hAnsi="Times New Roman"/>
          <w:sz w:val="24"/>
          <w:szCs w:val="24"/>
        </w:rPr>
        <w:t xml:space="preserve">Caso “Ciertas actividades llevadas a cabo por Nicaragua en la zona fronteriza” (Costa Rica vs Nicaragua). Sentencia, 2015, </w:t>
      </w:r>
      <w:r w:rsidRPr="0054131B">
        <w:rPr>
          <w:rFonts w:ascii="Times New Roman" w:hAnsi="Times New Roman"/>
          <w:b/>
          <w:sz w:val="24"/>
          <w:szCs w:val="24"/>
        </w:rPr>
        <w:t>p.37,</w:t>
      </w:r>
      <w:r w:rsidR="00FE60AD" w:rsidRPr="0054131B">
        <w:rPr>
          <w:rFonts w:ascii="Times New Roman" w:hAnsi="Times New Roman"/>
          <w:b/>
          <w:sz w:val="24"/>
          <w:szCs w:val="24"/>
        </w:rPr>
        <w:t xml:space="preserve"> </w:t>
      </w:r>
      <w:r w:rsidRPr="0054131B">
        <w:rPr>
          <w:rFonts w:ascii="Times New Roman" w:hAnsi="Times New Roman"/>
          <w:b/>
          <w:sz w:val="24"/>
          <w:szCs w:val="24"/>
        </w:rPr>
        <w:t>38</w:t>
      </w:r>
      <w:r w:rsidRPr="0054131B">
        <w:rPr>
          <w:rFonts w:ascii="Times New Roman" w:hAnsi="Times New Roman"/>
          <w:sz w:val="24"/>
          <w:szCs w:val="24"/>
        </w:rPr>
        <w:t>.</w:t>
      </w:r>
      <w:r w:rsidR="00FE60AD" w:rsidRPr="0054131B">
        <w:rPr>
          <w:rFonts w:ascii="Times New Roman" w:hAnsi="Times New Roman"/>
          <w:sz w:val="24"/>
          <w:szCs w:val="24"/>
        </w:rPr>
        <w:t xml:space="preserve"> </w:t>
      </w:r>
      <w:r w:rsidRPr="0054131B">
        <w:rPr>
          <w:rFonts w:ascii="Times New Roman" w:hAnsi="Times New Roman"/>
          <w:sz w:val="24"/>
          <w:szCs w:val="24"/>
        </w:rPr>
        <w:t xml:space="preserve">Comisión Africana de DDHH. Caso Centro de Acción Social y Económica y otros vs. Nigeria. Comunicación 155/96, 2001, </w:t>
      </w:r>
      <w:r w:rsidR="00AA5EC8" w:rsidRPr="0054131B">
        <w:rPr>
          <w:rFonts w:ascii="Times New Roman" w:hAnsi="Times New Roman"/>
          <w:b/>
          <w:sz w:val="24"/>
          <w:szCs w:val="24"/>
        </w:rPr>
        <w:t xml:space="preserve">p.16; </w:t>
      </w:r>
      <w:r w:rsidRPr="0054131B">
        <w:rPr>
          <w:rFonts w:ascii="Times New Roman" w:hAnsi="Times New Roman"/>
          <w:sz w:val="24"/>
          <w:szCs w:val="24"/>
        </w:rPr>
        <w:t xml:space="preserve">TESL. Caso El Fiscal vs. Charles Ghankay Taylor. Sentencia, 2012. Archivo SCSL-03-01-T, </w:t>
      </w:r>
      <w:r w:rsidRPr="0054131B">
        <w:rPr>
          <w:rFonts w:ascii="Times New Roman" w:hAnsi="Times New Roman"/>
          <w:b/>
          <w:sz w:val="24"/>
          <w:szCs w:val="24"/>
        </w:rPr>
        <w:t>p.17</w:t>
      </w:r>
      <w:r w:rsidRPr="0054131B">
        <w:rPr>
          <w:rFonts w:ascii="Times New Roman" w:hAnsi="Times New Roman"/>
          <w:sz w:val="24"/>
          <w:szCs w:val="24"/>
        </w:rPr>
        <w:t>; TMN. Caso Farben</w:t>
      </w:r>
      <w:r w:rsidR="00AA5EC8" w:rsidRPr="0054131B">
        <w:rPr>
          <w:rFonts w:ascii="Times New Roman" w:hAnsi="Times New Roman"/>
          <w:sz w:val="24"/>
          <w:szCs w:val="24"/>
        </w:rPr>
        <w:t xml:space="preserve"> </w:t>
      </w:r>
      <w:r w:rsidRPr="0054131B">
        <w:rPr>
          <w:rFonts w:ascii="Times New Roman" w:hAnsi="Times New Roman"/>
          <w:sz w:val="24"/>
          <w:szCs w:val="24"/>
        </w:rPr>
        <w:t xml:space="preserve">Krauch vs. </w:t>
      </w:r>
      <w:r w:rsidR="001B4A15" w:rsidRPr="0054131B">
        <w:rPr>
          <w:rFonts w:ascii="Times New Roman" w:hAnsi="Times New Roman"/>
          <w:sz w:val="24"/>
          <w:szCs w:val="24"/>
        </w:rPr>
        <w:t>EE.UU.</w:t>
      </w:r>
      <w:r w:rsidRPr="0054131B">
        <w:rPr>
          <w:rFonts w:ascii="Times New Roman" w:hAnsi="Times New Roman"/>
          <w:sz w:val="24"/>
          <w:szCs w:val="24"/>
        </w:rPr>
        <w:t xml:space="preserve">, 1948, </w:t>
      </w:r>
      <w:r w:rsidRPr="0054131B">
        <w:rPr>
          <w:rFonts w:ascii="Times New Roman" w:hAnsi="Times New Roman"/>
          <w:b/>
          <w:sz w:val="24"/>
          <w:szCs w:val="24"/>
        </w:rPr>
        <w:t>p.17</w:t>
      </w:r>
      <w:r w:rsidRPr="0054131B">
        <w:rPr>
          <w:rFonts w:ascii="Times New Roman" w:hAnsi="Times New Roman"/>
          <w:sz w:val="24"/>
          <w:szCs w:val="24"/>
        </w:rPr>
        <w:t xml:space="preserve">; TPIY. Caso El Fiscal vs. Tadić. Sentencia, 2001. Archivo IT-94-1-A-AR77, </w:t>
      </w:r>
      <w:r w:rsidRPr="0054131B">
        <w:rPr>
          <w:rFonts w:ascii="Times New Roman" w:hAnsi="Times New Roman"/>
          <w:b/>
          <w:sz w:val="24"/>
          <w:szCs w:val="24"/>
        </w:rPr>
        <w:t>p.18</w:t>
      </w:r>
      <w:r w:rsidRPr="0054131B">
        <w:rPr>
          <w:rFonts w:ascii="Times New Roman" w:hAnsi="Times New Roman"/>
          <w:sz w:val="24"/>
          <w:szCs w:val="24"/>
        </w:rPr>
        <w:t xml:space="preserve">; TPIR. Caso El Fiscal vs. Musema. Sentencia, 2000. Archivo ICTR9613T, </w:t>
      </w:r>
      <w:r w:rsidRPr="0054131B">
        <w:rPr>
          <w:rFonts w:ascii="Times New Roman" w:hAnsi="Times New Roman"/>
          <w:b/>
          <w:sz w:val="24"/>
          <w:szCs w:val="24"/>
        </w:rPr>
        <w:t>p.17</w:t>
      </w:r>
      <w:r w:rsidRPr="0054131B">
        <w:rPr>
          <w:rFonts w:ascii="Times New Roman" w:hAnsi="Times New Roman"/>
          <w:sz w:val="24"/>
          <w:szCs w:val="24"/>
        </w:rPr>
        <w:t>.</w:t>
      </w:r>
    </w:p>
    <w:p w:rsidR="003B1275" w:rsidRPr="002E0328" w:rsidRDefault="00D27E44" w:rsidP="003B1275">
      <w:pPr>
        <w:pStyle w:val="NoSpacing"/>
        <w:widowControl w:val="0"/>
        <w:spacing w:line="480" w:lineRule="auto"/>
        <w:jc w:val="both"/>
        <w:rPr>
          <w:rFonts w:ascii="Times New Roman" w:hAnsi="Times New Roman"/>
          <w:sz w:val="24"/>
          <w:szCs w:val="24"/>
        </w:rPr>
      </w:pPr>
      <w:r w:rsidRPr="0054131B">
        <w:rPr>
          <w:rFonts w:ascii="Times New Roman" w:hAnsi="Times New Roman"/>
          <w:b/>
          <w:sz w:val="24"/>
          <w:szCs w:val="24"/>
        </w:rPr>
        <w:t>B.8 Casos contenciosos de Tribunales Nacionales: Estados Unidos de América.-</w:t>
      </w:r>
      <w:r w:rsidRPr="0054131B">
        <w:rPr>
          <w:rFonts w:ascii="Times New Roman" w:hAnsi="Times New Roman"/>
          <w:sz w:val="24"/>
          <w:szCs w:val="24"/>
        </w:rPr>
        <w:t xml:space="preserve"> Corte Suprema. Caso Kiobel vs. Royal Duch, 2013, </w:t>
      </w:r>
      <w:r w:rsidRPr="0054131B">
        <w:rPr>
          <w:rFonts w:ascii="Times New Roman" w:hAnsi="Times New Roman"/>
          <w:b/>
          <w:sz w:val="24"/>
          <w:szCs w:val="24"/>
        </w:rPr>
        <w:t>p.18</w:t>
      </w:r>
      <w:r w:rsidRPr="0054131B">
        <w:rPr>
          <w:rFonts w:ascii="Times New Roman" w:hAnsi="Times New Roman"/>
          <w:sz w:val="24"/>
          <w:szCs w:val="24"/>
        </w:rPr>
        <w:t xml:space="preserve">; Tribunal Federal del Distrito de New Jersey. Caso Faat vs. Honeywell, 2005, </w:t>
      </w:r>
      <w:r w:rsidRPr="0054131B">
        <w:rPr>
          <w:rFonts w:ascii="Times New Roman" w:hAnsi="Times New Roman"/>
          <w:b/>
          <w:sz w:val="24"/>
          <w:szCs w:val="24"/>
        </w:rPr>
        <w:t>p.19</w:t>
      </w:r>
      <w:r w:rsidRPr="0054131B">
        <w:rPr>
          <w:rFonts w:ascii="Times New Roman" w:hAnsi="Times New Roman"/>
          <w:sz w:val="24"/>
          <w:szCs w:val="24"/>
        </w:rPr>
        <w:t xml:space="preserve">; Tribunal Federal de California. Caso Spanair, 2008, </w:t>
      </w:r>
      <w:r w:rsidRPr="0054131B">
        <w:rPr>
          <w:rFonts w:ascii="Times New Roman" w:hAnsi="Times New Roman"/>
          <w:b/>
          <w:sz w:val="24"/>
          <w:szCs w:val="24"/>
        </w:rPr>
        <w:t>p.19</w:t>
      </w:r>
      <w:r w:rsidRPr="0054131B">
        <w:rPr>
          <w:rFonts w:ascii="Times New Roman" w:hAnsi="Times New Roman"/>
          <w:sz w:val="24"/>
          <w:szCs w:val="24"/>
        </w:rPr>
        <w:t>.</w:t>
      </w:r>
      <w:bookmarkStart w:id="25" w:name="_Toc446776769"/>
    </w:p>
    <w:p w:rsidR="00D27E44" w:rsidRPr="00AB3CED" w:rsidRDefault="00F41080" w:rsidP="003B1275">
      <w:pPr>
        <w:pStyle w:val="NoSpacing"/>
        <w:widowControl w:val="0"/>
        <w:spacing w:line="480" w:lineRule="auto"/>
        <w:jc w:val="both"/>
        <w:rPr>
          <w:rFonts w:ascii="Times New Roman" w:hAnsi="Times New Roman"/>
          <w:sz w:val="24"/>
          <w:szCs w:val="24"/>
        </w:rPr>
      </w:pPr>
      <w:r w:rsidRPr="0054131B">
        <w:rPr>
          <w:rFonts w:ascii="Times New Roman" w:hAnsi="Times New Roman"/>
          <w:b/>
          <w:sz w:val="24"/>
          <w:szCs w:val="24"/>
        </w:rPr>
        <w:lastRenderedPageBreak/>
        <w:t>IV</w:t>
      </w:r>
      <w:r w:rsidR="002E2709">
        <w:rPr>
          <w:rFonts w:ascii="Times New Roman" w:hAnsi="Times New Roman"/>
          <w:b/>
          <w:sz w:val="24"/>
          <w:szCs w:val="24"/>
        </w:rPr>
        <w:t>.</w:t>
      </w:r>
      <w:r w:rsidRPr="0054131B">
        <w:rPr>
          <w:rFonts w:ascii="Times New Roman" w:hAnsi="Times New Roman"/>
          <w:b/>
          <w:sz w:val="24"/>
          <w:szCs w:val="24"/>
        </w:rPr>
        <w:t>-</w:t>
      </w:r>
      <w:r w:rsidR="008266B6" w:rsidRPr="0054131B">
        <w:rPr>
          <w:rFonts w:ascii="Times New Roman" w:hAnsi="Times New Roman"/>
          <w:b/>
          <w:sz w:val="24"/>
          <w:szCs w:val="24"/>
        </w:rPr>
        <w:t xml:space="preserve"> EXPOSICIÓN DE LOS HECHOS</w:t>
      </w:r>
      <w:bookmarkEnd w:id="25"/>
    </w:p>
    <w:p w:rsidR="00D27E44" w:rsidRPr="0054131B" w:rsidRDefault="00D27E44" w:rsidP="003B1275">
      <w:pPr>
        <w:pStyle w:val="NoSpacing"/>
        <w:widowControl w:val="0"/>
        <w:spacing w:line="480" w:lineRule="auto"/>
        <w:jc w:val="both"/>
        <w:outlineLvl w:val="1"/>
        <w:rPr>
          <w:rFonts w:ascii="Times New Roman" w:hAnsi="Times New Roman"/>
          <w:b/>
          <w:sz w:val="24"/>
          <w:szCs w:val="24"/>
        </w:rPr>
      </w:pPr>
      <w:bookmarkStart w:id="26" w:name="_Toc446776770"/>
      <w:r w:rsidRPr="0054131B">
        <w:rPr>
          <w:rFonts w:ascii="Times New Roman" w:hAnsi="Times New Roman"/>
          <w:b/>
          <w:sz w:val="24"/>
          <w:szCs w:val="24"/>
        </w:rPr>
        <w:t>A. Estado de Santa Clara y República de Madruga</w:t>
      </w:r>
      <w:bookmarkEnd w:id="26"/>
    </w:p>
    <w:p w:rsidR="00B43DE7" w:rsidRPr="0054131B" w:rsidRDefault="00D27E44"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 xml:space="preserve">1. </w:t>
      </w:r>
      <w:r w:rsidR="00835D5E">
        <w:rPr>
          <w:rFonts w:ascii="Times New Roman" w:hAnsi="Times New Roman"/>
          <w:sz w:val="24"/>
          <w:szCs w:val="24"/>
        </w:rPr>
        <w:t xml:space="preserve">El Estado de Santa Clara es una potencia económica mundial que </w:t>
      </w:r>
      <w:r w:rsidRPr="0054131B">
        <w:rPr>
          <w:rFonts w:ascii="Times New Roman" w:hAnsi="Times New Roman"/>
          <w:sz w:val="24"/>
          <w:szCs w:val="24"/>
        </w:rPr>
        <w:t>limita por el sur con Madruga, que en cont</w:t>
      </w:r>
      <w:r w:rsidR="0072034B" w:rsidRPr="0054131B">
        <w:rPr>
          <w:rFonts w:ascii="Times New Roman" w:hAnsi="Times New Roman"/>
          <w:sz w:val="24"/>
          <w:szCs w:val="24"/>
        </w:rPr>
        <w:t>r</w:t>
      </w:r>
      <w:r w:rsidRPr="0054131B">
        <w:rPr>
          <w:rFonts w:ascii="Times New Roman" w:hAnsi="Times New Roman"/>
          <w:sz w:val="24"/>
          <w:szCs w:val="24"/>
        </w:rPr>
        <w:t>aste</w:t>
      </w:r>
      <w:r w:rsidR="0072034B" w:rsidRPr="0054131B">
        <w:rPr>
          <w:rFonts w:ascii="Times New Roman" w:hAnsi="Times New Roman"/>
          <w:sz w:val="24"/>
          <w:szCs w:val="24"/>
        </w:rPr>
        <w:t>,</w:t>
      </w:r>
      <w:r w:rsidRPr="0054131B">
        <w:rPr>
          <w:rFonts w:ascii="Times New Roman" w:hAnsi="Times New Roman"/>
          <w:sz w:val="24"/>
          <w:szCs w:val="24"/>
        </w:rPr>
        <w:t xml:space="preserve"> es u</w:t>
      </w:r>
      <w:r w:rsidR="00B43DE7" w:rsidRPr="0054131B">
        <w:rPr>
          <w:rFonts w:ascii="Times New Roman" w:hAnsi="Times New Roman"/>
          <w:sz w:val="24"/>
          <w:szCs w:val="24"/>
        </w:rPr>
        <w:t xml:space="preserve">n Estado en vías de desarrollo. </w:t>
      </w:r>
      <w:r w:rsidRPr="0054131B">
        <w:rPr>
          <w:rFonts w:ascii="Times New Roman" w:hAnsi="Times New Roman"/>
          <w:sz w:val="24"/>
          <w:szCs w:val="24"/>
        </w:rPr>
        <w:t xml:space="preserve">La minería </w:t>
      </w:r>
      <w:r w:rsidR="00150EE5">
        <w:rPr>
          <w:rFonts w:ascii="Times New Roman" w:hAnsi="Times New Roman"/>
          <w:sz w:val="24"/>
          <w:szCs w:val="24"/>
        </w:rPr>
        <w:t>tiene un rol</w:t>
      </w:r>
      <w:r w:rsidR="0072034B" w:rsidRPr="0054131B">
        <w:rPr>
          <w:rFonts w:ascii="Times New Roman" w:hAnsi="Times New Roman"/>
          <w:sz w:val="24"/>
          <w:szCs w:val="24"/>
        </w:rPr>
        <w:t xml:space="preserve"> </w:t>
      </w:r>
      <w:r w:rsidR="00150EE5">
        <w:rPr>
          <w:rFonts w:ascii="Times New Roman" w:hAnsi="Times New Roman"/>
          <w:sz w:val="24"/>
          <w:szCs w:val="24"/>
        </w:rPr>
        <w:t>preponderante</w:t>
      </w:r>
      <w:r w:rsidR="0072034B" w:rsidRPr="0054131B">
        <w:rPr>
          <w:rFonts w:ascii="Times New Roman" w:hAnsi="Times New Roman"/>
          <w:sz w:val="24"/>
          <w:szCs w:val="24"/>
        </w:rPr>
        <w:t xml:space="preserve"> en ambos Estados, </w:t>
      </w:r>
      <w:r w:rsidR="00B43DE7" w:rsidRPr="0054131B">
        <w:rPr>
          <w:rFonts w:ascii="Times New Roman" w:hAnsi="Times New Roman"/>
          <w:sz w:val="24"/>
          <w:szCs w:val="24"/>
        </w:rPr>
        <w:t xml:space="preserve">lo </w:t>
      </w:r>
      <w:r w:rsidR="007F60D6" w:rsidRPr="0054131B">
        <w:rPr>
          <w:rFonts w:ascii="Times New Roman" w:hAnsi="Times New Roman"/>
          <w:sz w:val="24"/>
          <w:szCs w:val="24"/>
        </w:rPr>
        <w:t>que</w:t>
      </w:r>
      <w:r w:rsidR="00B43DE7" w:rsidRPr="0054131B">
        <w:rPr>
          <w:rFonts w:ascii="Times New Roman" w:hAnsi="Times New Roman"/>
          <w:sz w:val="24"/>
          <w:szCs w:val="24"/>
        </w:rPr>
        <w:t xml:space="preserve"> se</w:t>
      </w:r>
      <w:r w:rsidR="0072034B" w:rsidRPr="0054131B">
        <w:rPr>
          <w:rFonts w:ascii="Times New Roman" w:hAnsi="Times New Roman"/>
          <w:sz w:val="24"/>
          <w:szCs w:val="24"/>
        </w:rPr>
        <w:t xml:space="preserve"> aprecia</w:t>
      </w:r>
      <w:r w:rsidRPr="0054131B">
        <w:rPr>
          <w:rFonts w:ascii="Times New Roman" w:hAnsi="Times New Roman"/>
          <w:sz w:val="24"/>
          <w:szCs w:val="24"/>
        </w:rPr>
        <w:t xml:space="preserve"> en las políticas d</w:t>
      </w:r>
      <w:r w:rsidR="0072034B" w:rsidRPr="0054131B">
        <w:rPr>
          <w:rFonts w:ascii="Times New Roman" w:hAnsi="Times New Roman"/>
          <w:sz w:val="24"/>
          <w:szCs w:val="24"/>
        </w:rPr>
        <w:t>e</w:t>
      </w:r>
      <w:r w:rsidR="00684061">
        <w:rPr>
          <w:rFonts w:ascii="Times New Roman" w:hAnsi="Times New Roman"/>
          <w:sz w:val="24"/>
          <w:szCs w:val="24"/>
        </w:rPr>
        <w:t xml:space="preserve"> favorecimiento de Santa Clara </w:t>
      </w:r>
      <w:r w:rsidR="0072034B" w:rsidRPr="0054131B">
        <w:rPr>
          <w:rFonts w:ascii="Times New Roman" w:hAnsi="Times New Roman"/>
          <w:sz w:val="24"/>
          <w:szCs w:val="24"/>
        </w:rPr>
        <w:t xml:space="preserve">a </w:t>
      </w:r>
      <w:r w:rsidRPr="0054131B">
        <w:rPr>
          <w:rFonts w:ascii="Times New Roman" w:hAnsi="Times New Roman"/>
          <w:sz w:val="24"/>
          <w:szCs w:val="24"/>
        </w:rPr>
        <w:t>inversiones</w:t>
      </w:r>
      <w:r w:rsidR="0072034B" w:rsidRPr="0054131B">
        <w:rPr>
          <w:rFonts w:ascii="Times New Roman" w:hAnsi="Times New Roman"/>
          <w:sz w:val="24"/>
          <w:szCs w:val="24"/>
        </w:rPr>
        <w:t xml:space="preserve"> de empresas</w:t>
      </w:r>
      <w:r w:rsidRPr="0054131B">
        <w:rPr>
          <w:rFonts w:ascii="Times New Roman" w:hAnsi="Times New Roman"/>
          <w:sz w:val="24"/>
          <w:szCs w:val="24"/>
        </w:rPr>
        <w:t xml:space="preserve"> como Miningcorp y Silverfield</w:t>
      </w:r>
      <w:r w:rsidR="00684061" w:rsidRPr="008E6999">
        <w:rPr>
          <w:rFonts w:ascii="Times New Roman" w:hAnsi="Times New Roman"/>
          <w:sz w:val="24"/>
          <w:szCs w:val="24"/>
        </w:rPr>
        <w:t>,</w:t>
      </w:r>
      <w:r w:rsidR="00B43DE7" w:rsidRPr="008E6999">
        <w:rPr>
          <w:rFonts w:ascii="Times New Roman" w:hAnsi="Times New Roman"/>
          <w:sz w:val="24"/>
          <w:szCs w:val="24"/>
        </w:rPr>
        <w:t xml:space="preserve"> </w:t>
      </w:r>
      <w:r w:rsidR="00835D5E">
        <w:rPr>
          <w:rFonts w:ascii="Times New Roman" w:hAnsi="Times New Roman"/>
          <w:sz w:val="24"/>
          <w:szCs w:val="24"/>
        </w:rPr>
        <w:t xml:space="preserve">cuyas filiales </w:t>
      </w:r>
      <w:r w:rsidR="007F60D6" w:rsidRPr="008E6999">
        <w:rPr>
          <w:rFonts w:ascii="Times New Roman" w:hAnsi="Times New Roman"/>
          <w:sz w:val="24"/>
          <w:szCs w:val="24"/>
        </w:rPr>
        <w:t>continúan beneficiándose</w:t>
      </w:r>
      <w:r w:rsidR="00B43DE7" w:rsidRPr="008E6999">
        <w:rPr>
          <w:rFonts w:ascii="Times New Roman" w:hAnsi="Times New Roman"/>
          <w:sz w:val="24"/>
          <w:szCs w:val="24"/>
        </w:rPr>
        <w:t xml:space="preserve"> po</w:t>
      </w:r>
      <w:r w:rsidR="007F60D6" w:rsidRPr="008E6999">
        <w:rPr>
          <w:rFonts w:ascii="Times New Roman" w:hAnsi="Times New Roman"/>
          <w:sz w:val="24"/>
          <w:szCs w:val="24"/>
        </w:rPr>
        <w:t xml:space="preserve">r el </w:t>
      </w:r>
      <w:r w:rsidR="00B43DE7" w:rsidRPr="008E6999">
        <w:rPr>
          <w:rFonts w:ascii="Times New Roman" w:hAnsi="Times New Roman"/>
          <w:sz w:val="24"/>
          <w:szCs w:val="24"/>
        </w:rPr>
        <w:t>marco</w:t>
      </w:r>
      <w:r w:rsidR="007F60D6" w:rsidRPr="008E6999">
        <w:rPr>
          <w:rFonts w:ascii="Times New Roman" w:hAnsi="Times New Roman"/>
          <w:sz w:val="24"/>
          <w:szCs w:val="24"/>
        </w:rPr>
        <w:t xml:space="preserve"> normativo de </w:t>
      </w:r>
      <w:r w:rsidR="00B43DE7" w:rsidRPr="008E6999">
        <w:rPr>
          <w:rFonts w:ascii="Times New Roman" w:hAnsi="Times New Roman"/>
          <w:sz w:val="24"/>
          <w:szCs w:val="24"/>
        </w:rPr>
        <w:t>licenciamiento ambiental y concesión minera de Madruga</w:t>
      </w:r>
      <w:r w:rsidR="007F60D6" w:rsidRPr="0054131B">
        <w:rPr>
          <w:rFonts w:ascii="Times New Roman" w:hAnsi="Times New Roman"/>
          <w:sz w:val="24"/>
          <w:szCs w:val="24"/>
        </w:rPr>
        <w:t>,</w:t>
      </w:r>
      <w:r w:rsidR="00150EE5">
        <w:rPr>
          <w:rFonts w:ascii="Times New Roman" w:hAnsi="Times New Roman"/>
          <w:sz w:val="24"/>
          <w:szCs w:val="24"/>
        </w:rPr>
        <w:t xml:space="preserve"> </w:t>
      </w:r>
      <w:r w:rsidR="00835D5E">
        <w:rPr>
          <w:rFonts w:ascii="Times New Roman" w:hAnsi="Times New Roman"/>
          <w:sz w:val="24"/>
          <w:szCs w:val="24"/>
        </w:rPr>
        <w:t>que fue</w:t>
      </w:r>
      <w:r w:rsidR="007F60D6" w:rsidRPr="0054131B">
        <w:rPr>
          <w:rFonts w:ascii="Times New Roman" w:hAnsi="Times New Roman"/>
          <w:sz w:val="24"/>
          <w:szCs w:val="24"/>
        </w:rPr>
        <w:t xml:space="preserve"> </w:t>
      </w:r>
      <w:r w:rsidR="005A5E04" w:rsidRPr="0054131B">
        <w:rPr>
          <w:rFonts w:ascii="Times New Roman" w:hAnsi="Times New Roman"/>
          <w:sz w:val="24"/>
          <w:szCs w:val="24"/>
        </w:rPr>
        <w:t>financiado</w:t>
      </w:r>
      <w:r w:rsidR="007F60D6" w:rsidRPr="0054131B">
        <w:rPr>
          <w:rFonts w:ascii="Times New Roman" w:hAnsi="Times New Roman"/>
          <w:sz w:val="24"/>
          <w:szCs w:val="24"/>
        </w:rPr>
        <w:t xml:space="preserve"> por Santa Clara</w:t>
      </w:r>
      <w:r w:rsidR="00B43DE7" w:rsidRPr="0054131B">
        <w:rPr>
          <w:rFonts w:ascii="Times New Roman" w:hAnsi="Times New Roman"/>
          <w:sz w:val="24"/>
          <w:szCs w:val="24"/>
        </w:rPr>
        <w:t>. Est</w:t>
      </w:r>
      <w:r w:rsidR="00835D5E">
        <w:rPr>
          <w:rFonts w:ascii="Times New Roman" w:hAnsi="Times New Roman"/>
          <w:sz w:val="24"/>
          <w:szCs w:val="24"/>
        </w:rPr>
        <w:t xml:space="preserve">o </w:t>
      </w:r>
      <w:r w:rsidR="00B43DE7" w:rsidRPr="0054131B">
        <w:rPr>
          <w:rFonts w:ascii="Times New Roman" w:hAnsi="Times New Roman"/>
          <w:sz w:val="24"/>
          <w:szCs w:val="24"/>
        </w:rPr>
        <w:t>incide en los pueblos indígen</w:t>
      </w:r>
      <w:r w:rsidR="007F60D6" w:rsidRPr="0054131B">
        <w:rPr>
          <w:rFonts w:ascii="Times New Roman" w:hAnsi="Times New Roman"/>
          <w:sz w:val="24"/>
          <w:szCs w:val="24"/>
        </w:rPr>
        <w:t xml:space="preserve">as </w:t>
      </w:r>
      <w:r w:rsidR="00B43DE7" w:rsidRPr="0054131B">
        <w:rPr>
          <w:rFonts w:ascii="Times New Roman" w:hAnsi="Times New Roman"/>
          <w:sz w:val="24"/>
          <w:szCs w:val="24"/>
        </w:rPr>
        <w:t>Orífuna y Pichicha, cuya existencia se ha visto afectada por la actividad minera.</w:t>
      </w:r>
    </w:p>
    <w:p w:rsidR="00D27E44" w:rsidRPr="0054131B" w:rsidRDefault="00D27E44" w:rsidP="003B1275">
      <w:pPr>
        <w:pStyle w:val="Heading2"/>
        <w:spacing w:before="0" w:line="480" w:lineRule="auto"/>
        <w:rPr>
          <w:rFonts w:ascii="Times New Roman" w:hAnsi="Times New Roman" w:cs="Times New Roman"/>
          <w:b/>
          <w:color w:val="auto"/>
          <w:sz w:val="24"/>
          <w:szCs w:val="24"/>
        </w:rPr>
      </w:pPr>
      <w:bookmarkStart w:id="27" w:name="_Toc446776771"/>
      <w:r w:rsidRPr="0054131B">
        <w:rPr>
          <w:rFonts w:ascii="Times New Roman" w:hAnsi="Times New Roman" w:cs="Times New Roman"/>
          <w:b/>
          <w:color w:val="auto"/>
          <w:sz w:val="24"/>
          <w:szCs w:val="24"/>
        </w:rPr>
        <w:t>B. La impunidad de los asesinatos de Edmundo Camana y su familia</w:t>
      </w:r>
      <w:bookmarkEnd w:id="27"/>
    </w:p>
    <w:p w:rsidR="005A5E04" w:rsidRPr="0054131B" w:rsidRDefault="00D27E44"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2. En 1994, Edmundo Camana, presidente de la Confederación Madruguense de Trabajadores Mineros,</w:t>
      </w:r>
      <w:r w:rsidR="005A5E04" w:rsidRPr="0054131B">
        <w:rPr>
          <w:rFonts w:ascii="Times New Roman" w:hAnsi="Times New Roman"/>
          <w:sz w:val="24"/>
          <w:szCs w:val="24"/>
        </w:rPr>
        <w:t xml:space="preserve"> fue asesinado junto a </w:t>
      </w:r>
      <w:r w:rsidRPr="0054131B">
        <w:rPr>
          <w:rFonts w:ascii="Times New Roman" w:hAnsi="Times New Roman"/>
          <w:sz w:val="24"/>
          <w:szCs w:val="24"/>
        </w:rPr>
        <w:t>su familia, so</w:t>
      </w:r>
      <w:r w:rsidR="005A5E04" w:rsidRPr="0054131B">
        <w:rPr>
          <w:rFonts w:ascii="Times New Roman" w:hAnsi="Times New Roman"/>
          <w:sz w:val="24"/>
          <w:szCs w:val="24"/>
        </w:rPr>
        <w:t>breviviendo únicamente su hija Lucí</w:t>
      </w:r>
      <w:r w:rsidRPr="0054131B">
        <w:rPr>
          <w:rFonts w:ascii="Times New Roman" w:hAnsi="Times New Roman"/>
          <w:sz w:val="24"/>
          <w:szCs w:val="24"/>
        </w:rPr>
        <w:t>a Camana. Ante la imperante impunidad sobre estos asesinatos, Lucía se unió al Movimiento Nacional contra la Imp</w:t>
      </w:r>
      <w:r w:rsidR="005B1286">
        <w:rPr>
          <w:rFonts w:ascii="Times New Roman" w:hAnsi="Times New Roman"/>
          <w:sz w:val="24"/>
          <w:szCs w:val="24"/>
        </w:rPr>
        <w:t>unidad en Madruga</w:t>
      </w:r>
      <w:r w:rsidR="005A5E04" w:rsidRPr="0054131B">
        <w:rPr>
          <w:rFonts w:ascii="Times New Roman" w:hAnsi="Times New Roman"/>
          <w:sz w:val="24"/>
          <w:szCs w:val="24"/>
        </w:rPr>
        <w:t xml:space="preserve"> hasta </w:t>
      </w:r>
      <w:r w:rsidRPr="0054131B">
        <w:rPr>
          <w:rFonts w:ascii="Times New Roman" w:hAnsi="Times New Roman"/>
          <w:sz w:val="24"/>
          <w:szCs w:val="24"/>
        </w:rPr>
        <w:t>el año 2002</w:t>
      </w:r>
      <w:r w:rsidR="005A5E04" w:rsidRPr="0054131B">
        <w:rPr>
          <w:rFonts w:ascii="Times New Roman" w:hAnsi="Times New Roman"/>
          <w:sz w:val="24"/>
          <w:szCs w:val="24"/>
        </w:rPr>
        <w:t xml:space="preserve">, </w:t>
      </w:r>
      <w:r w:rsidR="005B1286">
        <w:rPr>
          <w:rFonts w:ascii="Times New Roman" w:hAnsi="Times New Roman"/>
          <w:sz w:val="24"/>
          <w:szCs w:val="24"/>
        </w:rPr>
        <w:t>fecha en la que</w:t>
      </w:r>
      <w:r w:rsidRPr="0054131B">
        <w:rPr>
          <w:rFonts w:ascii="Times New Roman" w:hAnsi="Times New Roman"/>
          <w:sz w:val="24"/>
          <w:szCs w:val="24"/>
        </w:rPr>
        <w:t xml:space="preserve"> fue asesinada de forma similar a la de su familia.</w:t>
      </w:r>
    </w:p>
    <w:p w:rsidR="005A5E04" w:rsidRPr="0054131B" w:rsidRDefault="005A5E04"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3.</w:t>
      </w:r>
      <w:r w:rsidR="00D27E44" w:rsidRPr="0054131B">
        <w:rPr>
          <w:rFonts w:ascii="Times New Roman" w:hAnsi="Times New Roman"/>
          <w:sz w:val="24"/>
          <w:szCs w:val="24"/>
        </w:rPr>
        <w:t xml:space="preserve"> Entre los hechos resaltantes vinculados al</w:t>
      </w:r>
      <w:r w:rsidR="005B1286">
        <w:rPr>
          <w:rFonts w:ascii="Times New Roman" w:hAnsi="Times New Roman"/>
          <w:sz w:val="24"/>
          <w:szCs w:val="24"/>
        </w:rPr>
        <w:t xml:space="preserve"> asesinato de la familia Camana</w:t>
      </w:r>
      <w:r w:rsidR="00D27E44" w:rsidRPr="0054131B">
        <w:rPr>
          <w:rFonts w:ascii="Times New Roman" w:hAnsi="Times New Roman"/>
          <w:sz w:val="24"/>
          <w:szCs w:val="24"/>
        </w:rPr>
        <w:t xml:space="preserve"> se descubrieron depósitos bancarios de Miningcorp, cuyo director financiero </w:t>
      </w:r>
      <w:r w:rsidRPr="0054131B">
        <w:rPr>
          <w:rFonts w:ascii="Times New Roman" w:hAnsi="Times New Roman"/>
          <w:sz w:val="24"/>
          <w:szCs w:val="24"/>
        </w:rPr>
        <w:t>era</w:t>
      </w:r>
      <w:r w:rsidR="00D27E44" w:rsidRPr="0054131B">
        <w:rPr>
          <w:rFonts w:ascii="Times New Roman" w:hAnsi="Times New Roman"/>
          <w:sz w:val="24"/>
          <w:szCs w:val="24"/>
        </w:rPr>
        <w:t xml:space="preserve"> Eliot Klein, al grupo miliciano los Olivos, único grupo sentenciado por los asesinatos sis</w:t>
      </w:r>
      <w:r w:rsidRPr="0054131B">
        <w:rPr>
          <w:rFonts w:ascii="Times New Roman" w:hAnsi="Times New Roman"/>
          <w:sz w:val="24"/>
          <w:szCs w:val="24"/>
        </w:rPr>
        <w:t>temáticos de líderes sindicales.</w:t>
      </w:r>
      <w:r w:rsidR="00D27E44" w:rsidRPr="0054131B">
        <w:rPr>
          <w:rFonts w:ascii="Times New Roman" w:hAnsi="Times New Roman"/>
          <w:sz w:val="24"/>
          <w:szCs w:val="24"/>
        </w:rPr>
        <w:t xml:space="preserve"> </w:t>
      </w:r>
      <w:r w:rsidRPr="0054131B">
        <w:rPr>
          <w:rFonts w:ascii="Times New Roman" w:hAnsi="Times New Roman"/>
          <w:sz w:val="24"/>
          <w:szCs w:val="24"/>
        </w:rPr>
        <w:t>A</w:t>
      </w:r>
      <w:r w:rsidR="00D27E44" w:rsidRPr="0054131B">
        <w:rPr>
          <w:rFonts w:ascii="Times New Roman" w:hAnsi="Times New Roman"/>
          <w:sz w:val="24"/>
          <w:szCs w:val="24"/>
        </w:rPr>
        <w:t>simismo, se descubrió que David Nelson, agente diplomático de Santa Clara destacado en Madr</w:t>
      </w:r>
      <w:r w:rsidRPr="0054131B">
        <w:rPr>
          <w:rFonts w:ascii="Times New Roman" w:hAnsi="Times New Roman"/>
          <w:sz w:val="24"/>
          <w:szCs w:val="24"/>
        </w:rPr>
        <w:t>uga,</w:t>
      </w:r>
      <w:r w:rsidR="00D27E44" w:rsidRPr="0054131B">
        <w:rPr>
          <w:rFonts w:ascii="Times New Roman" w:hAnsi="Times New Roman"/>
          <w:sz w:val="24"/>
          <w:szCs w:val="24"/>
        </w:rPr>
        <w:t xml:space="preserve"> sostenía r</w:t>
      </w:r>
      <w:r w:rsidRPr="0054131B">
        <w:rPr>
          <w:rFonts w:ascii="Times New Roman" w:hAnsi="Times New Roman"/>
          <w:sz w:val="24"/>
          <w:szCs w:val="24"/>
        </w:rPr>
        <w:t>euniones con este grupo</w:t>
      </w:r>
      <w:r w:rsidR="00D27E44" w:rsidRPr="0054131B">
        <w:rPr>
          <w:rFonts w:ascii="Times New Roman" w:hAnsi="Times New Roman"/>
          <w:sz w:val="24"/>
          <w:szCs w:val="24"/>
        </w:rPr>
        <w:t xml:space="preserve"> en las oficinas de Miningcorp. </w:t>
      </w:r>
    </w:p>
    <w:p w:rsidR="00D27E44" w:rsidRPr="0054131B" w:rsidRDefault="005A5E04"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 xml:space="preserve">4. </w:t>
      </w:r>
      <w:r w:rsidR="00D27E44" w:rsidRPr="0054131B">
        <w:rPr>
          <w:rFonts w:ascii="Times New Roman" w:hAnsi="Times New Roman"/>
          <w:sz w:val="24"/>
          <w:szCs w:val="24"/>
        </w:rPr>
        <w:t>A pesar de estos hechos y de contar con competencia extra</w:t>
      </w:r>
      <w:r w:rsidRPr="0054131B">
        <w:rPr>
          <w:rFonts w:ascii="Times New Roman" w:hAnsi="Times New Roman"/>
          <w:sz w:val="24"/>
          <w:szCs w:val="24"/>
        </w:rPr>
        <w:t xml:space="preserve">territorial, </w:t>
      </w:r>
      <w:r w:rsidR="00D27E44" w:rsidRPr="0054131B">
        <w:rPr>
          <w:rFonts w:ascii="Times New Roman" w:hAnsi="Times New Roman"/>
          <w:sz w:val="24"/>
          <w:szCs w:val="24"/>
        </w:rPr>
        <w:t xml:space="preserve">Santa Clara se abstuvo de investigar a Eliot Klein y David Nelson, señalando que se habrían individualizado a los responsables del </w:t>
      </w:r>
      <w:r w:rsidR="005B1286">
        <w:rPr>
          <w:rFonts w:ascii="Times New Roman" w:hAnsi="Times New Roman"/>
          <w:sz w:val="24"/>
          <w:szCs w:val="24"/>
        </w:rPr>
        <w:t>asesinato de la familia Camana;</w:t>
      </w:r>
      <w:r w:rsidR="00FE67AB" w:rsidRPr="0054131B">
        <w:rPr>
          <w:rFonts w:ascii="Times New Roman" w:hAnsi="Times New Roman"/>
          <w:sz w:val="24"/>
          <w:szCs w:val="24"/>
        </w:rPr>
        <w:t xml:space="preserve"> por otro lado, respecto al asesinato de Lucía </w:t>
      </w:r>
      <w:r w:rsidR="00FE67AB" w:rsidRPr="0054131B">
        <w:rPr>
          <w:rFonts w:ascii="Times New Roman" w:hAnsi="Times New Roman"/>
          <w:sz w:val="24"/>
          <w:szCs w:val="24"/>
        </w:rPr>
        <w:lastRenderedPageBreak/>
        <w:t>Camana señaló que la investigación seguía en trámite en Madruga</w:t>
      </w:r>
      <w:r w:rsidR="005B1286">
        <w:rPr>
          <w:rFonts w:ascii="Times New Roman" w:hAnsi="Times New Roman"/>
          <w:sz w:val="24"/>
          <w:szCs w:val="24"/>
        </w:rPr>
        <w:t>.</w:t>
      </w:r>
    </w:p>
    <w:p w:rsidR="00B70109" w:rsidRPr="0054131B" w:rsidRDefault="00B24983" w:rsidP="003B1275">
      <w:pPr>
        <w:pStyle w:val="Heading2"/>
        <w:spacing w:before="0" w:line="480" w:lineRule="auto"/>
        <w:rPr>
          <w:rFonts w:ascii="Times New Roman" w:hAnsi="Times New Roman" w:cs="Times New Roman"/>
          <w:b/>
          <w:color w:val="auto"/>
          <w:sz w:val="24"/>
          <w:szCs w:val="24"/>
        </w:rPr>
      </w:pPr>
      <w:bookmarkStart w:id="28" w:name="_Toc446776772"/>
      <w:r w:rsidRPr="0054131B">
        <w:rPr>
          <w:rFonts w:ascii="Times New Roman" w:hAnsi="Times New Roman" w:cs="Times New Roman"/>
          <w:b/>
          <w:color w:val="auto"/>
          <w:sz w:val="24"/>
          <w:szCs w:val="24"/>
        </w:rPr>
        <w:t>C</w:t>
      </w:r>
      <w:r w:rsidR="00B70109" w:rsidRPr="0054131B">
        <w:rPr>
          <w:rFonts w:ascii="Times New Roman" w:hAnsi="Times New Roman" w:cs="Times New Roman"/>
          <w:b/>
          <w:color w:val="auto"/>
          <w:sz w:val="24"/>
          <w:szCs w:val="24"/>
        </w:rPr>
        <w:t>. El proyecto minero Wirikuya y su afectación a los pueblos Pichicha</w:t>
      </w:r>
      <w:bookmarkEnd w:id="28"/>
      <w:r w:rsidR="00B70109" w:rsidRPr="0054131B">
        <w:rPr>
          <w:rFonts w:ascii="Times New Roman" w:hAnsi="Times New Roman" w:cs="Times New Roman"/>
          <w:b/>
          <w:color w:val="auto"/>
          <w:sz w:val="24"/>
          <w:szCs w:val="24"/>
        </w:rPr>
        <w:t xml:space="preserve"> </w:t>
      </w:r>
    </w:p>
    <w:p w:rsidR="00B70109" w:rsidRPr="0054131B" w:rsidRDefault="0003667A"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5</w:t>
      </w:r>
      <w:r w:rsidR="00B70109" w:rsidRPr="0054131B">
        <w:rPr>
          <w:rFonts w:ascii="Times New Roman" w:hAnsi="Times New Roman"/>
          <w:sz w:val="24"/>
          <w:szCs w:val="24"/>
        </w:rPr>
        <w:t>. En 2007, Santa Clara anunció la licitación de un proyecto minero a</w:t>
      </w:r>
      <w:r w:rsidR="0006570A" w:rsidRPr="0054131B">
        <w:rPr>
          <w:rFonts w:ascii="Times New Roman" w:hAnsi="Times New Roman"/>
          <w:sz w:val="24"/>
          <w:szCs w:val="24"/>
        </w:rPr>
        <w:t xml:space="preserve"> cielo abierto llamado Wirikuya,</w:t>
      </w:r>
      <w:r w:rsidR="00B70109" w:rsidRPr="0054131B">
        <w:rPr>
          <w:rFonts w:ascii="Times New Roman" w:hAnsi="Times New Roman"/>
          <w:sz w:val="24"/>
          <w:szCs w:val="24"/>
        </w:rPr>
        <w:t xml:space="preserve"> el cual representaba un potencial de afectación a los pueblos Pichicha y Orífuna.</w:t>
      </w:r>
      <w:r w:rsidR="0006570A" w:rsidRPr="0054131B">
        <w:rPr>
          <w:rFonts w:ascii="Times New Roman" w:hAnsi="Times New Roman"/>
          <w:sz w:val="24"/>
          <w:szCs w:val="24"/>
        </w:rPr>
        <w:t xml:space="preserve"> </w:t>
      </w:r>
      <w:r w:rsidR="00B70109" w:rsidRPr="0054131B">
        <w:rPr>
          <w:rFonts w:ascii="Times New Roman" w:hAnsi="Times New Roman"/>
          <w:sz w:val="24"/>
          <w:szCs w:val="24"/>
        </w:rPr>
        <w:t xml:space="preserve">En 2010, </w:t>
      </w:r>
      <w:r w:rsidR="0006570A" w:rsidRPr="0054131B">
        <w:rPr>
          <w:rFonts w:ascii="Times New Roman" w:hAnsi="Times New Roman"/>
          <w:sz w:val="24"/>
          <w:szCs w:val="24"/>
        </w:rPr>
        <w:t>Santa Clara inició un proceso de consulta</w:t>
      </w:r>
      <w:r w:rsidR="00B70109" w:rsidRPr="0054131B">
        <w:rPr>
          <w:rFonts w:ascii="Times New Roman" w:hAnsi="Times New Roman"/>
          <w:sz w:val="24"/>
          <w:szCs w:val="24"/>
        </w:rPr>
        <w:t xml:space="preserve">, el EISA </w:t>
      </w:r>
      <w:r w:rsidR="0006570A" w:rsidRPr="0054131B">
        <w:rPr>
          <w:rFonts w:ascii="Times New Roman" w:hAnsi="Times New Roman"/>
          <w:sz w:val="24"/>
          <w:szCs w:val="24"/>
        </w:rPr>
        <w:t>fue traducido y explicado al Pueblo Pichicha, que</w:t>
      </w:r>
      <w:r w:rsidR="00B70109" w:rsidRPr="0054131B">
        <w:rPr>
          <w:rFonts w:ascii="Times New Roman" w:hAnsi="Times New Roman"/>
          <w:sz w:val="24"/>
          <w:szCs w:val="24"/>
        </w:rPr>
        <w:t xml:space="preserve"> ace</w:t>
      </w:r>
      <w:r w:rsidR="0006570A" w:rsidRPr="0054131B">
        <w:rPr>
          <w:rFonts w:ascii="Times New Roman" w:hAnsi="Times New Roman"/>
          <w:sz w:val="24"/>
          <w:szCs w:val="24"/>
        </w:rPr>
        <w:t>ptó la realización del proyecto</w:t>
      </w:r>
      <w:r w:rsidR="00B70109" w:rsidRPr="0054131B">
        <w:rPr>
          <w:rFonts w:ascii="Times New Roman" w:hAnsi="Times New Roman"/>
          <w:sz w:val="24"/>
          <w:szCs w:val="24"/>
        </w:rPr>
        <w:t xml:space="preserve"> con la prohibición del ingreso de funcionarios públicos a las adyacencias del Riachuelo de Mandí.</w:t>
      </w:r>
      <w:r w:rsidR="0006570A" w:rsidRPr="0054131B">
        <w:rPr>
          <w:rFonts w:ascii="Times New Roman" w:hAnsi="Times New Roman"/>
          <w:sz w:val="24"/>
          <w:szCs w:val="24"/>
        </w:rPr>
        <w:t xml:space="preserve"> Consecuentemente,</w:t>
      </w:r>
      <w:r w:rsidR="00B70109" w:rsidRPr="0054131B">
        <w:rPr>
          <w:rFonts w:ascii="Times New Roman" w:hAnsi="Times New Roman"/>
          <w:sz w:val="24"/>
          <w:szCs w:val="24"/>
        </w:rPr>
        <w:t xml:space="preserve"> Silverfield obtuvo la licencia para iniciar la exploración del proyecto Wirikuya en 2011.</w:t>
      </w:r>
    </w:p>
    <w:p w:rsidR="00F41080" w:rsidRPr="0054131B" w:rsidRDefault="0003667A"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6</w:t>
      </w:r>
      <w:r w:rsidR="00674BB7" w:rsidRPr="0054131B">
        <w:rPr>
          <w:rFonts w:ascii="Times New Roman" w:hAnsi="Times New Roman"/>
          <w:sz w:val="24"/>
          <w:szCs w:val="24"/>
        </w:rPr>
        <w:t>. Ese año</w:t>
      </w:r>
      <w:r w:rsidR="00B70109" w:rsidRPr="0054131B">
        <w:rPr>
          <w:rFonts w:ascii="Times New Roman" w:hAnsi="Times New Roman"/>
          <w:sz w:val="24"/>
          <w:szCs w:val="24"/>
        </w:rPr>
        <w:t>, la lagu</w:t>
      </w:r>
      <w:r w:rsidR="00674BB7" w:rsidRPr="0054131B">
        <w:rPr>
          <w:rFonts w:ascii="Times New Roman" w:hAnsi="Times New Roman"/>
          <w:sz w:val="24"/>
          <w:szCs w:val="24"/>
        </w:rPr>
        <w:t>na Pampulla resultó contaminada,</w:t>
      </w:r>
      <w:r w:rsidR="00B70109" w:rsidRPr="0054131B">
        <w:rPr>
          <w:rFonts w:ascii="Times New Roman" w:hAnsi="Times New Roman"/>
          <w:sz w:val="24"/>
          <w:szCs w:val="24"/>
        </w:rPr>
        <w:t xml:space="preserve"> hecho que imposibilitó el abastecimiento de agua del Pueblo Pich</w:t>
      </w:r>
      <w:r w:rsidR="00674BB7" w:rsidRPr="0054131B">
        <w:rPr>
          <w:rFonts w:ascii="Times New Roman" w:hAnsi="Times New Roman"/>
          <w:sz w:val="24"/>
          <w:szCs w:val="24"/>
        </w:rPr>
        <w:t>icha y de miles de campesinos; p</w:t>
      </w:r>
      <w:r w:rsidR="00B70109" w:rsidRPr="0054131B">
        <w:rPr>
          <w:rFonts w:ascii="Times New Roman" w:hAnsi="Times New Roman"/>
          <w:sz w:val="24"/>
          <w:szCs w:val="24"/>
        </w:rPr>
        <w:t>or este motivo, Santa Clara ordenó la  descontaminación de la laguna y autorizó la captación de agua del riachuelo de Mandí.</w:t>
      </w:r>
    </w:p>
    <w:p w:rsidR="00F41080" w:rsidRPr="0054131B" w:rsidRDefault="0003667A"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7</w:t>
      </w:r>
      <w:r w:rsidR="00B70109" w:rsidRPr="0054131B">
        <w:rPr>
          <w:rFonts w:ascii="Times New Roman" w:hAnsi="Times New Roman"/>
          <w:sz w:val="24"/>
          <w:szCs w:val="24"/>
        </w:rPr>
        <w:t>. Ricardo Manuín, líder del Pueblo Pichicha, interpuso un recurso administrativo, alegando la intangibilida</w:t>
      </w:r>
      <w:r w:rsidR="00674BB7" w:rsidRPr="0054131B">
        <w:rPr>
          <w:rFonts w:ascii="Times New Roman" w:hAnsi="Times New Roman"/>
          <w:sz w:val="24"/>
          <w:szCs w:val="24"/>
        </w:rPr>
        <w:t>d del riachuelo. Posteriormente, interpuso una acción de amparo</w:t>
      </w:r>
      <w:r w:rsidR="00B70109" w:rsidRPr="0054131B">
        <w:rPr>
          <w:rFonts w:ascii="Times New Roman" w:hAnsi="Times New Roman"/>
          <w:sz w:val="24"/>
          <w:szCs w:val="24"/>
        </w:rPr>
        <w:t xml:space="preserve"> por la invasión de zonas sagradas para el pueblo. El 10 de agosto de 2011, se otorgó una medida cautelar ordenando la inmediata evacuación de las zo</w:t>
      </w:r>
      <w:r w:rsidR="00674BB7" w:rsidRPr="0054131B">
        <w:rPr>
          <w:rFonts w:ascii="Times New Roman" w:hAnsi="Times New Roman"/>
          <w:sz w:val="24"/>
          <w:szCs w:val="24"/>
        </w:rPr>
        <w:t>nas sagradas; cinco días después</w:t>
      </w:r>
      <w:r w:rsidR="00B70109" w:rsidRPr="0054131B">
        <w:rPr>
          <w:rFonts w:ascii="Times New Roman" w:hAnsi="Times New Roman"/>
          <w:sz w:val="24"/>
          <w:szCs w:val="24"/>
        </w:rPr>
        <w:t>, las obras de de</w:t>
      </w:r>
      <w:r w:rsidR="00674BB7" w:rsidRPr="0054131B">
        <w:rPr>
          <w:rFonts w:ascii="Times New Roman" w:hAnsi="Times New Roman"/>
          <w:sz w:val="24"/>
          <w:szCs w:val="24"/>
        </w:rPr>
        <w:t xml:space="preserve">scontaminación concluyeron, </w:t>
      </w:r>
      <w:r w:rsidR="00B70109" w:rsidRPr="0054131B">
        <w:rPr>
          <w:rFonts w:ascii="Times New Roman" w:hAnsi="Times New Roman"/>
          <w:sz w:val="24"/>
          <w:szCs w:val="24"/>
        </w:rPr>
        <w:t>la medida cautelar fue levantada y el amparo fue archivado.</w:t>
      </w:r>
      <w:r w:rsidR="00674BB7" w:rsidRPr="0054131B">
        <w:rPr>
          <w:rFonts w:ascii="Times New Roman" w:hAnsi="Times New Roman"/>
          <w:sz w:val="24"/>
          <w:szCs w:val="24"/>
        </w:rPr>
        <w:t xml:space="preserve"> </w:t>
      </w:r>
      <w:r w:rsidR="00B70109" w:rsidRPr="0054131B">
        <w:rPr>
          <w:rFonts w:ascii="Times New Roman" w:hAnsi="Times New Roman"/>
          <w:sz w:val="24"/>
          <w:szCs w:val="24"/>
        </w:rPr>
        <w:t>Frente a ello, se interpusieron los recursos de apelación y agravio constitucional para requerir la fij</w:t>
      </w:r>
      <w:r w:rsidR="00674BB7" w:rsidRPr="0054131B">
        <w:rPr>
          <w:rFonts w:ascii="Times New Roman" w:hAnsi="Times New Roman"/>
          <w:sz w:val="24"/>
          <w:szCs w:val="24"/>
        </w:rPr>
        <w:t>ación de una indemnización</w:t>
      </w:r>
      <w:r w:rsidR="00B70109" w:rsidRPr="0054131B">
        <w:rPr>
          <w:rFonts w:ascii="Times New Roman" w:hAnsi="Times New Roman"/>
          <w:sz w:val="24"/>
          <w:szCs w:val="24"/>
        </w:rPr>
        <w:t xml:space="preserve"> por los daños causados en sitios sagrados y por el incumplimiento de los </w:t>
      </w:r>
      <w:r w:rsidR="00674BB7" w:rsidRPr="0054131B">
        <w:rPr>
          <w:rFonts w:ascii="Times New Roman" w:hAnsi="Times New Roman"/>
          <w:sz w:val="24"/>
          <w:szCs w:val="24"/>
        </w:rPr>
        <w:t>acuerdos asumidos por Santa Clara, e</w:t>
      </w:r>
      <w:r w:rsidR="00B70109" w:rsidRPr="0054131B">
        <w:rPr>
          <w:rFonts w:ascii="Times New Roman" w:hAnsi="Times New Roman"/>
          <w:sz w:val="24"/>
          <w:szCs w:val="24"/>
        </w:rPr>
        <w:t>stos</w:t>
      </w:r>
      <w:r w:rsidR="00674BB7" w:rsidRPr="0054131B">
        <w:rPr>
          <w:rFonts w:ascii="Times New Roman" w:hAnsi="Times New Roman"/>
          <w:sz w:val="24"/>
          <w:szCs w:val="24"/>
        </w:rPr>
        <w:t xml:space="preserve"> recursos</w:t>
      </w:r>
      <w:r w:rsidR="00B70109" w:rsidRPr="0054131B">
        <w:rPr>
          <w:rFonts w:ascii="Times New Roman" w:hAnsi="Times New Roman"/>
          <w:sz w:val="24"/>
          <w:szCs w:val="24"/>
        </w:rPr>
        <w:t xml:space="preserve"> fueron declarados improcedentes.</w:t>
      </w:r>
    </w:p>
    <w:p w:rsidR="00293B1B" w:rsidRPr="0054131B" w:rsidRDefault="00B24983" w:rsidP="003B1275">
      <w:pPr>
        <w:pStyle w:val="Heading2"/>
        <w:spacing w:before="0" w:line="480" w:lineRule="auto"/>
        <w:rPr>
          <w:rFonts w:ascii="Times New Roman" w:hAnsi="Times New Roman" w:cs="Times New Roman"/>
          <w:color w:val="auto"/>
          <w:sz w:val="24"/>
          <w:szCs w:val="24"/>
        </w:rPr>
      </w:pPr>
      <w:bookmarkStart w:id="29" w:name="_Toc446776773"/>
      <w:r w:rsidRPr="0054131B">
        <w:rPr>
          <w:rFonts w:ascii="Times New Roman" w:hAnsi="Times New Roman" w:cs="Times New Roman"/>
          <w:b/>
          <w:color w:val="auto"/>
          <w:sz w:val="24"/>
          <w:szCs w:val="24"/>
        </w:rPr>
        <w:t>D</w:t>
      </w:r>
      <w:r w:rsidR="00B70109" w:rsidRPr="0054131B">
        <w:rPr>
          <w:rFonts w:ascii="Times New Roman" w:hAnsi="Times New Roman" w:cs="Times New Roman"/>
          <w:b/>
          <w:color w:val="auto"/>
          <w:sz w:val="24"/>
          <w:szCs w:val="24"/>
        </w:rPr>
        <w:t>. El proyecto minero Wiriku</w:t>
      </w:r>
      <w:r w:rsidR="00B26DDE" w:rsidRPr="0054131B">
        <w:rPr>
          <w:rFonts w:ascii="Times New Roman" w:hAnsi="Times New Roman" w:cs="Times New Roman"/>
          <w:b/>
          <w:color w:val="auto"/>
          <w:sz w:val="24"/>
          <w:szCs w:val="24"/>
        </w:rPr>
        <w:t>ya y su afectación al Pueblo</w:t>
      </w:r>
      <w:r w:rsidR="00B70109" w:rsidRPr="0054131B">
        <w:rPr>
          <w:rFonts w:ascii="Times New Roman" w:hAnsi="Times New Roman" w:cs="Times New Roman"/>
          <w:b/>
          <w:color w:val="auto"/>
          <w:sz w:val="24"/>
          <w:szCs w:val="24"/>
        </w:rPr>
        <w:t xml:space="preserve"> Orífuna</w:t>
      </w:r>
      <w:bookmarkEnd w:id="29"/>
    </w:p>
    <w:p w:rsidR="00B70109" w:rsidRPr="0054131B" w:rsidRDefault="0003667A" w:rsidP="003B1275">
      <w:pPr>
        <w:widowControl w:val="0"/>
        <w:spacing w:after="0" w:line="480" w:lineRule="auto"/>
        <w:jc w:val="both"/>
        <w:rPr>
          <w:rFonts w:ascii="Times New Roman" w:hAnsi="Times New Roman"/>
          <w:sz w:val="24"/>
          <w:szCs w:val="24"/>
        </w:rPr>
      </w:pPr>
      <w:r w:rsidRPr="0054131B">
        <w:rPr>
          <w:rFonts w:ascii="Times New Roman" w:hAnsi="Times New Roman"/>
          <w:sz w:val="24"/>
          <w:szCs w:val="24"/>
        </w:rPr>
        <w:t>8</w:t>
      </w:r>
      <w:r w:rsidR="00B70109" w:rsidRPr="0054131B">
        <w:rPr>
          <w:rFonts w:ascii="Times New Roman" w:hAnsi="Times New Roman"/>
          <w:sz w:val="24"/>
          <w:szCs w:val="24"/>
        </w:rPr>
        <w:t>. En 2011, dos semanas después del otorgamiento de la licencia de explotación por parte de Santa Clara, representantes de Silverf</w:t>
      </w:r>
      <w:r w:rsidR="003772CE" w:rsidRPr="0054131B">
        <w:rPr>
          <w:rFonts w:ascii="Times New Roman" w:hAnsi="Times New Roman"/>
          <w:sz w:val="24"/>
          <w:szCs w:val="24"/>
        </w:rPr>
        <w:t>i</w:t>
      </w:r>
      <w:r w:rsidR="00E11914" w:rsidRPr="0054131B">
        <w:rPr>
          <w:rFonts w:ascii="Times New Roman" w:hAnsi="Times New Roman"/>
          <w:sz w:val="24"/>
          <w:szCs w:val="24"/>
        </w:rPr>
        <w:t>eld se apersonaron a</w:t>
      </w:r>
      <w:r w:rsidR="00B70109" w:rsidRPr="0054131B">
        <w:rPr>
          <w:rFonts w:ascii="Times New Roman" w:hAnsi="Times New Roman"/>
          <w:sz w:val="24"/>
          <w:szCs w:val="24"/>
        </w:rPr>
        <w:t xml:space="preserve"> la Asamble</w:t>
      </w:r>
      <w:r w:rsidR="003772CE" w:rsidRPr="0054131B">
        <w:rPr>
          <w:rFonts w:ascii="Times New Roman" w:hAnsi="Times New Roman"/>
          <w:sz w:val="24"/>
          <w:szCs w:val="24"/>
        </w:rPr>
        <w:t>a del Pueblo Orífuna</w:t>
      </w:r>
      <w:r w:rsidR="00F34789" w:rsidRPr="0054131B">
        <w:rPr>
          <w:rFonts w:ascii="Times New Roman" w:hAnsi="Times New Roman"/>
          <w:sz w:val="24"/>
          <w:szCs w:val="24"/>
        </w:rPr>
        <w:t xml:space="preserve"> </w:t>
      </w:r>
      <w:r w:rsidR="003772CE" w:rsidRPr="0054131B">
        <w:rPr>
          <w:rFonts w:ascii="Times New Roman" w:hAnsi="Times New Roman"/>
          <w:sz w:val="24"/>
          <w:szCs w:val="24"/>
        </w:rPr>
        <w:t>en Madruga, la cual rechazó e</w:t>
      </w:r>
      <w:r w:rsidR="00B70109" w:rsidRPr="0054131B">
        <w:rPr>
          <w:rFonts w:ascii="Times New Roman" w:hAnsi="Times New Roman"/>
          <w:sz w:val="24"/>
          <w:szCs w:val="24"/>
        </w:rPr>
        <w:t>l proy</w:t>
      </w:r>
      <w:r w:rsidR="00E11914" w:rsidRPr="0054131B">
        <w:rPr>
          <w:rFonts w:ascii="Times New Roman" w:hAnsi="Times New Roman"/>
          <w:sz w:val="24"/>
          <w:szCs w:val="24"/>
        </w:rPr>
        <w:t xml:space="preserve">ecto </w:t>
      </w:r>
      <w:r w:rsidR="003772CE" w:rsidRPr="0054131B">
        <w:rPr>
          <w:rFonts w:ascii="Times New Roman" w:hAnsi="Times New Roman"/>
          <w:sz w:val="24"/>
          <w:szCs w:val="24"/>
        </w:rPr>
        <w:t>Wirikuya</w:t>
      </w:r>
      <w:r w:rsidR="00305CFE" w:rsidRPr="0054131B">
        <w:rPr>
          <w:rFonts w:ascii="Times New Roman" w:hAnsi="Times New Roman"/>
          <w:sz w:val="24"/>
          <w:szCs w:val="24"/>
        </w:rPr>
        <w:t xml:space="preserve">, la utilización del Río Doce y el transporte de </w:t>
      </w:r>
      <w:r w:rsidR="00305CFE" w:rsidRPr="0054131B">
        <w:rPr>
          <w:rFonts w:ascii="Times New Roman" w:hAnsi="Times New Roman"/>
          <w:sz w:val="24"/>
          <w:szCs w:val="24"/>
        </w:rPr>
        <w:lastRenderedPageBreak/>
        <w:t>minerales a través d</w:t>
      </w:r>
      <w:r w:rsidR="00F34789" w:rsidRPr="0054131B">
        <w:rPr>
          <w:rFonts w:ascii="Times New Roman" w:hAnsi="Times New Roman"/>
          <w:sz w:val="24"/>
          <w:szCs w:val="24"/>
        </w:rPr>
        <w:t>el puerto de San Blas</w:t>
      </w:r>
      <w:r w:rsidR="00305CFE" w:rsidRPr="0054131B">
        <w:rPr>
          <w:rFonts w:ascii="Times New Roman" w:hAnsi="Times New Roman"/>
          <w:sz w:val="24"/>
          <w:szCs w:val="24"/>
        </w:rPr>
        <w:t xml:space="preserve"> para el transporte,</w:t>
      </w:r>
      <w:r w:rsidR="003772CE" w:rsidRPr="0054131B">
        <w:rPr>
          <w:rFonts w:ascii="Times New Roman" w:hAnsi="Times New Roman"/>
          <w:sz w:val="24"/>
          <w:szCs w:val="24"/>
        </w:rPr>
        <w:t xml:space="preserve"> aduciendo la inexistencia de consulta previa</w:t>
      </w:r>
      <w:r w:rsidR="00E11914" w:rsidRPr="0054131B">
        <w:rPr>
          <w:rFonts w:ascii="Times New Roman" w:hAnsi="Times New Roman"/>
          <w:sz w:val="24"/>
          <w:szCs w:val="24"/>
        </w:rPr>
        <w:t>.</w:t>
      </w:r>
      <w:r w:rsidR="00F34789" w:rsidRPr="0054131B">
        <w:rPr>
          <w:rFonts w:ascii="Times New Roman" w:hAnsi="Times New Roman"/>
          <w:sz w:val="24"/>
          <w:szCs w:val="24"/>
        </w:rPr>
        <w:t xml:space="preserve"> </w:t>
      </w:r>
      <w:r w:rsidR="00F147A7" w:rsidRPr="0054131B">
        <w:rPr>
          <w:rFonts w:ascii="Times New Roman" w:hAnsi="Times New Roman"/>
          <w:sz w:val="24"/>
          <w:szCs w:val="24"/>
        </w:rPr>
        <w:t xml:space="preserve">Por esta razón, </w:t>
      </w:r>
      <w:r w:rsidR="00305CFE" w:rsidRPr="0054131B">
        <w:rPr>
          <w:rFonts w:ascii="Times New Roman" w:hAnsi="Times New Roman"/>
          <w:sz w:val="24"/>
          <w:szCs w:val="24"/>
        </w:rPr>
        <w:t xml:space="preserve">en Madruga, </w:t>
      </w:r>
      <w:r w:rsidR="00F147A7" w:rsidRPr="0054131B">
        <w:rPr>
          <w:rFonts w:ascii="Times New Roman" w:hAnsi="Times New Roman"/>
          <w:sz w:val="24"/>
          <w:szCs w:val="24"/>
        </w:rPr>
        <w:t>se interpuso una acción de amparo solicitando la realización de una consulta previ</w:t>
      </w:r>
      <w:r w:rsidR="00305CFE" w:rsidRPr="0054131B">
        <w:rPr>
          <w:rFonts w:ascii="Times New Roman" w:hAnsi="Times New Roman"/>
          <w:sz w:val="24"/>
          <w:szCs w:val="24"/>
        </w:rPr>
        <w:t>a; mientras que en Santa Clara,</w:t>
      </w:r>
      <w:r w:rsidR="00F147A7" w:rsidRPr="0054131B">
        <w:rPr>
          <w:rFonts w:ascii="Times New Roman" w:hAnsi="Times New Roman"/>
          <w:sz w:val="24"/>
          <w:szCs w:val="24"/>
        </w:rPr>
        <w:t xml:space="preserve"> una a</w:t>
      </w:r>
      <w:r w:rsidR="00305CFE" w:rsidRPr="0054131B">
        <w:rPr>
          <w:rFonts w:ascii="Times New Roman" w:hAnsi="Times New Roman"/>
          <w:sz w:val="24"/>
          <w:szCs w:val="24"/>
        </w:rPr>
        <w:t xml:space="preserve">cción de nulidad contra la </w:t>
      </w:r>
      <w:r w:rsidR="00F147A7" w:rsidRPr="0054131B">
        <w:rPr>
          <w:rFonts w:ascii="Times New Roman" w:hAnsi="Times New Roman"/>
          <w:sz w:val="24"/>
          <w:szCs w:val="24"/>
        </w:rPr>
        <w:t>licencia de Si</w:t>
      </w:r>
      <w:r w:rsidR="00305CFE" w:rsidRPr="0054131B">
        <w:rPr>
          <w:rFonts w:ascii="Times New Roman" w:hAnsi="Times New Roman"/>
          <w:sz w:val="24"/>
          <w:szCs w:val="24"/>
        </w:rPr>
        <w:t>lverfield, ambas acciones fueron desestimadas</w:t>
      </w:r>
      <w:r w:rsidR="00F147A7" w:rsidRPr="0054131B">
        <w:rPr>
          <w:rFonts w:ascii="Times New Roman" w:hAnsi="Times New Roman"/>
          <w:sz w:val="24"/>
          <w:szCs w:val="24"/>
        </w:rPr>
        <w:t>.</w:t>
      </w:r>
      <w:r w:rsidR="00B70109" w:rsidRPr="0054131B">
        <w:rPr>
          <w:rFonts w:ascii="Times New Roman" w:hAnsi="Times New Roman"/>
          <w:sz w:val="24"/>
          <w:szCs w:val="24"/>
        </w:rPr>
        <w:t xml:space="preserve"> </w:t>
      </w:r>
    </w:p>
    <w:p w:rsidR="00B70109" w:rsidRPr="0054131B" w:rsidRDefault="00B24983" w:rsidP="003B1275">
      <w:pPr>
        <w:pStyle w:val="Heading2"/>
        <w:spacing w:before="0" w:line="480" w:lineRule="auto"/>
        <w:rPr>
          <w:rFonts w:ascii="Times New Roman" w:hAnsi="Times New Roman" w:cs="Times New Roman"/>
          <w:b/>
          <w:color w:val="auto"/>
          <w:sz w:val="24"/>
          <w:szCs w:val="24"/>
        </w:rPr>
      </w:pPr>
      <w:bookmarkStart w:id="30" w:name="_Toc446776774"/>
      <w:r w:rsidRPr="0054131B">
        <w:rPr>
          <w:rFonts w:ascii="Times New Roman" w:hAnsi="Times New Roman" w:cs="Times New Roman"/>
          <w:b/>
          <w:color w:val="auto"/>
          <w:sz w:val="24"/>
          <w:szCs w:val="24"/>
        </w:rPr>
        <w:t>E</w:t>
      </w:r>
      <w:r w:rsidR="00B70109" w:rsidRPr="0054131B">
        <w:rPr>
          <w:rFonts w:ascii="Times New Roman" w:hAnsi="Times New Roman" w:cs="Times New Roman"/>
          <w:b/>
          <w:color w:val="auto"/>
          <w:sz w:val="24"/>
          <w:szCs w:val="24"/>
        </w:rPr>
        <w:t>. Trámite ante el SIDH</w:t>
      </w:r>
      <w:bookmarkEnd w:id="30"/>
    </w:p>
    <w:p w:rsidR="00B70109" w:rsidRPr="0054131B" w:rsidRDefault="0003667A" w:rsidP="003B1275">
      <w:pPr>
        <w:keepNext/>
        <w:widowControl w:val="0"/>
        <w:spacing w:after="0" w:line="480" w:lineRule="auto"/>
        <w:jc w:val="both"/>
        <w:rPr>
          <w:rFonts w:ascii="Times New Roman" w:hAnsi="Times New Roman"/>
          <w:sz w:val="24"/>
          <w:szCs w:val="24"/>
        </w:rPr>
      </w:pPr>
      <w:r w:rsidRPr="0054131B">
        <w:rPr>
          <w:rFonts w:ascii="Times New Roman" w:hAnsi="Times New Roman"/>
          <w:sz w:val="24"/>
          <w:szCs w:val="24"/>
        </w:rPr>
        <w:t>9</w:t>
      </w:r>
      <w:r w:rsidR="00B70109" w:rsidRPr="0054131B">
        <w:rPr>
          <w:rFonts w:ascii="Times New Roman" w:hAnsi="Times New Roman"/>
          <w:sz w:val="24"/>
          <w:szCs w:val="24"/>
        </w:rPr>
        <w:t xml:space="preserve">. </w:t>
      </w:r>
      <w:r w:rsidR="008512FB" w:rsidRPr="0054131B">
        <w:rPr>
          <w:rFonts w:ascii="Times New Roman" w:hAnsi="Times New Roman"/>
          <w:sz w:val="24"/>
          <w:szCs w:val="24"/>
        </w:rPr>
        <w:t>Esta representación presentó</w:t>
      </w:r>
      <w:r w:rsidR="00B70109" w:rsidRPr="0054131B">
        <w:rPr>
          <w:rFonts w:ascii="Times New Roman" w:hAnsi="Times New Roman"/>
          <w:sz w:val="24"/>
          <w:szCs w:val="24"/>
        </w:rPr>
        <w:t xml:space="preserve"> una petición ante la CIDH; quien concluyó que Santa Clara violó los derechos consagrados en los arts. 4, 5, 8, 16, 17, 25 de la CADH en</w:t>
      </w:r>
      <w:r w:rsidR="008266B6" w:rsidRPr="0054131B">
        <w:rPr>
          <w:rFonts w:ascii="Times New Roman" w:hAnsi="Times New Roman"/>
          <w:sz w:val="24"/>
          <w:szCs w:val="24"/>
        </w:rPr>
        <w:t xml:space="preserve"> perjuicio de la familia Camana;</w:t>
      </w:r>
      <w:r w:rsidR="00B70109" w:rsidRPr="0054131B">
        <w:rPr>
          <w:rFonts w:ascii="Times New Roman" w:hAnsi="Times New Roman"/>
          <w:sz w:val="24"/>
          <w:szCs w:val="24"/>
        </w:rPr>
        <w:t xml:space="preserve"> los arts. 5, 8, 21, 25 y 26 en perjuicio del Pueblo Pichicha y los arts. 8 y 25 </w:t>
      </w:r>
      <w:r w:rsidR="008266B6" w:rsidRPr="0054131B">
        <w:rPr>
          <w:rFonts w:ascii="Times New Roman" w:hAnsi="Times New Roman"/>
          <w:sz w:val="24"/>
          <w:szCs w:val="24"/>
        </w:rPr>
        <w:t>en perjuicio del Pueblo Orífuna; consecuentemente emitió diversas recomendacione</w:t>
      </w:r>
      <w:r w:rsidRPr="0054131B">
        <w:rPr>
          <w:rFonts w:ascii="Times New Roman" w:hAnsi="Times New Roman"/>
          <w:sz w:val="24"/>
          <w:szCs w:val="24"/>
        </w:rPr>
        <w:t>s que no fueron acatadas por</w:t>
      </w:r>
      <w:r w:rsidR="008266B6" w:rsidRPr="0054131B">
        <w:rPr>
          <w:rFonts w:ascii="Times New Roman" w:hAnsi="Times New Roman"/>
          <w:sz w:val="24"/>
          <w:szCs w:val="24"/>
        </w:rPr>
        <w:t xml:space="preserve"> Santa Clara, por lo que l</w:t>
      </w:r>
      <w:r w:rsidR="00B70109" w:rsidRPr="0054131B">
        <w:rPr>
          <w:rFonts w:ascii="Times New Roman" w:hAnsi="Times New Roman"/>
          <w:sz w:val="24"/>
          <w:szCs w:val="24"/>
        </w:rPr>
        <w:t>a CIDH</w:t>
      </w:r>
      <w:r w:rsidR="008266B6" w:rsidRPr="0054131B">
        <w:rPr>
          <w:rFonts w:ascii="Times New Roman" w:hAnsi="Times New Roman"/>
          <w:sz w:val="24"/>
          <w:szCs w:val="24"/>
        </w:rPr>
        <w:t xml:space="preserve"> </w:t>
      </w:r>
      <w:r w:rsidR="00B70109" w:rsidRPr="0054131B">
        <w:rPr>
          <w:rFonts w:ascii="Times New Roman" w:hAnsi="Times New Roman"/>
          <w:sz w:val="24"/>
          <w:szCs w:val="24"/>
        </w:rPr>
        <w:t>sometió el caso ante la Corte IDH.</w:t>
      </w:r>
    </w:p>
    <w:p w:rsidR="001F3762" w:rsidRPr="0054131B" w:rsidRDefault="007D593F" w:rsidP="003B1275">
      <w:pPr>
        <w:pStyle w:val="NoSpacing"/>
        <w:spacing w:line="480" w:lineRule="auto"/>
        <w:jc w:val="both"/>
        <w:outlineLvl w:val="0"/>
        <w:rPr>
          <w:rFonts w:ascii="Times New Roman" w:hAnsi="Times New Roman"/>
          <w:b/>
          <w:sz w:val="24"/>
          <w:szCs w:val="24"/>
        </w:rPr>
      </w:pPr>
      <w:bookmarkStart w:id="31" w:name="_Toc446776775"/>
      <w:bookmarkEnd w:id="0"/>
      <w:r w:rsidRPr="0054131B">
        <w:rPr>
          <w:rFonts w:ascii="Times New Roman" w:hAnsi="Times New Roman"/>
          <w:b/>
          <w:sz w:val="24"/>
          <w:szCs w:val="24"/>
        </w:rPr>
        <w:t>V</w:t>
      </w:r>
      <w:r w:rsidR="002E2709">
        <w:rPr>
          <w:rFonts w:ascii="Times New Roman" w:hAnsi="Times New Roman"/>
          <w:b/>
          <w:sz w:val="24"/>
          <w:szCs w:val="24"/>
        </w:rPr>
        <w:t>.</w:t>
      </w:r>
      <w:r w:rsidRPr="0054131B">
        <w:rPr>
          <w:rFonts w:ascii="Times New Roman" w:hAnsi="Times New Roman"/>
          <w:b/>
          <w:sz w:val="24"/>
          <w:szCs w:val="24"/>
        </w:rPr>
        <w:t>- ANÁLISIS LEGAL DEL CASO</w:t>
      </w:r>
      <w:bookmarkEnd w:id="31"/>
    </w:p>
    <w:p w:rsidR="005E6246" w:rsidRPr="0054131B" w:rsidRDefault="00B24983" w:rsidP="003B1275">
      <w:pPr>
        <w:pStyle w:val="NoSpacing"/>
        <w:spacing w:line="480" w:lineRule="auto"/>
        <w:jc w:val="both"/>
        <w:outlineLvl w:val="1"/>
        <w:rPr>
          <w:rFonts w:ascii="Times New Roman" w:hAnsi="Times New Roman"/>
          <w:b/>
          <w:sz w:val="24"/>
          <w:szCs w:val="24"/>
        </w:rPr>
      </w:pPr>
      <w:bookmarkStart w:id="32" w:name="_Toc446776776"/>
      <w:r w:rsidRPr="0054131B">
        <w:rPr>
          <w:rFonts w:ascii="Times New Roman" w:hAnsi="Times New Roman"/>
          <w:b/>
          <w:sz w:val="24"/>
          <w:szCs w:val="24"/>
        </w:rPr>
        <w:t>A</w:t>
      </w:r>
      <w:r w:rsidR="00322AAA" w:rsidRPr="0054131B">
        <w:rPr>
          <w:rFonts w:ascii="Times New Roman" w:hAnsi="Times New Roman"/>
          <w:b/>
          <w:sz w:val="24"/>
          <w:szCs w:val="24"/>
        </w:rPr>
        <w:t>. A</w:t>
      </w:r>
      <w:r w:rsidR="001F3762" w:rsidRPr="0054131B">
        <w:rPr>
          <w:rFonts w:ascii="Times New Roman" w:hAnsi="Times New Roman"/>
          <w:b/>
          <w:sz w:val="24"/>
          <w:szCs w:val="24"/>
        </w:rPr>
        <w:t xml:space="preserve">spectos </w:t>
      </w:r>
      <w:r w:rsidR="00B209BF" w:rsidRPr="0054131B">
        <w:rPr>
          <w:rFonts w:ascii="Times New Roman" w:hAnsi="Times New Roman"/>
          <w:b/>
          <w:sz w:val="24"/>
          <w:szCs w:val="24"/>
        </w:rPr>
        <w:t xml:space="preserve">de </w:t>
      </w:r>
      <w:r w:rsidR="001F3762" w:rsidRPr="0054131B">
        <w:rPr>
          <w:rFonts w:ascii="Times New Roman" w:hAnsi="Times New Roman"/>
          <w:b/>
          <w:sz w:val="24"/>
          <w:szCs w:val="24"/>
        </w:rPr>
        <w:t>admisibilidad</w:t>
      </w:r>
      <w:bookmarkEnd w:id="32"/>
    </w:p>
    <w:p w:rsidR="00AF2B8C" w:rsidRPr="0054131B" w:rsidRDefault="0003667A" w:rsidP="003B1275">
      <w:pPr>
        <w:pStyle w:val="NoSpacing"/>
        <w:spacing w:line="480" w:lineRule="auto"/>
        <w:jc w:val="both"/>
        <w:rPr>
          <w:rFonts w:ascii="Times New Roman" w:hAnsi="Times New Roman"/>
          <w:sz w:val="24"/>
          <w:szCs w:val="24"/>
          <w:lang w:val="es-ES"/>
        </w:rPr>
      </w:pPr>
      <w:r w:rsidRPr="0054131B">
        <w:rPr>
          <w:rFonts w:ascii="Times New Roman" w:hAnsi="Times New Roman"/>
          <w:sz w:val="24"/>
          <w:szCs w:val="24"/>
          <w:lang w:val="es-ES"/>
        </w:rPr>
        <w:t>10</w:t>
      </w:r>
      <w:r w:rsidR="00322AAA" w:rsidRPr="0054131B">
        <w:rPr>
          <w:rFonts w:ascii="Times New Roman" w:hAnsi="Times New Roman"/>
          <w:sz w:val="24"/>
          <w:szCs w:val="24"/>
          <w:lang w:val="es-ES"/>
        </w:rPr>
        <w:t xml:space="preserve">. </w:t>
      </w:r>
      <w:r w:rsidR="005E6246" w:rsidRPr="0054131B">
        <w:rPr>
          <w:rFonts w:ascii="Times New Roman" w:hAnsi="Times New Roman"/>
          <w:sz w:val="24"/>
          <w:szCs w:val="24"/>
          <w:lang w:val="es-ES"/>
        </w:rPr>
        <w:t xml:space="preserve">Este Tribunal tiene competencia </w:t>
      </w:r>
      <w:r w:rsidR="00986D5A" w:rsidRPr="0054131B">
        <w:rPr>
          <w:rFonts w:ascii="Times New Roman" w:hAnsi="Times New Roman"/>
          <w:sz w:val="24"/>
          <w:szCs w:val="24"/>
          <w:lang w:val="es-ES"/>
        </w:rPr>
        <w:t>para conocer el presente caso</w:t>
      </w:r>
      <w:r w:rsidR="005B2A34" w:rsidRPr="0054131B">
        <w:rPr>
          <w:rFonts w:ascii="Times New Roman" w:hAnsi="Times New Roman"/>
          <w:sz w:val="24"/>
          <w:szCs w:val="24"/>
          <w:lang w:val="es-ES"/>
        </w:rPr>
        <w:t>;</w:t>
      </w:r>
      <w:r w:rsidR="00F10863" w:rsidRPr="0054131B">
        <w:rPr>
          <w:rFonts w:ascii="Times New Roman" w:hAnsi="Times New Roman"/>
          <w:sz w:val="24"/>
          <w:szCs w:val="24"/>
          <w:lang w:val="es-ES"/>
        </w:rPr>
        <w:t xml:space="preserve"> por razón de tiempo,</w:t>
      </w:r>
      <w:r w:rsidR="005E6246" w:rsidRPr="0054131B">
        <w:rPr>
          <w:rFonts w:ascii="Times New Roman" w:hAnsi="Times New Roman"/>
          <w:sz w:val="24"/>
          <w:szCs w:val="24"/>
          <w:lang w:val="es-ES"/>
        </w:rPr>
        <w:t xml:space="preserve"> ya que los hech</w:t>
      </w:r>
      <w:r w:rsidR="0038752A" w:rsidRPr="0054131B">
        <w:rPr>
          <w:rFonts w:ascii="Times New Roman" w:hAnsi="Times New Roman"/>
          <w:sz w:val="24"/>
          <w:szCs w:val="24"/>
          <w:lang w:val="es-ES"/>
        </w:rPr>
        <w:t>os se suscitaron</w:t>
      </w:r>
      <w:r w:rsidR="005E6246" w:rsidRPr="0054131B">
        <w:rPr>
          <w:rFonts w:ascii="Times New Roman" w:hAnsi="Times New Roman"/>
          <w:sz w:val="24"/>
          <w:szCs w:val="24"/>
          <w:lang w:val="es-ES"/>
        </w:rPr>
        <w:t xml:space="preserve"> después </w:t>
      </w:r>
      <w:r w:rsidR="00B73789" w:rsidRPr="0054131B">
        <w:rPr>
          <w:rFonts w:ascii="Times New Roman" w:hAnsi="Times New Roman"/>
          <w:sz w:val="24"/>
          <w:szCs w:val="24"/>
          <w:lang w:val="es-ES"/>
        </w:rPr>
        <w:t xml:space="preserve">de 1980, año en que </w:t>
      </w:r>
      <w:r w:rsidR="005E6246" w:rsidRPr="0054131B">
        <w:rPr>
          <w:rFonts w:ascii="Times New Roman" w:hAnsi="Times New Roman"/>
          <w:sz w:val="24"/>
          <w:szCs w:val="24"/>
          <w:lang w:val="es-ES"/>
        </w:rPr>
        <w:t xml:space="preserve">Santa Clara </w:t>
      </w:r>
      <w:r w:rsidR="0038752A" w:rsidRPr="0054131B">
        <w:rPr>
          <w:rFonts w:ascii="Times New Roman" w:hAnsi="Times New Roman"/>
          <w:sz w:val="24"/>
          <w:szCs w:val="24"/>
          <w:lang w:val="es-ES"/>
        </w:rPr>
        <w:t>reconoció</w:t>
      </w:r>
      <w:r w:rsidR="005E6246" w:rsidRPr="0054131B">
        <w:rPr>
          <w:rFonts w:ascii="Times New Roman" w:hAnsi="Times New Roman"/>
          <w:sz w:val="24"/>
          <w:szCs w:val="24"/>
          <w:lang w:val="es-ES"/>
        </w:rPr>
        <w:t xml:space="preserve"> la competen</w:t>
      </w:r>
      <w:r w:rsidR="00B73789" w:rsidRPr="0054131B">
        <w:rPr>
          <w:rFonts w:ascii="Times New Roman" w:hAnsi="Times New Roman"/>
          <w:sz w:val="24"/>
          <w:szCs w:val="24"/>
          <w:lang w:val="es-ES"/>
        </w:rPr>
        <w:t>cia contenciosa de</w:t>
      </w:r>
      <w:r w:rsidR="00AF2B8C" w:rsidRPr="0054131B">
        <w:rPr>
          <w:rFonts w:ascii="Times New Roman" w:hAnsi="Times New Roman"/>
          <w:sz w:val="24"/>
          <w:szCs w:val="24"/>
          <w:lang w:val="es-ES"/>
        </w:rPr>
        <w:t xml:space="preserve"> la Corte IDH</w:t>
      </w:r>
      <w:r w:rsidR="008512FB" w:rsidRPr="0054131B">
        <w:rPr>
          <w:rFonts w:ascii="Times New Roman" w:hAnsi="Times New Roman"/>
          <w:sz w:val="24"/>
          <w:szCs w:val="24"/>
          <w:lang w:val="es-ES"/>
        </w:rPr>
        <w:t>; p</w:t>
      </w:r>
      <w:r w:rsidR="005E6246" w:rsidRPr="0054131B">
        <w:rPr>
          <w:rFonts w:ascii="Times New Roman" w:hAnsi="Times New Roman"/>
          <w:sz w:val="24"/>
          <w:szCs w:val="24"/>
          <w:lang w:val="es-ES"/>
        </w:rPr>
        <w:t xml:space="preserve">or razón de materia, ya que se han violado </w:t>
      </w:r>
      <w:r w:rsidR="00363EAA" w:rsidRPr="0054131B">
        <w:rPr>
          <w:rFonts w:ascii="Times New Roman" w:hAnsi="Times New Roman"/>
          <w:sz w:val="24"/>
          <w:szCs w:val="24"/>
          <w:lang w:val="es-ES"/>
        </w:rPr>
        <w:t>DDHH</w:t>
      </w:r>
      <w:r w:rsidR="00F10863" w:rsidRPr="0054131B">
        <w:rPr>
          <w:rFonts w:ascii="Times New Roman" w:hAnsi="Times New Roman"/>
          <w:sz w:val="24"/>
          <w:szCs w:val="24"/>
          <w:lang w:val="es-ES"/>
        </w:rPr>
        <w:t xml:space="preserve"> </w:t>
      </w:r>
      <w:r w:rsidR="005E6246" w:rsidRPr="0054131B">
        <w:rPr>
          <w:rFonts w:ascii="Times New Roman" w:hAnsi="Times New Roman"/>
          <w:sz w:val="24"/>
          <w:szCs w:val="24"/>
          <w:lang w:val="es-ES"/>
        </w:rPr>
        <w:t xml:space="preserve">y </w:t>
      </w:r>
      <w:r w:rsidR="00B73789" w:rsidRPr="0054131B">
        <w:rPr>
          <w:rFonts w:ascii="Times New Roman" w:hAnsi="Times New Roman"/>
          <w:sz w:val="24"/>
          <w:szCs w:val="24"/>
          <w:lang w:val="es-ES"/>
        </w:rPr>
        <w:t>ga</w:t>
      </w:r>
      <w:r w:rsidR="008512FB" w:rsidRPr="0054131B">
        <w:rPr>
          <w:rFonts w:ascii="Times New Roman" w:hAnsi="Times New Roman"/>
          <w:sz w:val="24"/>
          <w:szCs w:val="24"/>
          <w:lang w:val="es-ES"/>
        </w:rPr>
        <w:t>rantías contenidas en la CADH; p</w:t>
      </w:r>
      <w:r w:rsidR="005E6246" w:rsidRPr="0054131B">
        <w:rPr>
          <w:rFonts w:ascii="Times New Roman" w:hAnsi="Times New Roman"/>
          <w:sz w:val="24"/>
          <w:szCs w:val="24"/>
          <w:lang w:val="es-ES"/>
        </w:rPr>
        <w:t>or razón de pe</w:t>
      </w:r>
      <w:r w:rsidR="00B73789" w:rsidRPr="0054131B">
        <w:rPr>
          <w:rFonts w:ascii="Times New Roman" w:hAnsi="Times New Roman"/>
          <w:sz w:val="24"/>
          <w:szCs w:val="24"/>
          <w:lang w:val="es-ES"/>
        </w:rPr>
        <w:t>rsona</w:t>
      </w:r>
      <w:r w:rsidR="00F10863" w:rsidRPr="0054131B">
        <w:rPr>
          <w:rFonts w:ascii="Times New Roman" w:hAnsi="Times New Roman"/>
          <w:sz w:val="24"/>
          <w:szCs w:val="24"/>
          <w:lang w:val="es-ES"/>
        </w:rPr>
        <w:t>,</w:t>
      </w:r>
      <w:r w:rsidR="0038752A" w:rsidRPr="0054131B">
        <w:rPr>
          <w:rFonts w:ascii="Times New Roman" w:hAnsi="Times New Roman"/>
          <w:sz w:val="24"/>
          <w:szCs w:val="24"/>
          <w:lang w:val="es-ES"/>
        </w:rPr>
        <w:t xml:space="preserve"> debido a que las víctimas son</w:t>
      </w:r>
      <w:r w:rsidR="00F10863" w:rsidRPr="0054131B">
        <w:rPr>
          <w:rFonts w:ascii="Times New Roman" w:hAnsi="Times New Roman"/>
          <w:sz w:val="24"/>
          <w:szCs w:val="24"/>
          <w:lang w:val="es-ES"/>
        </w:rPr>
        <w:t xml:space="preserve"> </w:t>
      </w:r>
      <w:r w:rsidR="0038752A" w:rsidRPr="0054131B">
        <w:rPr>
          <w:rFonts w:ascii="Times New Roman" w:hAnsi="Times New Roman"/>
          <w:sz w:val="24"/>
          <w:szCs w:val="24"/>
          <w:lang w:val="es-ES"/>
        </w:rPr>
        <w:t>personas naturales y pueblos indígenas (quienes han sido reconocidos como sujetos colectivos del Derecho Internacional</w:t>
      </w:r>
      <w:r w:rsidR="0038752A" w:rsidRPr="0054131B">
        <w:rPr>
          <w:rStyle w:val="FootnoteReference"/>
          <w:rFonts w:ascii="Times New Roman" w:hAnsi="Times New Roman"/>
          <w:sz w:val="24"/>
          <w:szCs w:val="24"/>
          <w:lang w:val="es-ES"/>
        </w:rPr>
        <w:footnoteReference w:id="1"/>
      </w:r>
      <w:r w:rsidR="0038752A" w:rsidRPr="0054131B">
        <w:rPr>
          <w:rFonts w:ascii="Times New Roman" w:hAnsi="Times New Roman"/>
          <w:sz w:val="24"/>
          <w:szCs w:val="24"/>
          <w:lang w:val="es-ES"/>
        </w:rPr>
        <w:t>)</w:t>
      </w:r>
      <w:r w:rsidR="008512FB" w:rsidRPr="0054131B">
        <w:rPr>
          <w:rFonts w:ascii="Times New Roman" w:hAnsi="Times New Roman"/>
          <w:sz w:val="24"/>
          <w:szCs w:val="24"/>
          <w:lang w:val="es-ES"/>
        </w:rPr>
        <w:t>; y</w:t>
      </w:r>
      <w:r w:rsidR="008868AB" w:rsidRPr="0054131B">
        <w:rPr>
          <w:rFonts w:ascii="Times New Roman" w:hAnsi="Times New Roman"/>
          <w:sz w:val="24"/>
          <w:szCs w:val="24"/>
          <w:lang w:val="es-ES"/>
        </w:rPr>
        <w:t xml:space="preserve"> </w:t>
      </w:r>
      <w:r w:rsidR="005E6246" w:rsidRPr="0054131B">
        <w:rPr>
          <w:rFonts w:ascii="Times New Roman" w:hAnsi="Times New Roman"/>
          <w:sz w:val="24"/>
          <w:szCs w:val="24"/>
          <w:lang w:val="es-ES"/>
        </w:rPr>
        <w:t>por razón de lugar, como se demostrará posteriormente</w:t>
      </w:r>
      <w:r w:rsidR="00AF2B8C" w:rsidRPr="0054131B">
        <w:rPr>
          <w:rFonts w:ascii="Times New Roman" w:hAnsi="Times New Roman"/>
          <w:sz w:val="24"/>
          <w:szCs w:val="24"/>
        </w:rPr>
        <w:t>.</w:t>
      </w:r>
      <w:r w:rsidR="00F10863" w:rsidRPr="0054131B">
        <w:rPr>
          <w:rFonts w:ascii="Times New Roman" w:hAnsi="Times New Roman"/>
          <w:sz w:val="24"/>
          <w:szCs w:val="24"/>
        </w:rPr>
        <w:t xml:space="preserve"> Asi</w:t>
      </w:r>
      <w:r w:rsidR="005B2A34" w:rsidRPr="0054131B">
        <w:rPr>
          <w:rFonts w:ascii="Times New Roman" w:hAnsi="Times New Roman"/>
          <w:sz w:val="24"/>
          <w:szCs w:val="24"/>
        </w:rPr>
        <w:t>mismo, las peticiones son admis</w:t>
      </w:r>
      <w:r w:rsidR="00F10863" w:rsidRPr="0054131B">
        <w:rPr>
          <w:rFonts w:ascii="Times New Roman" w:hAnsi="Times New Roman"/>
          <w:sz w:val="24"/>
          <w:szCs w:val="24"/>
        </w:rPr>
        <w:t>ibles ya que:</w:t>
      </w:r>
      <w:r w:rsidR="005B2A34" w:rsidRPr="0054131B">
        <w:rPr>
          <w:rFonts w:ascii="Times New Roman" w:hAnsi="Times New Roman"/>
          <w:sz w:val="24"/>
          <w:szCs w:val="24"/>
        </w:rPr>
        <w:t xml:space="preserve"> (i) fueron presentadas dentro del término convencional,  (ii) se agotaron todos los recursos idóneos en sede interna,  (iii) no existe duplicidad de procedimientos internacionales y (iv) cumplieron con los de</w:t>
      </w:r>
      <w:r w:rsidR="00F10863" w:rsidRPr="0054131B">
        <w:rPr>
          <w:rFonts w:ascii="Times New Roman" w:hAnsi="Times New Roman"/>
          <w:sz w:val="24"/>
          <w:szCs w:val="24"/>
        </w:rPr>
        <w:t>más requisitos señalados en el a</w:t>
      </w:r>
      <w:r w:rsidR="005B2A34" w:rsidRPr="0054131B">
        <w:rPr>
          <w:rFonts w:ascii="Times New Roman" w:hAnsi="Times New Roman"/>
          <w:sz w:val="24"/>
          <w:szCs w:val="24"/>
        </w:rPr>
        <w:t>rt</w:t>
      </w:r>
      <w:r w:rsidR="00F10863" w:rsidRPr="0054131B">
        <w:rPr>
          <w:rFonts w:ascii="Times New Roman" w:hAnsi="Times New Roman"/>
          <w:sz w:val="24"/>
          <w:szCs w:val="24"/>
        </w:rPr>
        <w:t>.</w:t>
      </w:r>
      <w:r w:rsidR="005B2A34" w:rsidRPr="0054131B">
        <w:rPr>
          <w:rFonts w:ascii="Times New Roman" w:hAnsi="Times New Roman"/>
          <w:sz w:val="24"/>
          <w:szCs w:val="24"/>
        </w:rPr>
        <w:t xml:space="preserve"> 46 de la CADH. En caso Santa Clara proponga una nueva excepción preliminar opera el principio de </w:t>
      </w:r>
      <w:r w:rsidR="005B2A34" w:rsidRPr="0054131B">
        <w:rPr>
          <w:rFonts w:ascii="Times New Roman" w:hAnsi="Times New Roman"/>
          <w:i/>
          <w:sz w:val="24"/>
          <w:szCs w:val="24"/>
        </w:rPr>
        <w:t>estoppel.</w:t>
      </w:r>
    </w:p>
    <w:p w:rsidR="005E6246"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lastRenderedPageBreak/>
        <w:t>11</w:t>
      </w:r>
      <w:r w:rsidR="00986D5A" w:rsidRPr="0054131B">
        <w:rPr>
          <w:rFonts w:ascii="Times New Roman" w:hAnsi="Times New Roman"/>
          <w:sz w:val="24"/>
          <w:szCs w:val="24"/>
        </w:rPr>
        <w:t xml:space="preserve">. </w:t>
      </w:r>
      <w:r w:rsidR="00926506" w:rsidRPr="0054131B">
        <w:rPr>
          <w:rFonts w:ascii="Times New Roman" w:hAnsi="Times New Roman"/>
          <w:sz w:val="24"/>
          <w:szCs w:val="24"/>
        </w:rPr>
        <w:t>Por otro lado</w:t>
      </w:r>
      <w:r w:rsidR="00637B90" w:rsidRPr="0054131B">
        <w:rPr>
          <w:rFonts w:ascii="Times New Roman" w:hAnsi="Times New Roman"/>
          <w:sz w:val="24"/>
          <w:szCs w:val="24"/>
        </w:rPr>
        <w:t xml:space="preserve">, las violaciones de la CADH </w:t>
      </w:r>
      <w:r w:rsidR="00926506" w:rsidRPr="0054131B">
        <w:rPr>
          <w:rFonts w:ascii="Times New Roman" w:hAnsi="Times New Roman"/>
          <w:sz w:val="24"/>
          <w:szCs w:val="24"/>
        </w:rPr>
        <w:t>han obedecido</w:t>
      </w:r>
      <w:r w:rsidR="00637B90" w:rsidRPr="0054131B">
        <w:rPr>
          <w:rFonts w:ascii="Times New Roman" w:hAnsi="Times New Roman"/>
          <w:sz w:val="24"/>
          <w:szCs w:val="24"/>
        </w:rPr>
        <w:t xml:space="preserve"> a un solo pa</w:t>
      </w:r>
      <w:r w:rsidR="00991E8D" w:rsidRPr="0054131B">
        <w:rPr>
          <w:rFonts w:ascii="Times New Roman" w:hAnsi="Times New Roman"/>
          <w:sz w:val="24"/>
          <w:szCs w:val="24"/>
        </w:rPr>
        <w:t>trón de conducta de Santa Clara,</w:t>
      </w:r>
      <w:r w:rsidR="00637B90" w:rsidRPr="0054131B">
        <w:rPr>
          <w:rFonts w:ascii="Times New Roman" w:hAnsi="Times New Roman"/>
          <w:sz w:val="24"/>
          <w:szCs w:val="24"/>
        </w:rPr>
        <w:t xml:space="preserve"> el o</w:t>
      </w:r>
      <w:r w:rsidR="00926506" w:rsidRPr="0054131B">
        <w:rPr>
          <w:rFonts w:ascii="Times New Roman" w:hAnsi="Times New Roman"/>
          <w:sz w:val="24"/>
          <w:szCs w:val="24"/>
        </w:rPr>
        <w:t>bsesivo favorecimiento</w:t>
      </w:r>
      <w:r w:rsidR="00637B90" w:rsidRPr="0054131B">
        <w:rPr>
          <w:rFonts w:ascii="Times New Roman" w:hAnsi="Times New Roman"/>
          <w:sz w:val="24"/>
          <w:szCs w:val="24"/>
        </w:rPr>
        <w:t xml:space="preserve"> a las empresas mineras transnacionales</w:t>
      </w:r>
      <w:r w:rsidR="0073557C" w:rsidRPr="0054131B">
        <w:rPr>
          <w:rFonts w:ascii="Times New Roman" w:hAnsi="Times New Roman"/>
          <w:sz w:val="24"/>
          <w:szCs w:val="24"/>
        </w:rPr>
        <w:t>. Por tanto,</w:t>
      </w:r>
      <w:r w:rsidR="00B835A5" w:rsidRPr="0054131B">
        <w:rPr>
          <w:rFonts w:ascii="Times New Roman" w:hAnsi="Times New Roman"/>
          <w:sz w:val="24"/>
          <w:szCs w:val="24"/>
        </w:rPr>
        <w:t xml:space="preserve"> al amparo del artículo 29.5 del nuevo reglamento de la CIDH</w:t>
      </w:r>
      <w:r w:rsidR="00B835A5" w:rsidRPr="0054131B">
        <w:rPr>
          <w:rStyle w:val="FootnoteReference"/>
          <w:rFonts w:ascii="Times New Roman" w:hAnsi="Times New Roman"/>
          <w:sz w:val="24"/>
          <w:szCs w:val="24"/>
        </w:rPr>
        <w:footnoteReference w:id="2"/>
      </w:r>
      <w:r w:rsidR="00B835A5" w:rsidRPr="0054131B">
        <w:rPr>
          <w:rFonts w:ascii="Times New Roman" w:hAnsi="Times New Roman"/>
          <w:sz w:val="24"/>
          <w:szCs w:val="24"/>
        </w:rPr>
        <w:t xml:space="preserve"> (referente a acumulación subjetiva), </w:t>
      </w:r>
      <w:r w:rsidR="002315F2" w:rsidRPr="0054131B">
        <w:rPr>
          <w:rFonts w:ascii="Times New Roman" w:hAnsi="Times New Roman"/>
          <w:sz w:val="24"/>
          <w:szCs w:val="24"/>
        </w:rPr>
        <w:t>corresponde incluir, en calidad de víctimas, a todos los integrantes de familia la Camana Osorio, al Pueblo Pichicha y al Pueblo Orífuna, en tanto los alegatos que se formulen estén referidos</w:t>
      </w:r>
      <w:r w:rsidR="00B835A5" w:rsidRPr="0054131B">
        <w:rPr>
          <w:rFonts w:ascii="Times New Roman" w:hAnsi="Times New Roman"/>
          <w:sz w:val="24"/>
          <w:szCs w:val="24"/>
        </w:rPr>
        <w:t xml:space="preserve"> a los efectos nocivos de la política económica de Santa </w:t>
      </w:r>
      <w:r w:rsidR="002315F2" w:rsidRPr="0054131B">
        <w:rPr>
          <w:rFonts w:ascii="Times New Roman" w:hAnsi="Times New Roman"/>
          <w:sz w:val="24"/>
          <w:szCs w:val="24"/>
        </w:rPr>
        <w:t>Clara</w:t>
      </w:r>
      <w:r w:rsidR="00B835A5" w:rsidRPr="0054131B">
        <w:rPr>
          <w:rFonts w:ascii="Times New Roman" w:hAnsi="Times New Roman"/>
          <w:sz w:val="24"/>
          <w:szCs w:val="24"/>
        </w:rPr>
        <w:t>.</w:t>
      </w:r>
    </w:p>
    <w:p w:rsidR="00F82431" w:rsidRPr="0054131B" w:rsidRDefault="00B24983" w:rsidP="003B1275">
      <w:pPr>
        <w:pStyle w:val="NoSpacing"/>
        <w:widowControl w:val="0"/>
        <w:spacing w:line="480" w:lineRule="auto"/>
        <w:jc w:val="both"/>
        <w:outlineLvl w:val="2"/>
        <w:rPr>
          <w:rFonts w:ascii="Times New Roman" w:hAnsi="Times New Roman"/>
          <w:b/>
          <w:sz w:val="24"/>
          <w:szCs w:val="24"/>
        </w:rPr>
      </w:pPr>
      <w:bookmarkStart w:id="33" w:name="_Toc446776777"/>
      <w:r w:rsidRPr="0054131B">
        <w:rPr>
          <w:rFonts w:ascii="Times New Roman" w:hAnsi="Times New Roman"/>
          <w:b/>
          <w:sz w:val="24"/>
          <w:szCs w:val="24"/>
        </w:rPr>
        <w:t>A</w:t>
      </w:r>
      <w:r w:rsidR="00986D5A" w:rsidRPr="0054131B">
        <w:rPr>
          <w:rFonts w:ascii="Times New Roman" w:hAnsi="Times New Roman"/>
          <w:b/>
          <w:sz w:val="24"/>
          <w:szCs w:val="24"/>
        </w:rPr>
        <w:t xml:space="preserve">.1 </w:t>
      </w:r>
      <w:r w:rsidR="00F82431" w:rsidRPr="0054131B">
        <w:rPr>
          <w:rFonts w:ascii="Times New Roman" w:hAnsi="Times New Roman"/>
          <w:b/>
          <w:sz w:val="24"/>
          <w:szCs w:val="24"/>
        </w:rPr>
        <w:t xml:space="preserve">Absolución de la excepción de incompetencia por </w:t>
      </w:r>
      <w:r w:rsidR="00D85FD1" w:rsidRPr="0054131B">
        <w:rPr>
          <w:rFonts w:ascii="Times New Roman" w:hAnsi="Times New Roman"/>
          <w:b/>
          <w:i/>
          <w:sz w:val="24"/>
          <w:szCs w:val="24"/>
        </w:rPr>
        <w:t>ratione</w:t>
      </w:r>
      <w:r w:rsidR="002315F2" w:rsidRPr="0054131B">
        <w:rPr>
          <w:rFonts w:ascii="Times New Roman" w:hAnsi="Times New Roman"/>
          <w:b/>
          <w:i/>
          <w:sz w:val="24"/>
          <w:szCs w:val="24"/>
        </w:rPr>
        <w:t xml:space="preserve"> </w:t>
      </w:r>
      <w:r w:rsidR="00D85FD1" w:rsidRPr="0054131B">
        <w:rPr>
          <w:rFonts w:ascii="Times New Roman" w:hAnsi="Times New Roman"/>
          <w:b/>
          <w:i/>
          <w:sz w:val="24"/>
          <w:szCs w:val="24"/>
        </w:rPr>
        <w:t>loci</w:t>
      </w:r>
      <w:bookmarkEnd w:id="33"/>
    </w:p>
    <w:p w:rsidR="002D6D6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12</w:t>
      </w:r>
      <w:r w:rsidR="00F81826" w:rsidRPr="0054131B">
        <w:rPr>
          <w:rFonts w:ascii="Times New Roman" w:hAnsi="Times New Roman"/>
          <w:sz w:val="24"/>
          <w:szCs w:val="24"/>
        </w:rPr>
        <w:t xml:space="preserve">. </w:t>
      </w:r>
      <w:r w:rsidR="00A401AD" w:rsidRPr="0054131B">
        <w:rPr>
          <w:rFonts w:ascii="Times New Roman" w:hAnsi="Times New Roman"/>
          <w:sz w:val="24"/>
          <w:szCs w:val="24"/>
        </w:rPr>
        <w:t xml:space="preserve">Santa Clara </w:t>
      </w:r>
      <w:r w:rsidR="00384DD2" w:rsidRPr="0054131B">
        <w:rPr>
          <w:rFonts w:ascii="Times New Roman" w:hAnsi="Times New Roman"/>
          <w:sz w:val="24"/>
          <w:szCs w:val="24"/>
        </w:rPr>
        <w:t xml:space="preserve">ha </w:t>
      </w:r>
      <w:r w:rsidR="00A401AD" w:rsidRPr="0054131B">
        <w:rPr>
          <w:rFonts w:ascii="Times New Roman" w:hAnsi="Times New Roman"/>
          <w:sz w:val="24"/>
          <w:szCs w:val="24"/>
        </w:rPr>
        <w:t>cuestiona</w:t>
      </w:r>
      <w:r w:rsidR="00384DD2" w:rsidRPr="0054131B">
        <w:rPr>
          <w:rFonts w:ascii="Times New Roman" w:hAnsi="Times New Roman"/>
          <w:sz w:val="24"/>
          <w:szCs w:val="24"/>
        </w:rPr>
        <w:t>do</w:t>
      </w:r>
      <w:r w:rsidR="00A401AD" w:rsidRPr="0054131B">
        <w:rPr>
          <w:rFonts w:ascii="Times New Roman" w:hAnsi="Times New Roman"/>
          <w:sz w:val="24"/>
          <w:szCs w:val="24"/>
        </w:rPr>
        <w:t xml:space="preserve"> la competencia por razón de lugar de este Tribunal respecto </w:t>
      </w:r>
      <w:r w:rsidR="00F82431" w:rsidRPr="0054131B">
        <w:rPr>
          <w:rFonts w:ascii="Times New Roman" w:hAnsi="Times New Roman"/>
          <w:sz w:val="24"/>
          <w:szCs w:val="24"/>
        </w:rPr>
        <w:t xml:space="preserve">a los hechos </w:t>
      </w:r>
      <w:r w:rsidR="00A401AD" w:rsidRPr="0054131B">
        <w:rPr>
          <w:rFonts w:ascii="Times New Roman" w:hAnsi="Times New Roman"/>
          <w:sz w:val="24"/>
          <w:szCs w:val="24"/>
        </w:rPr>
        <w:t xml:space="preserve">relacionados con </w:t>
      </w:r>
      <w:r w:rsidR="00F82431" w:rsidRPr="0054131B">
        <w:rPr>
          <w:rFonts w:ascii="Times New Roman" w:hAnsi="Times New Roman"/>
          <w:sz w:val="24"/>
          <w:szCs w:val="24"/>
        </w:rPr>
        <w:t xml:space="preserve">los Pueblos </w:t>
      </w:r>
      <w:r w:rsidR="001F3762" w:rsidRPr="0054131B">
        <w:rPr>
          <w:rFonts w:ascii="Times New Roman" w:hAnsi="Times New Roman"/>
          <w:sz w:val="24"/>
          <w:szCs w:val="24"/>
        </w:rPr>
        <w:t>Orífuna</w:t>
      </w:r>
      <w:r w:rsidR="005B2A34" w:rsidRPr="0054131B">
        <w:rPr>
          <w:rFonts w:ascii="Times New Roman" w:hAnsi="Times New Roman"/>
          <w:sz w:val="24"/>
          <w:szCs w:val="24"/>
        </w:rPr>
        <w:t xml:space="preserve"> y la familia Camana Osorio</w:t>
      </w:r>
      <w:r w:rsidR="001F3762" w:rsidRPr="0054131B">
        <w:rPr>
          <w:rFonts w:ascii="Times New Roman" w:hAnsi="Times New Roman"/>
          <w:sz w:val="24"/>
          <w:szCs w:val="24"/>
        </w:rPr>
        <w:t xml:space="preserve">. </w:t>
      </w:r>
      <w:r w:rsidR="00A401AD" w:rsidRPr="0054131B">
        <w:rPr>
          <w:rFonts w:ascii="Times New Roman" w:hAnsi="Times New Roman"/>
          <w:sz w:val="24"/>
          <w:szCs w:val="24"/>
        </w:rPr>
        <w:t xml:space="preserve">Se demostrará que dicho cuestionamiento </w:t>
      </w:r>
      <w:r w:rsidR="00E96AD1" w:rsidRPr="0054131B">
        <w:rPr>
          <w:rFonts w:ascii="Times New Roman" w:hAnsi="Times New Roman"/>
          <w:sz w:val="24"/>
          <w:szCs w:val="24"/>
        </w:rPr>
        <w:t>debe ser desestim</w:t>
      </w:r>
      <w:r w:rsidR="002315F2" w:rsidRPr="0054131B">
        <w:rPr>
          <w:rFonts w:ascii="Times New Roman" w:hAnsi="Times New Roman"/>
          <w:sz w:val="24"/>
          <w:szCs w:val="24"/>
        </w:rPr>
        <w:t>ado en su oportunidad por esta</w:t>
      </w:r>
      <w:r w:rsidR="00426B54" w:rsidRPr="0054131B">
        <w:rPr>
          <w:rFonts w:ascii="Times New Roman" w:hAnsi="Times New Roman"/>
          <w:sz w:val="24"/>
          <w:szCs w:val="24"/>
        </w:rPr>
        <w:t xml:space="preserve"> Corte</w:t>
      </w:r>
      <w:r w:rsidR="00A401AD" w:rsidRPr="0054131B">
        <w:rPr>
          <w:rFonts w:ascii="Times New Roman" w:hAnsi="Times New Roman"/>
          <w:sz w:val="24"/>
          <w:szCs w:val="24"/>
        </w:rPr>
        <w:t xml:space="preserve">. </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13</w:t>
      </w:r>
      <w:r w:rsidR="00C21ABB" w:rsidRPr="0054131B">
        <w:rPr>
          <w:rFonts w:ascii="Times New Roman" w:hAnsi="Times New Roman"/>
          <w:sz w:val="24"/>
          <w:szCs w:val="24"/>
        </w:rPr>
        <w:t xml:space="preserve">. </w:t>
      </w:r>
      <w:r w:rsidR="00F82431" w:rsidRPr="00684061">
        <w:rPr>
          <w:rFonts w:ascii="Times New Roman" w:hAnsi="Times New Roman"/>
          <w:sz w:val="24"/>
          <w:szCs w:val="24"/>
        </w:rPr>
        <w:t>E</w:t>
      </w:r>
      <w:r w:rsidR="00F82431" w:rsidRPr="0054131B">
        <w:rPr>
          <w:rFonts w:ascii="Times New Roman" w:hAnsi="Times New Roman"/>
          <w:sz w:val="24"/>
          <w:szCs w:val="24"/>
        </w:rPr>
        <w:t>l artículo 1.1 de la CADH consagra la obligación de respeto y garantía que los Estados deben asegurar a toda persona sujeta a su jurisdicción</w:t>
      </w:r>
      <w:r w:rsidR="00F82431" w:rsidRPr="0054131B">
        <w:rPr>
          <w:rStyle w:val="FootnoteReference"/>
          <w:rFonts w:ascii="Times New Roman" w:hAnsi="Times New Roman"/>
          <w:sz w:val="24"/>
          <w:szCs w:val="24"/>
        </w:rPr>
        <w:footnoteReference w:id="3"/>
      </w:r>
      <w:r w:rsidR="00C21ABB" w:rsidRPr="0054131B">
        <w:rPr>
          <w:rFonts w:ascii="Times New Roman" w:hAnsi="Times New Roman"/>
          <w:sz w:val="24"/>
          <w:szCs w:val="24"/>
        </w:rPr>
        <w:t>;</w:t>
      </w:r>
      <w:r w:rsidR="00F82431" w:rsidRPr="0054131B">
        <w:rPr>
          <w:rFonts w:ascii="Times New Roman" w:hAnsi="Times New Roman"/>
          <w:sz w:val="24"/>
          <w:szCs w:val="24"/>
        </w:rPr>
        <w:t xml:space="preserve"> </w:t>
      </w:r>
      <w:r w:rsidR="00842D9C" w:rsidRPr="0054131B">
        <w:rPr>
          <w:rFonts w:ascii="Times New Roman" w:hAnsi="Times New Roman"/>
          <w:sz w:val="24"/>
          <w:szCs w:val="24"/>
        </w:rPr>
        <w:t>por lo que</w:t>
      </w:r>
      <w:r w:rsidR="00F82431" w:rsidRPr="0054131B">
        <w:rPr>
          <w:rFonts w:ascii="Times New Roman" w:hAnsi="Times New Roman"/>
          <w:sz w:val="24"/>
          <w:szCs w:val="24"/>
        </w:rPr>
        <w:t xml:space="preserve"> la competencia por razón de lugar de este Tribunal, no tiene un límite territorial, sino jurisdiccional.</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14</w:t>
      </w:r>
      <w:r w:rsidR="00C21ABB" w:rsidRPr="00684061">
        <w:rPr>
          <w:rFonts w:ascii="Times New Roman" w:hAnsi="Times New Roman"/>
          <w:sz w:val="24"/>
          <w:szCs w:val="24"/>
        </w:rPr>
        <w:t xml:space="preserve">. </w:t>
      </w:r>
      <w:r w:rsidR="00F82431" w:rsidRPr="00684061">
        <w:rPr>
          <w:rFonts w:ascii="Times New Roman" w:hAnsi="Times New Roman"/>
          <w:sz w:val="24"/>
          <w:szCs w:val="24"/>
        </w:rPr>
        <w:t>En efecto,</w:t>
      </w:r>
      <w:r w:rsidR="00F82431" w:rsidRPr="0054131B">
        <w:rPr>
          <w:rFonts w:ascii="Times New Roman" w:hAnsi="Times New Roman"/>
          <w:sz w:val="24"/>
          <w:szCs w:val="24"/>
        </w:rPr>
        <w:t xml:space="preserve"> la CIDH coincide con el TEDH</w:t>
      </w:r>
      <w:r w:rsidR="00142955" w:rsidRPr="0054131B">
        <w:rPr>
          <w:rFonts w:ascii="Times New Roman" w:hAnsi="Times New Roman"/>
          <w:sz w:val="24"/>
          <w:szCs w:val="24"/>
        </w:rPr>
        <w:t>,</w:t>
      </w:r>
      <w:r w:rsidR="00F82431" w:rsidRPr="0054131B">
        <w:rPr>
          <w:rFonts w:ascii="Times New Roman" w:hAnsi="Times New Roman"/>
          <w:sz w:val="24"/>
          <w:szCs w:val="24"/>
        </w:rPr>
        <w:t xml:space="preserve"> al señalar que la expresión “persona sujeta a su jurisdicción” también posee un </w:t>
      </w:r>
      <w:r w:rsidR="00F82431" w:rsidRPr="0054131B">
        <w:rPr>
          <w:rFonts w:ascii="Times New Roman" w:hAnsi="Times New Roman"/>
          <w:i/>
          <w:sz w:val="24"/>
          <w:szCs w:val="24"/>
        </w:rPr>
        <w:t>locus</w:t>
      </w:r>
      <w:r w:rsidR="00F82431" w:rsidRPr="0054131B">
        <w:rPr>
          <w:rFonts w:ascii="Times New Roman" w:hAnsi="Times New Roman"/>
          <w:sz w:val="24"/>
          <w:szCs w:val="24"/>
        </w:rPr>
        <w:t xml:space="preserve">-extraterritorial. En este sentido, un Estado asume responsabilidad internacional por  hechos cometidos fuera de </w:t>
      </w:r>
      <w:r w:rsidR="001D7B34" w:rsidRPr="0054131B">
        <w:rPr>
          <w:rFonts w:ascii="Times New Roman" w:hAnsi="Times New Roman"/>
          <w:sz w:val="24"/>
          <w:szCs w:val="24"/>
        </w:rPr>
        <w:t xml:space="preserve">su territorio </w:t>
      </w:r>
      <w:r w:rsidR="00F82431" w:rsidRPr="0054131B">
        <w:rPr>
          <w:rFonts w:ascii="Times New Roman" w:hAnsi="Times New Roman"/>
          <w:sz w:val="24"/>
          <w:szCs w:val="24"/>
        </w:rPr>
        <w:t>cuando las víctimas están sujetas al control de sus agentes</w:t>
      </w:r>
      <w:r w:rsidR="00F82431" w:rsidRPr="0054131B">
        <w:rPr>
          <w:rStyle w:val="FootnoteReference"/>
          <w:rFonts w:ascii="Times New Roman" w:hAnsi="Times New Roman"/>
          <w:sz w:val="24"/>
          <w:szCs w:val="24"/>
        </w:rPr>
        <w:footnoteReference w:id="4"/>
      </w:r>
      <w:r w:rsidR="001D7B34" w:rsidRPr="0054131B">
        <w:rPr>
          <w:rFonts w:ascii="Times New Roman" w:hAnsi="Times New Roman"/>
          <w:sz w:val="24"/>
          <w:szCs w:val="24"/>
        </w:rPr>
        <w:t xml:space="preserve"> (</w:t>
      </w:r>
      <w:r w:rsidR="00F82431" w:rsidRPr="0054131B">
        <w:rPr>
          <w:rFonts w:ascii="Times New Roman" w:hAnsi="Times New Roman"/>
          <w:sz w:val="24"/>
          <w:szCs w:val="24"/>
        </w:rPr>
        <w:t xml:space="preserve">en </w:t>
      </w:r>
      <w:r w:rsidR="001D7B34" w:rsidRPr="0054131B">
        <w:rPr>
          <w:rFonts w:ascii="Times New Roman" w:hAnsi="Times New Roman"/>
          <w:sz w:val="24"/>
          <w:szCs w:val="24"/>
        </w:rPr>
        <w:t>especial si desempeñan funciones diplomática</w:t>
      </w:r>
      <w:r w:rsidR="00F82431" w:rsidRPr="0054131B">
        <w:rPr>
          <w:rFonts w:ascii="Times New Roman" w:hAnsi="Times New Roman"/>
          <w:sz w:val="24"/>
          <w:szCs w:val="24"/>
        </w:rPr>
        <w:t>s</w:t>
      </w:r>
      <w:r w:rsidR="00F82431" w:rsidRPr="0054131B">
        <w:rPr>
          <w:rStyle w:val="FootnoteReference"/>
          <w:rFonts w:ascii="Times New Roman" w:hAnsi="Times New Roman"/>
          <w:sz w:val="24"/>
          <w:szCs w:val="24"/>
        </w:rPr>
        <w:footnoteReference w:id="5"/>
      </w:r>
      <w:r w:rsidR="001D7B34" w:rsidRPr="0054131B">
        <w:rPr>
          <w:rFonts w:ascii="Times New Roman" w:hAnsi="Times New Roman"/>
          <w:sz w:val="24"/>
          <w:szCs w:val="24"/>
        </w:rPr>
        <w:t xml:space="preserve">) y </w:t>
      </w:r>
      <w:r w:rsidR="00F82431" w:rsidRPr="0054131B">
        <w:rPr>
          <w:rFonts w:ascii="Times New Roman" w:hAnsi="Times New Roman"/>
          <w:sz w:val="24"/>
          <w:szCs w:val="24"/>
        </w:rPr>
        <w:t xml:space="preserve"> cuando los</w:t>
      </w:r>
      <w:r w:rsidR="001D7B34" w:rsidRPr="0054131B">
        <w:rPr>
          <w:rFonts w:ascii="Times New Roman" w:hAnsi="Times New Roman"/>
          <w:sz w:val="24"/>
          <w:szCs w:val="24"/>
        </w:rPr>
        <w:t xml:space="preserve"> actos u omisiones de esto</w:t>
      </w:r>
      <w:r w:rsidR="00F82431" w:rsidRPr="0054131B">
        <w:rPr>
          <w:rFonts w:ascii="Times New Roman" w:hAnsi="Times New Roman"/>
          <w:sz w:val="24"/>
          <w:szCs w:val="24"/>
        </w:rPr>
        <w:t>s tienen efecto fuera de su territorio</w:t>
      </w:r>
      <w:r w:rsidR="00F82431" w:rsidRPr="0054131B">
        <w:rPr>
          <w:rStyle w:val="FootnoteReference"/>
          <w:rFonts w:ascii="Times New Roman" w:hAnsi="Times New Roman"/>
          <w:sz w:val="24"/>
          <w:szCs w:val="24"/>
        </w:rPr>
        <w:footnoteReference w:id="6"/>
      </w:r>
      <w:r w:rsidR="00F82431" w:rsidRPr="0054131B">
        <w:rPr>
          <w:rFonts w:ascii="Times New Roman" w:hAnsi="Times New Roman"/>
          <w:sz w:val="24"/>
          <w:szCs w:val="24"/>
        </w:rPr>
        <w:t>.</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15</w:t>
      </w:r>
      <w:r w:rsidR="00A92A13" w:rsidRPr="0054131B">
        <w:rPr>
          <w:rFonts w:ascii="Times New Roman" w:hAnsi="Times New Roman"/>
          <w:sz w:val="24"/>
          <w:szCs w:val="24"/>
        </w:rPr>
        <w:t xml:space="preserve">. </w:t>
      </w:r>
      <w:r w:rsidR="00DC192B" w:rsidRPr="0054131B">
        <w:rPr>
          <w:rFonts w:ascii="Times New Roman" w:hAnsi="Times New Roman"/>
          <w:sz w:val="24"/>
          <w:szCs w:val="24"/>
        </w:rPr>
        <w:t>En el caso del</w:t>
      </w:r>
      <w:r w:rsidR="00A92A13" w:rsidRPr="0054131B">
        <w:rPr>
          <w:rFonts w:ascii="Times New Roman" w:hAnsi="Times New Roman"/>
          <w:sz w:val="24"/>
          <w:szCs w:val="24"/>
        </w:rPr>
        <w:t xml:space="preserve"> Pueblo</w:t>
      </w:r>
      <w:r w:rsidR="001F1445" w:rsidRPr="0054131B">
        <w:rPr>
          <w:rFonts w:ascii="Times New Roman" w:hAnsi="Times New Roman"/>
          <w:sz w:val="24"/>
          <w:szCs w:val="24"/>
        </w:rPr>
        <w:t xml:space="preserve"> Orífuna</w:t>
      </w:r>
      <w:r w:rsidR="00DC192B" w:rsidRPr="0054131B">
        <w:rPr>
          <w:rFonts w:ascii="Times New Roman" w:hAnsi="Times New Roman"/>
          <w:sz w:val="24"/>
          <w:szCs w:val="24"/>
        </w:rPr>
        <w:t>,</w:t>
      </w:r>
      <w:r w:rsidR="001F1445" w:rsidRPr="0054131B">
        <w:rPr>
          <w:rFonts w:ascii="Times New Roman" w:hAnsi="Times New Roman"/>
          <w:sz w:val="24"/>
          <w:szCs w:val="24"/>
        </w:rPr>
        <w:t xml:space="preserve"> la responsabilidad de Santa Clara se deriva de la violación del </w:t>
      </w:r>
      <w:r w:rsidR="001F1445" w:rsidRPr="0054131B">
        <w:rPr>
          <w:rFonts w:ascii="Times New Roman" w:hAnsi="Times New Roman"/>
          <w:sz w:val="24"/>
          <w:szCs w:val="24"/>
        </w:rPr>
        <w:lastRenderedPageBreak/>
        <w:t>derecho de consulta previa</w:t>
      </w:r>
      <w:r w:rsidR="00142955" w:rsidRPr="0054131B">
        <w:rPr>
          <w:rFonts w:ascii="Times New Roman" w:hAnsi="Times New Roman"/>
          <w:sz w:val="24"/>
          <w:szCs w:val="24"/>
        </w:rPr>
        <w:t xml:space="preserve"> </w:t>
      </w:r>
      <w:r w:rsidR="001F1445" w:rsidRPr="0054131B">
        <w:rPr>
          <w:rFonts w:ascii="Times New Roman" w:hAnsi="Times New Roman"/>
          <w:sz w:val="24"/>
          <w:szCs w:val="24"/>
        </w:rPr>
        <w:t xml:space="preserve">a raíz del efecto negativo que causó su decisión de otorgar </w:t>
      </w:r>
      <w:r w:rsidR="00DC192B" w:rsidRPr="0054131B">
        <w:rPr>
          <w:rFonts w:ascii="Times New Roman" w:hAnsi="Times New Roman"/>
          <w:sz w:val="24"/>
          <w:szCs w:val="24"/>
        </w:rPr>
        <w:t>la licencia de explotación</w:t>
      </w:r>
      <w:r w:rsidR="00CD3DC8" w:rsidRPr="0054131B">
        <w:rPr>
          <w:rStyle w:val="FootnoteReference"/>
          <w:rFonts w:ascii="Times New Roman" w:hAnsi="Times New Roman"/>
          <w:sz w:val="24"/>
          <w:szCs w:val="24"/>
        </w:rPr>
        <w:footnoteReference w:id="7"/>
      </w:r>
      <w:r w:rsidR="00DC192B" w:rsidRPr="0054131B">
        <w:rPr>
          <w:rFonts w:ascii="Times New Roman" w:hAnsi="Times New Roman"/>
          <w:sz w:val="24"/>
          <w:szCs w:val="24"/>
        </w:rPr>
        <w:t xml:space="preserve"> d</w:t>
      </w:r>
      <w:r w:rsidR="001F1445" w:rsidRPr="0054131B">
        <w:rPr>
          <w:rFonts w:ascii="Times New Roman" w:hAnsi="Times New Roman"/>
          <w:sz w:val="24"/>
          <w:szCs w:val="24"/>
        </w:rPr>
        <w:t xml:space="preserve">el proyecto </w:t>
      </w:r>
      <w:r w:rsidR="00243F91" w:rsidRPr="0054131B">
        <w:rPr>
          <w:rFonts w:ascii="Times New Roman" w:hAnsi="Times New Roman"/>
          <w:sz w:val="24"/>
          <w:szCs w:val="24"/>
        </w:rPr>
        <w:t>Wirik</w:t>
      </w:r>
      <w:r w:rsidR="001F1445" w:rsidRPr="0054131B">
        <w:rPr>
          <w:rFonts w:ascii="Times New Roman" w:hAnsi="Times New Roman"/>
          <w:sz w:val="24"/>
          <w:szCs w:val="24"/>
        </w:rPr>
        <w:t xml:space="preserve">uya </w:t>
      </w:r>
      <w:r w:rsidR="0087044A" w:rsidRPr="0054131B">
        <w:rPr>
          <w:rFonts w:ascii="Times New Roman" w:hAnsi="Times New Roman"/>
          <w:sz w:val="24"/>
          <w:szCs w:val="24"/>
        </w:rPr>
        <w:t xml:space="preserve">a Silverfield </w:t>
      </w:r>
      <w:r w:rsidR="001F1445" w:rsidRPr="0054131B">
        <w:rPr>
          <w:rFonts w:ascii="Times New Roman" w:hAnsi="Times New Roman"/>
          <w:sz w:val="24"/>
          <w:szCs w:val="24"/>
        </w:rPr>
        <w:t xml:space="preserve">y, en el caso de la familia Camana Osorio, la responsabilidad de Santa Clara se deriva </w:t>
      </w:r>
      <w:r w:rsidR="00F82431" w:rsidRPr="0054131B">
        <w:rPr>
          <w:rFonts w:ascii="Times New Roman" w:hAnsi="Times New Roman"/>
          <w:sz w:val="24"/>
          <w:szCs w:val="24"/>
        </w:rPr>
        <w:t>de las actuaciones</w:t>
      </w:r>
      <w:r w:rsidR="000054BA" w:rsidRPr="0054131B">
        <w:rPr>
          <w:rFonts w:ascii="Times New Roman" w:hAnsi="Times New Roman"/>
          <w:sz w:val="24"/>
          <w:szCs w:val="24"/>
        </w:rPr>
        <w:t xml:space="preserve"> de sus diplomáticos en Madruga y</w:t>
      </w:r>
      <w:r w:rsidR="00F82431" w:rsidRPr="0054131B">
        <w:rPr>
          <w:rFonts w:ascii="Times New Roman" w:hAnsi="Times New Roman"/>
          <w:sz w:val="24"/>
          <w:szCs w:val="24"/>
        </w:rPr>
        <w:t xml:space="preserve"> </w:t>
      </w:r>
      <w:r w:rsidR="000054BA" w:rsidRPr="0054131B">
        <w:rPr>
          <w:rFonts w:ascii="Times New Roman" w:hAnsi="Times New Roman"/>
          <w:sz w:val="24"/>
          <w:szCs w:val="24"/>
        </w:rPr>
        <w:t xml:space="preserve">de </w:t>
      </w:r>
      <w:r w:rsidR="00F82431" w:rsidRPr="0054131B">
        <w:rPr>
          <w:rFonts w:ascii="Times New Roman" w:hAnsi="Times New Roman"/>
          <w:sz w:val="24"/>
          <w:szCs w:val="24"/>
        </w:rPr>
        <w:t>su favorecimiento a la impunidad en este Estado mediante el incumplimiento de su deber de investigación en contra de agentes que se encuentran bajo su jurisdicción territorial. Por tales motivos, la excepción interpuesta por Santa Clara</w:t>
      </w:r>
      <w:r w:rsidR="00A401AD" w:rsidRPr="0054131B">
        <w:rPr>
          <w:rFonts w:ascii="Times New Roman" w:hAnsi="Times New Roman"/>
          <w:sz w:val="24"/>
          <w:szCs w:val="24"/>
        </w:rPr>
        <w:t xml:space="preserve"> deviene en infundada.</w:t>
      </w:r>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16</w:t>
      </w:r>
      <w:r w:rsidR="005E26F2" w:rsidRPr="0054131B">
        <w:rPr>
          <w:rFonts w:ascii="Times New Roman" w:hAnsi="Times New Roman"/>
          <w:sz w:val="24"/>
          <w:szCs w:val="24"/>
        </w:rPr>
        <w:t xml:space="preserve">. </w:t>
      </w:r>
      <w:r w:rsidR="007D7E8E" w:rsidRPr="0054131B">
        <w:rPr>
          <w:rFonts w:ascii="Times New Roman" w:hAnsi="Times New Roman"/>
          <w:sz w:val="24"/>
          <w:szCs w:val="24"/>
        </w:rPr>
        <w:t>Como se aprecia,</w:t>
      </w:r>
      <w:r w:rsidR="00D8605A" w:rsidRPr="0054131B">
        <w:rPr>
          <w:rFonts w:ascii="Times New Roman" w:hAnsi="Times New Roman"/>
          <w:sz w:val="24"/>
          <w:szCs w:val="24"/>
        </w:rPr>
        <w:t xml:space="preserve"> </w:t>
      </w:r>
      <w:r w:rsidR="007D7E8E" w:rsidRPr="0054131B">
        <w:rPr>
          <w:rFonts w:ascii="Times New Roman" w:hAnsi="Times New Roman"/>
          <w:sz w:val="24"/>
          <w:szCs w:val="24"/>
        </w:rPr>
        <w:t>analizar</w:t>
      </w:r>
      <w:r w:rsidR="00F82431" w:rsidRPr="0054131B">
        <w:rPr>
          <w:rFonts w:ascii="Times New Roman" w:hAnsi="Times New Roman"/>
          <w:sz w:val="24"/>
          <w:szCs w:val="24"/>
        </w:rPr>
        <w:t xml:space="preserve"> la jurisdicción de Santa Clara, </w:t>
      </w:r>
      <w:r w:rsidR="007D7E8E" w:rsidRPr="0054131B">
        <w:rPr>
          <w:rFonts w:ascii="Times New Roman" w:hAnsi="Times New Roman"/>
          <w:sz w:val="24"/>
          <w:szCs w:val="24"/>
        </w:rPr>
        <w:t>implica una intromisión en el</w:t>
      </w:r>
      <w:r w:rsidR="001F1445" w:rsidRPr="0054131B">
        <w:rPr>
          <w:rFonts w:ascii="Times New Roman" w:hAnsi="Times New Roman"/>
          <w:sz w:val="24"/>
          <w:szCs w:val="24"/>
        </w:rPr>
        <w:t xml:space="preserve"> fondo del caso; aspecto que, en </w:t>
      </w:r>
      <w:r w:rsidR="001F1445" w:rsidRPr="0054131B">
        <w:rPr>
          <w:rFonts w:ascii="Times New Roman" w:hAnsi="Times New Roman"/>
          <w:i/>
          <w:sz w:val="24"/>
          <w:szCs w:val="24"/>
        </w:rPr>
        <w:t>prima facie,</w:t>
      </w:r>
      <w:r w:rsidR="001F1445" w:rsidRPr="0054131B">
        <w:rPr>
          <w:rFonts w:ascii="Times New Roman" w:hAnsi="Times New Roman"/>
          <w:sz w:val="24"/>
          <w:szCs w:val="24"/>
        </w:rPr>
        <w:t xml:space="preserve"> no puede ser analizado mediante </w:t>
      </w:r>
      <w:r w:rsidR="00F82431" w:rsidRPr="0054131B">
        <w:rPr>
          <w:rFonts w:ascii="Times New Roman" w:hAnsi="Times New Roman"/>
          <w:sz w:val="24"/>
          <w:szCs w:val="24"/>
        </w:rPr>
        <w:t>una excepción preliminar</w:t>
      </w:r>
      <w:r w:rsidR="0061046D" w:rsidRPr="0054131B">
        <w:rPr>
          <w:rStyle w:val="FootnoteReference"/>
          <w:rFonts w:ascii="Times New Roman" w:hAnsi="Times New Roman"/>
          <w:sz w:val="24"/>
          <w:szCs w:val="24"/>
        </w:rPr>
        <w:footnoteReference w:id="8"/>
      </w:r>
      <w:r w:rsidR="00F82431" w:rsidRPr="0054131B">
        <w:rPr>
          <w:rFonts w:ascii="Times New Roman" w:hAnsi="Times New Roman"/>
          <w:sz w:val="24"/>
          <w:szCs w:val="24"/>
        </w:rPr>
        <w:t>. Ello amerita que es</w:t>
      </w:r>
      <w:r w:rsidR="007D7E8E" w:rsidRPr="0054131B">
        <w:rPr>
          <w:rFonts w:ascii="Times New Roman" w:hAnsi="Times New Roman"/>
          <w:sz w:val="24"/>
          <w:szCs w:val="24"/>
        </w:rPr>
        <w:t xml:space="preserve">te Tribunal, de forma análoga al caso </w:t>
      </w:r>
      <w:r w:rsidR="00F82431" w:rsidRPr="0054131B">
        <w:rPr>
          <w:rFonts w:ascii="Times New Roman" w:hAnsi="Times New Roman"/>
          <w:sz w:val="24"/>
          <w:szCs w:val="24"/>
        </w:rPr>
        <w:t>Pacheco Tineo vs. Bolivia, d</w:t>
      </w:r>
      <w:r w:rsidR="00A8719A" w:rsidRPr="0054131B">
        <w:rPr>
          <w:rFonts w:ascii="Times New Roman" w:hAnsi="Times New Roman"/>
          <w:sz w:val="24"/>
          <w:szCs w:val="24"/>
        </w:rPr>
        <w:t>eclare improcedente</w:t>
      </w:r>
      <w:r w:rsidR="00F82431" w:rsidRPr="0054131B">
        <w:rPr>
          <w:rFonts w:ascii="Times New Roman" w:hAnsi="Times New Roman"/>
          <w:sz w:val="24"/>
          <w:szCs w:val="24"/>
        </w:rPr>
        <w:t xml:space="preserve"> la excepc</w:t>
      </w:r>
      <w:r w:rsidR="007D7E8E" w:rsidRPr="0054131B">
        <w:rPr>
          <w:rFonts w:ascii="Times New Roman" w:hAnsi="Times New Roman"/>
          <w:sz w:val="24"/>
          <w:szCs w:val="24"/>
        </w:rPr>
        <w:t xml:space="preserve">ión preliminar </w:t>
      </w:r>
      <w:r w:rsidR="00F82431" w:rsidRPr="0054131B">
        <w:rPr>
          <w:rFonts w:ascii="Times New Roman" w:hAnsi="Times New Roman"/>
          <w:sz w:val="24"/>
          <w:szCs w:val="24"/>
        </w:rPr>
        <w:t xml:space="preserve">por razón de lugar interpuesta por Santa Clara, en tanto nos remite, inevitablemente, a </w:t>
      </w:r>
      <w:r w:rsidR="001F1445" w:rsidRPr="0054131B">
        <w:rPr>
          <w:rFonts w:ascii="Times New Roman" w:hAnsi="Times New Roman"/>
          <w:sz w:val="24"/>
          <w:szCs w:val="24"/>
        </w:rPr>
        <w:t>aspectos de fondo</w:t>
      </w:r>
      <w:r w:rsidR="0061046D" w:rsidRPr="0054131B">
        <w:rPr>
          <w:rStyle w:val="FootnoteReference"/>
          <w:rFonts w:ascii="Times New Roman" w:hAnsi="Times New Roman"/>
          <w:sz w:val="24"/>
          <w:szCs w:val="24"/>
        </w:rPr>
        <w:footnoteReference w:id="9"/>
      </w:r>
      <w:r w:rsidR="00F82431" w:rsidRPr="0054131B">
        <w:rPr>
          <w:rFonts w:ascii="Times New Roman" w:hAnsi="Times New Roman"/>
          <w:sz w:val="24"/>
          <w:szCs w:val="24"/>
        </w:rPr>
        <w:t>.</w:t>
      </w:r>
    </w:p>
    <w:p w:rsidR="007737E7" w:rsidRPr="0054131B" w:rsidRDefault="00B24983" w:rsidP="003B1275">
      <w:pPr>
        <w:pStyle w:val="NoSpacing"/>
        <w:widowControl w:val="0"/>
        <w:spacing w:line="480" w:lineRule="auto"/>
        <w:jc w:val="both"/>
        <w:outlineLvl w:val="1"/>
        <w:rPr>
          <w:rFonts w:ascii="Times New Roman" w:hAnsi="Times New Roman"/>
          <w:b/>
          <w:sz w:val="24"/>
          <w:szCs w:val="24"/>
        </w:rPr>
      </w:pPr>
      <w:bookmarkStart w:id="34" w:name="_Toc446776778"/>
      <w:r w:rsidRPr="0054131B">
        <w:rPr>
          <w:rFonts w:ascii="Times New Roman" w:hAnsi="Times New Roman"/>
          <w:b/>
          <w:sz w:val="24"/>
          <w:szCs w:val="24"/>
        </w:rPr>
        <w:t>B</w:t>
      </w:r>
      <w:r w:rsidR="0024787C" w:rsidRPr="0054131B">
        <w:rPr>
          <w:rFonts w:ascii="Times New Roman" w:hAnsi="Times New Roman"/>
          <w:b/>
          <w:sz w:val="24"/>
          <w:szCs w:val="24"/>
        </w:rPr>
        <w:t xml:space="preserve">. </w:t>
      </w:r>
      <w:r w:rsidR="007737E7" w:rsidRPr="0054131B">
        <w:rPr>
          <w:rFonts w:ascii="Times New Roman" w:hAnsi="Times New Roman"/>
          <w:b/>
          <w:sz w:val="24"/>
          <w:szCs w:val="24"/>
        </w:rPr>
        <w:t>Análisis de los aspectos de fondo</w:t>
      </w:r>
      <w:bookmarkEnd w:id="34"/>
    </w:p>
    <w:p w:rsidR="00F82431" w:rsidRPr="0054131B" w:rsidRDefault="00B24983" w:rsidP="003B1275">
      <w:pPr>
        <w:pStyle w:val="NoSpacing"/>
        <w:widowControl w:val="0"/>
        <w:spacing w:line="480" w:lineRule="auto"/>
        <w:jc w:val="both"/>
        <w:outlineLvl w:val="2"/>
        <w:rPr>
          <w:rFonts w:ascii="Times New Roman" w:hAnsi="Times New Roman"/>
          <w:b/>
          <w:sz w:val="24"/>
          <w:szCs w:val="24"/>
        </w:rPr>
      </w:pPr>
      <w:bookmarkStart w:id="35" w:name="_Toc446776779"/>
      <w:r w:rsidRPr="0054131B">
        <w:rPr>
          <w:rFonts w:ascii="Times New Roman" w:hAnsi="Times New Roman"/>
          <w:b/>
          <w:sz w:val="24"/>
          <w:szCs w:val="24"/>
        </w:rPr>
        <w:t>B</w:t>
      </w:r>
      <w:r w:rsidR="008C6162" w:rsidRPr="0054131B">
        <w:rPr>
          <w:rFonts w:ascii="Times New Roman" w:hAnsi="Times New Roman"/>
          <w:b/>
          <w:sz w:val="24"/>
          <w:szCs w:val="24"/>
        </w:rPr>
        <w:t xml:space="preserve">.1 </w:t>
      </w:r>
      <w:r w:rsidR="00C82E7E">
        <w:rPr>
          <w:rFonts w:ascii="Times New Roman" w:hAnsi="Times New Roman"/>
          <w:b/>
          <w:sz w:val="24"/>
          <w:szCs w:val="24"/>
        </w:rPr>
        <w:t>C</w:t>
      </w:r>
      <w:r w:rsidR="00F82431" w:rsidRPr="0054131B">
        <w:rPr>
          <w:rFonts w:ascii="Times New Roman" w:hAnsi="Times New Roman"/>
          <w:b/>
          <w:sz w:val="24"/>
          <w:szCs w:val="24"/>
        </w:rPr>
        <w:t>ontrol de Santa Clara sobre</w:t>
      </w:r>
      <w:r w:rsidR="00E96AD1" w:rsidRPr="0054131B">
        <w:rPr>
          <w:rFonts w:ascii="Times New Roman" w:hAnsi="Times New Roman"/>
          <w:b/>
          <w:sz w:val="24"/>
          <w:szCs w:val="24"/>
        </w:rPr>
        <w:t xml:space="preserve"> la economía y política de</w:t>
      </w:r>
      <w:r w:rsidR="00F82431" w:rsidRPr="0054131B">
        <w:rPr>
          <w:rFonts w:ascii="Times New Roman" w:hAnsi="Times New Roman"/>
          <w:b/>
          <w:sz w:val="24"/>
          <w:szCs w:val="24"/>
        </w:rPr>
        <w:t xml:space="preserve"> Madruga</w:t>
      </w:r>
      <w:bookmarkEnd w:id="35"/>
    </w:p>
    <w:p w:rsidR="00F82431" w:rsidRPr="0054131B" w:rsidRDefault="00D74870" w:rsidP="003B1275">
      <w:pPr>
        <w:pStyle w:val="NoSpacing"/>
        <w:keepNext/>
        <w:widowControl w:val="0"/>
        <w:spacing w:line="480" w:lineRule="auto"/>
        <w:jc w:val="both"/>
        <w:rPr>
          <w:rFonts w:ascii="Times New Roman" w:hAnsi="Times New Roman"/>
          <w:sz w:val="24"/>
          <w:szCs w:val="24"/>
        </w:rPr>
      </w:pPr>
      <w:r w:rsidRPr="0054131B">
        <w:rPr>
          <w:rFonts w:ascii="Times New Roman" w:hAnsi="Times New Roman"/>
          <w:sz w:val="24"/>
          <w:szCs w:val="24"/>
        </w:rPr>
        <w:t>17</w:t>
      </w:r>
      <w:r w:rsidR="00F555C8" w:rsidRPr="0054131B">
        <w:rPr>
          <w:rFonts w:ascii="Times New Roman" w:hAnsi="Times New Roman"/>
          <w:sz w:val="24"/>
          <w:szCs w:val="24"/>
        </w:rPr>
        <w:t xml:space="preserve">. </w:t>
      </w:r>
      <w:r w:rsidR="00F82431" w:rsidRPr="0054131B">
        <w:rPr>
          <w:rFonts w:ascii="Times New Roman" w:hAnsi="Times New Roman"/>
          <w:sz w:val="24"/>
          <w:szCs w:val="24"/>
        </w:rPr>
        <w:t xml:space="preserve">El </w:t>
      </w:r>
      <w:r w:rsidR="001F1445" w:rsidRPr="0054131B">
        <w:rPr>
          <w:rFonts w:ascii="Times New Roman" w:hAnsi="Times New Roman"/>
          <w:sz w:val="24"/>
          <w:szCs w:val="24"/>
        </w:rPr>
        <w:t>D</w:t>
      </w:r>
      <w:r w:rsidR="00F82431" w:rsidRPr="0054131B">
        <w:rPr>
          <w:rFonts w:ascii="Times New Roman" w:hAnsi="Times New Roman"/>
          <w:sz w:val="24"/>
          <w:szCs w:val="24"/>
        </w:rPr>
        <w:t xml:space="preserve">erecho </w:t>
      </w:r>
      <w:r w:rsidR="002F3865" w:rsidRPr="0054131B">
        <w:rPr>
          <w:rFonts w:ascii="Times New Roman" w:hAnsi="Times New Roman"/>
          <w:sz w:val="24"/>
          <w:szCs w:val="24"/>
        </w:rPr>
        <w:t>I</w:t>
      </w:r>
      <w:r w:rsidR="00F82431" w:rsidRPr="0054131B">
        <w:rPr>
          <w:rFonts w:ascii="Times New Roman" w:hAnsi="Times New Roman"/>
          <w:sz w:val="24"/>
          <w:szCs w:val="24"/>
        </w:rPr>
        <w:t xml:space="preserve">nternacional de los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surge inicialmente para proteger al individuo</w:t>
      </w:r>
      <w:r w:rsidR="00FE19CA" w:rsidRPr="0054131B">
        <w:rPr>
          <w:rFonts w:ascii="Times New Roman" w:hAnsi="Times New Roman"/>
          <w:sz w:val="24"/>
          <w:szCs w:val="24"/>
        </w:rPr>
        <w:t xml:space="preserve"> </w:t>
      </w:r>
      <w:r w:rsidR="00F82431" w:rsidRPr="0054131B">
        <w:rPr>
          <w:rFonts w:ascii="Times New Roman" w:hAnsi="Times New Roman"/>
          <w:sz w:val="24"/>
          <w:szCs w:val="24"/>
        </w:rPr>
        <w:t>frente al inmensurable poder público</w:t>
      </w:r>
      <w:r w:rsidR="00181F0F" w:rsidRPr="0054131B">
        <w:rPr>
          <w:rStyle w:val="FootnoteReference"/>
          <w:rFonts w:ascii="Times New Roman" w:hAnsi="Times New Roman"/>
          <w:sz w:val="24"/>
          <w:szCs w:val="24"/>
        </w:rPr>
        <w:footnoteReference w:id="10"/>
      </w:r>
      <w:r w:rsidR="00FE19CA" w:rsidRPr="0054131B">
        <w:rPr>
          <w:rFonts w:ascii="Times New Roman" w:hAnsi="Times New Roman"/>
          <w:sz w:val="24"/>
          <w:szCs w:val="24"/>
        </w:rPr>
        <w:t>; f</w:t>
      </w:r>
      <w:r w:rsidR="00F82431" w:rsidRPr="0054131B">
        <w:rPr>
          <w:rFonts w:ascii="Times New Roman" w:hAnsi="Times New Roman"/>
          <w:sz w:val="24"/>
          <w:szCs w:val="24"/>
        </w:rPr>
        <w:t xml:space="preserve">ue diseñado en un contexto histórico en que las empresas no jugaban un rol preponderante en la gobernanza de los </w:t>
      </w:r>
      <w:r w:rsidR="00363EAA" w:rsidRPr="0054131B">
        <w:rPr>
          <w:rFonts w:ascii="Times New Roman" w:hAnsi="Times New Roman"/>
          <w:sz w:val="24"/>
          <w:szCs w:val="24"/>
        </w:rPr>
        <w:t>DDHH</w:t>
      </w:r>
      <w:r w:rsidR="0061046D" w:rsidRPr="0054131B">
        <w:rPr>
          <w:rStyle w:val="FootnoteReference"/>
          <w:rFonts w:ascii="Times New Roman" w:hAnsi="Times New Roman"/>
          <w:sz w:val="24"/>
          <w:szCs w:val="24"/>
        </w:rPr>
        <w:footnoteReference w:id="11"/>
      </w:r>
      <w:r w:rsidR="00FE19CA" w:rsidRPr="0054131B">
        <w:rPr>
          <w:rFonts w:ascii="Times New Roman" w:hAnsi="Times New Roman"/>
          <w:sz w:val="24"/>
          <w:szCs w:val="24"/>
        </w:rPr>
        <w:t>. N</w:t>
      </w:r>
      <w:r w:rsidR="00F82431" w:rsidRPr="0054131B">
        <w:rPr>
          <w:rFonts w:ascii="Times New Roman" w:hAnsi="Times New Roman"/>
          <w:sz w:val="24"/>
          <w:szCs w:val="24"/>
        </w:rPr>
        <w:t xml:space="preserve">o obstante, hoy en día, debido a un intenso fenómeno de globalización, las empresas transnacionales participan en inmensos mercados y obtienen enormes beneficios por medio de actividades como la extracción de </w:t>
      </w:r>
      <w:r w:rsidR="00F82431" w:rsidRPr="0054131B">
        <w:rPr>
          <w:rFonts w:ascii="Times New Roman" w:hAnsi="Times New Roman"/>
          <w:sz w:val="24"/>
          <w:szCs w:val="24"/>
        </w:rPr>
        <w:lastRenderedPageBreak/>
        <w:t>recursos naturales</w:t>
      </w:r>
      <w:r w:rsidR="00F82431" w:rsidRPr="0054131B">
        <w:rPr>
          <w:rStyle w:val="FootnoteReference"/>
          <w:rFonts w:ascii="Times New Roman" w:hAnsi="Times New Roman"/>
          <w:sz w:val="24"/>
          <w:szCs w:val="24"/>
        </w:rPr>
        <w:footnoteReference w:id="12"/>
      </w:r>
      <w:r w:rsidR="00F82431" w:rsidRPr="0054131B">
        <w:rPr>
          <w:rFonts w:ascii="Times New Roman" w:hAnsi="Times New Roman"/>
          <w:sz w:val="24"/>
          <w:szCs w:val="24"/>
        </w:rPr>
        <w:t>. Por tal motivo, no es exagerado afirmar que el valor neto de algunas compañías transnacionales suele ser mayor que el producto bruto interno (PBI) de algunos Estados</w:t>
      </w:r>
      <w:r w:rsidR="00F82431" w:rsidRPr="0054131B">
        <w:rPr>
          <w:rStyle w:val="FootnoteReference"/>
          <w:rFonts w:ascii="Times New Roman" w:hAnsi="Times New Roman"/>
          <w:sz w:val="24"/>
          <w:szCs w:val="24"/>
        </w:rPr>
        <w:footnoteReference w:id="13"/>
      </w:r>
      <w:r w:rsidR="00C008BD" w:rsidRPr="0054131B">
        <w:rPr>
          <w:rFonts w:ascii="Times New Roman" w:hAnsi="Times New Roman"/>
          <w:sz w:val="24"/>
          <w:szCs w:val="24"/>
        </w:rPr>
        <w:t>.</w:t>
      </w:r>
      <w:r w:rsidR="00F147A7" w:rsidRPr="0054131B">
        <w:rPr>
          <w:rFonts w:ascii="Times New Roman" w:hAnsi="Times New Roman"/>
          <w:sz w:val="24"/>
          <w:szCs w:val="24"/>
        </w:rPr>
        <w:t xml:space="preserve"> </w:t>
      </w:r>
      <w:r w:rsidR="00F82431" w:rsidRPr="0054131B">
        <w:rPr>
          <w:rFonts w:ascii="Times New Roman" w:hAnsi="Times New Roman"/>
          <w:sz w:val="24"/>
          <w:szCs w:val="24"/>
        </w:rPr>
        <w:t>Debido a estas desigualdades, en el marco de la actividad de las empresas transnacionales, los Estados periféricos o subordinados suelen perder competencias y capacidad soberana por las imposiciones normativas de los Estados dominantes y las empresas</w:t>
      </w:r>
      <w:r w:rsidR="00F82431" w:rsidRPr="0054131B">
        <w:rPr>
          <w:rStyle w:val="FootnoteReference"/>
          <w:rFonts w:ascii="Times New Roman" w:hAnsi="Times New Roman"/>
          <w:sz w:val="24"/>
          <w:szCs w:val="24"/>
        </w:rPr>
        <w:footnoteReference w:id="14"/>
      </w:r>
      <w:r w:rsidR="00F82431" w:rsidRPr="0054131B">
        <w:rPr>
          <w:rFonts w:ascii="Times New Roman" w:hAnsi="Times New Roman"/>
          <w:sz w:val="24"/>
          <w:szCs w:val="24"/>
        </w:rPr>
        <w:t>.</w:t>
      </w:r>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18</w:t>
      </w:r>
      <w:r w:rsidR="00D34173" w:rsidRPr="0054131B">
        <w:rPr>
          <w:rFonts w:ascii="Times New Roman" w:hAnsi="Times New Roman"/>
          <w:sz w:val="24"/>
          <w:szCs w:val="24"/>
        </w:rPr>
        <w:t xml:space="preserve">. </w:t>
      </w:r>
      <w:r w:rsidR="00F82431" w:rsidRPr="0054131B">
        <w:rPr>
          <w:rFonts w:ascii="Times New Roman" w:hAnsi="Times New Roman"/>
          <w:sz w:val="24"/>
          <w:szCs w:val="24"/>
        </w:rPr>
        <w:t>Santa Clara, potencia mundial económica, tiene una sólida política de favorecimiento a inversiones extranjeras</w:t>
      </w:r>
      <w:r w:rsidR="002042C3" w:rsidRPr="0054131B">
        <w:rPr>
          <w:rFonts w:ascii="Times New Roman" w:hAnsi="Times New Roman"/>
          <w:sz w:val="24"/>
          <w:szCs w:val="24"/>
        </w:rPr>
        <w:t>; m</w:t>
      </w:r>
      <w:r w:rsidR="00E96AD1" w:rsidRPr="0054131B">
        <w:rPr>
          <w:rFonts w:ascii="Times New Roman" w:hAnsi="Times New Roman"/>
          <w:sz w:val="24"/>
          <w:szCs w:val="24"/>
        </w:rPr>
        <w:t>uestra de ello, es que</w:t>
      </w:r>
      <w:r w:rsidR="00F82431" w:rsidRPr="0054131B">
        <w:rPr>
          <w:rFonts w:ascii="Times New Roman" w:hAnsi="Times New Roman"/>
          <w:sz w:val="24"/>
          <w:szCs w:val="24"/>
        </w:rPr>
        <w:t xml:space="preserve"> desde 1990 su Fondo Público de Inversiones Extranjeras administra más de cuarenta mil millones de dólares </w:t>
      </w:r>
      <w:r w:rsidR="00CD2A3B" w:rsidRPr="0054131B">
        <w:rPr>
          <w:rFonts w:ascii="Times New Roman" w:hAnsi="Times New Roman"/>
          <w:sz w:val="24"/>
          <w:szCs w:val="24"/>
        </w:rPr>
        <w:t>americanos</w:t>
      </w:r>
      <w:r w:rsidR="00F82431" w:rsidRPr="0054131B">
        <w:rPr>
          <w:rFonts w:ascii="Times New Roman" w:hAnsi="Times New Roman"/>
          <w:sz w:val="24"/>
          <w:szCs w:val="24"/>
        </w:rPr>
        <w:t>, de los cuales se han beneficiado</w:t>
      </w:r>
      <w:r w:rsidR="0005512C" w:rsidRPr="0054131B">
        <w:rPr>
          <w:rFonts w:ascii="Times New Roman" w:hAnsi="Times New Roman"/>
          <w:sz w:val="24"/>
          <w:szCs w:val="24"/>
        </w:rPr>
        <w:t xml:space="preserve"> empresas con filial</w:t>
      </w:r>
      <w:r w:rsidR="00A8719A" w:rsidRPr="0054131B">
        <w:rPr>
          <w:rFonts w:ascii="Times New Roman" w:hAnsi="Times New Roman"/>
          <w:sz w:val="24"/>
          <w:szCs w:val="24"/>
        </w:rPr>
        <w:t xml:space="preserve">es en Madruga, </w:t>
      </w:r>
      <w:r w:rsidR="002042C3" w:rsidRPr="0054131B">
        <w:rPr>
          <w:rFonts w:ascii="Times New Roman" w:hAnsi="Times New Roman"/>
          <w:sz w:val="24"/>
          <w:szCs w:val="24"/>
        </w:rPr>
        <w:t>entre ellas</w:t>
      </w:r>
      <w:r w:rsidR="00A8719A" w:rsidRPr="0054131B">
        <w:rPr>
          <w:rFonts w:ascii="Times New Roman" w:hAnsi="Times New Roman"/>
          <w:sz w:val="24"/>
          <w:szCs w:val="24"/>
        </w:rPr>
        <w:t xml:space="preserve"> Miningcorp y Silverfield.</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19</w:t>
      </w:r>
      <w:r w:rsidR="00542D7D" w:rsidRPr="0054131B">
        <w:rPr>
          <w:rFonts w:ascii="Times New Roman" w:hAnsi="Times New Roman"/>
          <w:sz w:val="24"/>
          <w:szCs w:val="24"/>
        </w:rPr>
        <w:t>. Madruga, Estado en vías de desarrollo</w:t>
      </w:r>
      <w:r w:rsidR="00F82431" w:rsidRPr="0054131B">
        <w:rPr>
          <w:rFonts w:ascii="Times New Roman" w:hAnsi="Times New Roman"/>
          <w:sz w:val="24"/>
          <w:szCs w:val="24"/>
        </w:rPr>
        <w:t>, está fuertemente influenciado por Santa Clara</w:t>
      </w:r>
      <w:r w:rsidR="000C45DE" w:rsidRPr="0054131B">
        <w:rPr>
          <w:rFonts w:ascii="Times New Roman" w:hAnsi="Times New Roman"/>
          <w:sz w:val="24"/>
          <w:szCs w:val="24"/>
        </w:rPr>
        <w:t>:</w:t>
      </w:r>
      <w:r w:rsidR="00E047D8" w:rsidRPr="0054131B">
        <w:rPr>
          <w:rFonts w:ascii="Times New Roman" w:hAnsi="Times New Roman"/>
          <w:sz w:val="24"/>
          <w:szCs w:val="24"/>
        </w:rPr>
        <w:t xml:space="preserve"> (i) </w:t>
      </w:r>
      <w:r w:rsidR="00F82431" w:rsidRPr="0054131B">
        <w:rPr>
          <w:rFonts w:ascii="Times New Roman" w:hAnsi="Times New Roman"/>
          <w:sz w:val="24"/>
          <w:szCs w:val="24"/>
        </w:rPr>
        <w:t>Madruga, que desde 1929 solía promover la nacionalización de recursos naturales,</w:t>
      </w:r>
      <w:r w:rsidR="00E047D8" w:rsidRPr="0054131B">
        <w:rPr>
          <w:rFonts w:ascii="Times New Roman" w:hAnsi="Times New Roman"/>
          <w:sz w:val="24"/>
          <w:szCs w:val="24"/>
        </w:rPr>
        <w:t xml:space="preserve"> </w:t>
      </w:r>
      <w:r w:rsidR="00F82431" w:rsidRPr="0054131B">
        <w:rPr>
          <w:rFonts w:ascii="Times New Roman" w:hAnsi="Times New Roman"/>
          <w:sz w:val="24"/>
          <w:szCs w:val="24"/>
        </w:rPr>
        <w:t>cambió abruptamente de política en 1985</w:t>
      </w:r>
      <w:r w:rsidR="00542D7D" w:rsidRPr="0054131B">
        <w:rPr>
          <w:rFonts w:ascii="Times New Roman" w:hAnsi="Times New Roman"/>
          <w:sz w:val="24"/>
          <w:szCs w:val="24"/>
        </w:rPr>
        <w:t xml:space="preserve">, </w:t>
      </w:r>
      <w:r w:rsidR="000C45DE" w:rsidRPr="0054131B">
        <w:rPr>
          <w:rFonts w:ascii="Times New Roman" w:hAnsi="Times New Roman"/>
          <w:sz w:val="24"/>
          <w:szCs w:val="24"/>
        </w:rPr>
        <w:t>cuando pasó a fomentar</w:t>
      </w:r>
      <w:r w:rsidR="00F82431" w:rsidRPr="0054131B">
        <w:rPr>
          <w:rFonts w:ascii="Times New Roman" w:hAnsi="Times New Roman"/>
          <w:sz w:val="24"/>
          <w:szCs w:val="24"/>
        </w:rPr>
        <w:t xml:space="preserve"> el sector minero</w:t>
      </w:r>
      <w:r w:rsidR="00E96AD1" w:rsidRPr="0054131B">
        <w:rPr>
          <w:rStyle w:val="FootnoteReference"/>
          <w:rFonts w:ascii="Times New Roman" w:hAnsi="Times New Roman"/>
          <w:sz w:val="24"/>
          <w:szCs w:val="24"/>
        </w:rPr>
        <w:footnoteReference w:id="15"/>
      </w:r>
      <w:r w:rsidR="00C77017" w:rsidRPr="0054131B">
        <w:rPr>
          <w:rFonts w:ascii="Times New Roman" w:hAnsi="Times New Roman"/>
          <w:sz w:val="24"/>
          <w:szCs w:val="24"/>
        </w:rPr>
        <w:t>.</w:t>
      </w:r>
      <w:r w:rsidR="0060476E" w:rsidRPr="0054131B">
        <w:rPr>
          <w:rFonts w:ascii="Times New Roman" w:hAnsi="Times New Roman"/>
          <w:sz w:val="24"/>
          <w:szCs w:val="24"/>
        </w:rPr>
        <w:t xml:space="preserve"> Esto se debió a que </w:t>
      </w:r>
      <w:r w:rsidR="00F82431" w:rsidRPr="0054131B">
        <w:rPr>
          <w:rFonts w:ascii="Times New Roman" w:hAnsi="Times New Roman"/>
          <w:sz w:val="24"/>
          <w:szCs w:val="24"/>
        </w:rPr>
        <w:t>Santa Clara</w:t>
      </w:r>
      <w:r w:rsidR="000C45DE" w:rsidRPr="0054131B">
        <w:rPr>
          <w:rFonts w:ascii="Times New Roman" w:hAnsi="Times New Roman"/>
          <w:sz w:val="24"/>
          <w:szCs w:val="24"/>
        </w:rPr>
        <w:t>, en 1932,</w:t>
      </w:r>
      <w:r w:rsidR="00F82431" w:rsidRPr="0054131B">
        <w:rPr>
          <w:rFonts w:ascii="Times New Roman" w:hAnsi="Times New Roman"/>
          <w:sz w:val="24"/>
          <w:szCs w:val="24"/>
        </w:rPr>
        <w:t xml:space="preserve"> promulgó una ley que autorizaba entrena</w:t>
      </w:r>
      <w:r w:rsidR="0060476E" w:rsidRPr="0054131B">
        <w:rPr>
          <w:rFonts w:ascii="Times New Roman" w:hAnsi="Times New Roman"/>
          <w:sz w:val="24"/>
          <w:szCs w:val="24"/>
        </w:rPr>
        <w:t>miento militar y venta de armas</w:t>
      </w:r>
      <w:r w:rsidR="00F82431" w:rsidRPr="0054131B">
        <w:rPr>
          <w:rFonts w:ascii="Times New Roman" w:hAnsi="Times New Roman"/>
          <w:sz w:val="24"/>
          <w:szCs w:val="24"/>
        </w:rPr>
        <w:t xml:space="preserve"> en defensa de empresas mineras con filial</w:t>
      </w:r>
      <w:r w:rsidR="00A8719A" w:rsidRPr="0054131B">
        <w:rPr>
          <w:rFonts w:ascii="Times New Roman" w:hAnsi="Times New Roman"/>
          <w:sz w:val="24"/>
          <w:szCs w:val="24"/>
        </w:rPr>
        <w:t>es</w:t>
      </w:r>
      <w:r w:rsidR="00F82431" w:rsidRPr="0054131B">
        <w:rPr>
          <w:rFonts w:ascii="Times New Roman" w:hAnsi="Times New Roman"/>
          <w:sz w:val="24"/>
          <w:szCs w:val="24"/>
        </w:rPr>
        <w:t xml:space="preserve"> en Madruga</w:t>
      </w:r>
      <w:r w:rsidR="000C45DE" w:rsidRPr="0054131B">
        <w:rPr>
          <w:rFonts w:ascii="Times New Roman" w:hAnsi="Times New Roman"/>
          <w:sz w:val="24"/>
          <w:szCs w:val="24"/>
        </w:rPr>
        <w:t xml:space="preserve">; </w:t>
      </w:r>
      <w:r w:rsidR="00F82431" w:rsidRPr="0054131B">
        <w:rPr>
          <w:rFonts w:ascii="Times New Roman" w:hAnsi="Times New Roman"/>
          <w:sz w:val="24"/>
          <w:szCs w:val="24"/>
        </w:rPr>
        <w:t xml:space="preserve">lo que revela un importante antecedente de primacía de intereses económicos sobre la protección de </w:t>
      </w:r>
      <w:r w:rsidR="00363EAA" w:rsidRPr="0054131B">
        <w:rPr>
          <w:rFonts w:ascii="Times New Roman" w:hAnsi="Times New Roman"/>
          <w:sz w:val="24"/>
          <w:szCs w:val="24"/>
        </w:rPr>
        <w:t>DDHH</w:t>
      </w:r>
      <w:r w:rsidR="0060476E" w:rsidRPr="0054131B">
        <w:rPr>
          <w:rFonts w:ascii="Times New Roman" w:hAnsi="Times New Roman"/>
          <w:sz w:val="24"/>
          <w:szCs w:val="24"/>
        </w:rPr>
        <w:t>. (ii) E</w:t>
      </w:r>
      <w:r w:rsidR="00F82431" w:rsidRPr="0054131B">
        <w:rPr>
          <w:rFonts w:ascii="Times New Roman" w:hAnsi="Times New Roman"/>
          <w:sz w:val="24"/>
          <w:szCs w:val="24"/>
        </w:rPr>
        <w:t xml:space="preserve">n 1990, las autoridades estatales de Santa Clara, financiaron la redacción del nuevo marco normativo en materia de licenciamiento ambiental y concesión minera </w:t>
      </w:r>
      <w:r w:rsidR="000C45DE" w:rsidRPr="0054131B">
        <w:rPr>
          <w:rFonts w:ascii="Times New Roman" w:hAnsi="Times New Roman"/>
          <w:sz w:val="24"/>
          <w:szCs w:val="24"/>
        </w:rPr>
        <w:t>en Madruga. Por tales motivos, se concluye</w:t>
      </w:r>
      <w:r w:rsidR="00F82431" w:rsidRPr="0054131B">
        <w:rPr>
          <w:rFonts w:ascii="Times New Roman" w:hAnsi="Times New Roman"/>
          <w:sz w:val="24"/>
          <w:szCs w:val="24"/>
        </w:rPr>
        <w:t xml:space="preserve"> que Santa Clara, en su obsesiva política de fortalecimiento de empresas transnacionales, tiene </w:t>
      </w:r>
      <w:r w:rsidR="0060476E" w:rsidRPr="0054131B">
        <w:rPr>
          <w:rFonts w:ascii="Times New Roman" w:hAnsi="Times New Roman"/>
          <w:sz w:val="24"/>
          <w:szCs w:val="24"/>
        </w:rPr>
        <w:t>una importante</w:t>
      </w:r>
      <w:r w:rsidR="00F82431" w:rsidRPr="0054131B">
        <w:rPr>
          <w:rFonts w:ascii="Times New Roman" w:hAnsi="Times New Roman"/>
          <w:sz w:val="24"/>
          <w:szCs w:val="24"/>
        </w:rPr>
        <w:t xml:space="preserve"> influencia y control sobre la política, economía y </w:t>
      </w:r>
      <w:r w:rsidR="00F82431" w:rsidRPr="0054131B">
        <w:rPr>
          <w:rFonts w:ascii="Times New Roman" w:hAnsi="Times New Roman"/>
          <w:sz w:val="24"/>
          <w:szCs w:val="24"/>
        </w:rPr>
        <w:lastRenderedPageBreak/>
        <w:t>reg</w:t>
      </w:r>
      <w:r w:rsidR="0060476E" w:rsidRPr="0054131B">
        <w:rPr>
          <w:rFonts w:ascii="Times New Roman" w:hAnsi="Times New Roman"/>
          <w:sz w:val="24"/>
          <w:szCs w:val="24"/>
        </w:rPr>
        <w:t xml:space="preserve">ulación de Madruga. </w:t>
      </w:r>
      <w:r w:rsidR="008649EF" w:rsidRPr="0054131B">
        <w:rPr>
          <w:rFonts w:ascii="Times New Roman" w:hAnsi="Times New Roman"/>
          <w:sz w:val="24"/>
          <w:szCs w:val="24"/>
        </w:rPr>
        <w:t>Al igual que en casos anteriores</w:t>
      </w:r>
      <w:r w:rsidR="008649EF" w:rsidRPr="0054131B">
        <w:rPr>
          <w:rStyle w:val="FootnoteReference"/>
          <w:rFonts w:ascii="Times New Roman" w:hAnsi="Times New Roman"/>
          <w:sz w:val="24"/>
          <w:szCs w:val="24"/>
        </w:rPr>
        <w:footnoteReference w:id="16"/>
      </w:r>
      <w:r w:rsidR="008649EF" w:rsidRPr="0054131B">
        <w:rPr>
          <w:rFonts w:ascii="Times New Roman" w:hAnsi="Times New Roman"/>
          <w:sz w:val="24"/>
          <w:szCs w:val="24"/>
        </w:rPr>
        <w:t xml:space="preserve">, este Tribunal debe tener </w:t>
      </w:r>
      <w:r w:rsidR="0060476E" w:rsidRPr="0054131B">
        <w:rPr>
          <w:rFonts w:ascii="Times New Roman" w:hAnsi="Times New Roman"/>
          <w:sz w:val="24"/>
          <w:szCs w:val="24"/>
        </w:rPr>
        <w:t>en cuenta</w:t>
      </w:r>
      <w:r w:rsidR="000248A2" w:rsidRPr="0054131B">
        <w:rPr>
          <w:rFonts w:ascii="Times New Roman" w:hAnsi="Times New Roman"/>
          <w:sz w:val="24"/>
          <w:szCs w:val="24"/>
        </w:rPr>
        <w:t xml:space="preserve"> el </w:t>
      </w:r>
      <w:r w:rsidR="00F82431" w:rsidRPr="0054131B">
        <w:rPr>
          <w:rFonts w:ascii="Times New Roman" w:hAnsi="Times New Roman"/>
          <w:sz w:val="24"/>
          <w:szCs w:val="24"/>
        </w:rPr>
        <w:t xml:space="preserve">contexto en la valoración de violaciones de </w:t>
      </w:r>
      <w:r w:rsidR="00363EAA" w:rsidRPr="0054131B">
        <w:rPr>
          <w:rFonts w:ascii="Times New Roman" w:hAnsi="Times New Roman"/>
          <w:sz w:val="24"/>
          <w:szCs w:val="24"/>
        </w:rPr>
        <w:t>DDHH</w:t>
      </w:r>
      <w:r w:rsidR="008649EF" w:rsidRPr="0054131B">
        <w:rPr>
          <w:rFonts w:ascii="Times New Roman" w:hAnsi="Times New Roman"/>
          <w:sz w:val="24"/>
          <w:szCs w:val="24"/>
        </w:rPr>
        <w:t>.</w:t>
      </w:r>
    </w:p>
    <w:p w:rsidR="00F82431" w:rsidRPr="0054131B" w:rsidRDefault="00B24983" w:rsidP="003B1275">
      <w:pPr>
        <w:pStyle w:val="NoSpacing"/>
        <w:spacing w:line="480" w:lineRule="auto"/>
        <w:jc w:val="both"/>
        <w:outlineLvl w:val="2"/>
        <w:rPr>
          <w:rFonts w:ascii="Times New Roman" w:hAnsi="Times New Roman"/>
          <w:b/>
          <w:sz w:val="24"/>
          <w:szCs w:val="24"/>
        </w:rPr>
      </w:pPr>
      <w:bookmarkStart w:id="36" w:name="_Toc446776780"/>
      <w:r w:rsidRPr="0054131B">
        <w:rPr>
          <w:rFonts w:ascii="Times New Roman" w:hAnsi="Times New Roman"/>
          <w:b/>
          <w:sz w:val="24"/>
          <w:szCs w:val="24"/>
        </w:rPr>
        <w:t>B</w:t>
      </w:r>
      <w:r w:rsidR="008C6162" w:rsidRPr="0054131B">
        <w:rPr>
          <w:rFonts w:ascii="Times New Roman" w:hAnsi="Times New Roman"/>
          <w:b/>
          <w:sz w:val="24"/>
          <w:szCs w:val="24"/>
        </w:rPr>
        <w:t>.2 La</w:t>
      </w:r>
      <w:r w:rsidR="00F82431" w:rsidRPr="0054131B">
        <w:rPr>
          <w:rFonts w:ascii="Times New Roman" w:hAnsi="Times New Roman"/>
          <w:b/>
          <w:sz w:val="24"/>
          <w:szCs w:val="24"/>
        </w:rPr>
        <w:t xml:space="preserve"> atribución de</w:t>
      </w:r>
      <w:r w:rsidR="008C6162" w:rsidRPr="0054131B">
        <w:rPr>
          <w:rFonts w:ascii="Times New Roman" w:hAnsi="Times New Roman"/>
          <w:b/>
          <w:sz w:val="24"/>
          <w:szCs w:val="24"/>
        </w:rPr>
        <w:t xml:space="preserve"> la</w:t>
      </w:r>
      <w:r w:rsidR="00F82431" w:rsidRPr="0054131B">
        <w:rPr>
          <w:rFonts w:ascii="Times New Roman" w:hAnsi="Times New Roman"/>
          <w:b/>
          <w:sz w:val="24"/>
          <w:szCs w:val="24"/>
        </w:rPr>
        <w:t xml:space="preserve"> responsabilidad estatal por actos de empresas</w:t>
      </w:r>
      <w:r w:rsidR="008C6162" w:rsidRPr="0054131B">
        <w:rPr>
          <w:rFonts w:ascii="Times New Roman" w:hAnsi="Times New Roman"/>
          <w:b/>
          <w:sz w:val="24"/>
          <w:szCs w:val="24"/>
        </w:rPr>
        <w:t xml:space="preserve"> transnacionales</w:t>
      </w:r>
      <w:bookmarkEnd w:id="36"/>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20</w:t>
      </w:r>
      <w:r w:rsidR="00CD5198" w:rsidRPr="0054131B">
        <w:rPr>
          <w:rFonts w:ascii="Times New Roman" w:hAnsi="Times New Roman"/>
          <w:sz w:val="24"/>
          <w:szCs w:val="24"/>
        </w:rPr>
        <w:t xml:space="preserve">. </w:t>
      </w:r>
      <w:r w:rsidR="00E96AD1" w:rsidRPr="0054131B">
        <w:rPr>
          <w:rFonts w:ascii="Times New Roman" w:hAnsi="Times New Roman"/>
          <w:sz w:val="24"/>
          <w:szCs w:val="24"/>
        </w:rPr>
        <w:t>Resulta importante pronunciarse sobre la responsabilidad estatal p</w:t>
      </w:r>
      <w:r w:rsidR="005B1286">
        <w:rPr>
          <w:rFonts w:ascii="Times New Roman" w:hAnsi="Times New Roman"/>
          <w:sz w:val="24"/>
          <w:szCs w:val="24"/>
        </w:rPr>
        <w:t>or la actuación de las empresas. A</w:t>
      </w:r>
      <w:r w:rsidR="00E96AD1" w:rsidRPr="0054131B">
        <w:rPr>
          <w:rFonts w:ascii="Times New Roman" w:hAnsi="Times New Roman"/>
          <w:sz w:val="24"/>
          <w:szCs w:val="24"/>
        </w:rPr>
        <w:t>sí</w:t>
      </w:r>
      <w:r w:rsidR="005B1286">
        <w:rPr>
          <w:rFonts w:ascii="Times New Roman" w:hAnsi="Times New Roman"/>
          <w:sz w:val="24"/>
          <w:szCs w:val="24"/>
        </w:rPr>
        <w:t>,</w:t>
      </w:r>
      <w:r w:rsidR="00E96AD1" w:rsidRPr="0054131B">
        <w:rPr>
          <w:rFonts w:ascii="Times New Roman" w:hAnsi="Times New Roman"/>
          <w:sz w:val="24"/>
          <w:szCs w:val="24"/>
        </w:rPr>
        <w:t xml:space="preserve"> l</w:t>
      </w:r>
      <w:r w:rsidR="00F82431" w:rsidRPr="0054131B">
        <w:rPr>
          <w:rFonts w:ascii="Times New Roman" w:hAnsi="Times New Roman"/>
          <w:sz w:val="24"/>
          <w:szCs w:val="24"/>
        </w:rPr>
        <w:t xml:space="preserve">a teoría del </w:t>
      </w:r>
      <w:r w:rsidR="003F4BEB" w:rsidRPr="0054131B">
        <w:rPr>
          <w:rFonts w:ascii="Times New Roman" w:hAnsi="Times New Roman"/>
          <w:i/>
          <w:sz w:val="24"/>
          <w:szCs w:val="24"/>
        </w:rPr>
        <w:t>Drittwirkung</w:t>
      </w:r>
      <w:r w:rsidR="00F82431" w:rsidRPr="0054131B">
        <w:rPr>
          <w:rFonts w:ascii="Times New Roman" w:hAnsi="Times New Roman"/>
          <w:sz w:val="24"/>
          <w:szCs w:val="24"/>
        </w:rPr>
        <w:t>, inicialmente adoptada por el TEDH</w:t>
      </w:r>
      <w:r w:rsidR="00874CAC" w:rsidRPr="0054131B">
        <w:rPr>
          <w:rStyle w:val="FootnoteReference"/>
          <w:rFonts w:ascii="Times New Roman" w:hAnsi="Times New Roman"/>
          <w:sz w:val="24"/>
          <w:szCs w:val="24"/>
        </w:rPr>
        <w:footnoteReference w:id="17"/>
      </w:r>
      <w:r w:rsidR="00F82431" w:rsidRPr="0054131B">
        <w:rPr>
          <w:rFonts w:ascii="Times New Roman" w:hAnsi="Times New Roman"/>
          <w:sz w:val="24"/>
          <w:szCs w:val="24"/>
        </w:rPr>
        <w:t xml:space="preserve">, </w:t>
      </w:r>
      <w:r w:rsidR="001F1445" w:rsidRPr="0054131B">
        <w:rPr>
          <w:rFonts w:ascii="Times New Roman" w:hAnsi="Times New Roman"/>
          <w:sz w:val="24"/>
          <w:szCs w:val="24"/>
        </w:rPr>
        <w:t>ha sido acogida</w:t>
      </w:r>
      <w:r w:rsidR="00F82431" w:rsidRPr="0054131B">
        <w:rPr>
          <w:rFonts w:ascii="Times New Roman" w:hAnsi="Times New Roman"/>
          <w:sz w:val="24"/>
          <w:szCs w:val="24"/>
        </w:rPr>
        <w:t xml:space="preserve"> por la Corte IDH al establecer que un Estado es responsable por la actuación de tercer</w:t>
      </w:r>
      <w:r w:rsidR="00BC562D" w:rsidRPr="0054131B">
        <w:rPr>
          <w:rFonts w:ascii="Times New Roman" w:hAnsi="Times New Roman"/>
          <w:sz w:val="24"/>
          <w:szCs w:val="24"/>
        </w:rPr>
        <w:t>os que actúen con su tolerancia o</w:t>
      </w:r>
      <w:r w:rsidR="00F82431" w:rsidRPr="0054131B">
        <w:rPr>
          <w:rFonts w:ascii="Times New Roman" w:hAnsi="Times New Roman"/>
          <w:sz w:val="24"/>
          <w:szCs w:val="24"/>
        </w:rPr>
        <w:t xml:space="preserve"> aquiescencia</w:t>
      </w:r>
      <w:r w:rsidR="00874CAC" w:rsidRPr="0054131B">
        <w:rPr>
          <w:rStyle w:val="FootnoteReference"/>
          <w:rFonts w:ascii="Times New Roman" w:hAnsi="Times New Roman"/>
          <w:sz w:val="24"/>
          <w:szCs w:val="24"/>
        </w:rPr>
        <w:footnoteReference w:id="18"/>
      </w:r>
      <w:r w:rsidR="00F82431" w:rsidRPr="0054131B">
        <w:rPr>
          <w:rFonts w:ascii="Times New Roman" w:hAnsi="Times New Roman"/>
          <w:sz w:val="24"/>
          <w:szCs w:val="24"/>
        </w:rPr>
        <w:t xml:space="preserve">. </w:t>
      </w:r>
      <w:r w:rsidR="00BC562D" w:rsidRPr="0054131B">
        <w:rPr>
          <w:rFonts w:ascii="Times New Roman" w:hAnsi="Times New Roman"/>
          <w:sz w:val="24"/>
          <w:szCs w:val="24"/>
        </w:rPr>
        <w:t>Este Tribunal</w:t>
      </w:r>
      <w:r w:rsidR="00F82431" w:rsidRPr="0054131B">
        <w:rPr>
          <w:rFonts w:ascii="Times New Roman" w:hAnsi="Times New Roman"/>
          <w:sz w:val="24"/>
          <w:szCs w:val="24"/>
        </w:rPr>
        <w:t xml:space="preserve">, ha señalado que los Estados tienen la obligación positiva  de adoptar las medidas necesarias para asegurar la efectiva protección de los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w:t>
      </w:r>
      <w:r w:rsidR="00A60CD8" w:rsidRPr="0054131B">
        <w:rPr>
          <w:rFonts w:ascii="Times New Roman" w:hAnsi="Times New Roman"/>
          <w:sz w:val="24"/>
          <w:szCs w:val="24"/>
        </w:rPr>
        <w:t>incluso en las relaciones entre i</w:t>
      </w:r>
      <w:r w:rsidR="00F82431" w:rsidRPr="0054131B">
        <w:rPr>
          <w:rFonts w:ascii="Times New Roman" w:hAnsi="Times New Roman"/>
          <w:sz w:val="24"/>
          <w:szCs w:val="24"/>
        </w:rPr>
        <w:t>ndividuales</w:t>
      </w:r>
      <w:r w:rsidR="00874CAC" w:rsidRPr="0054131B">
        <w:rPr>
          <w:rStyle w:val="FootnoteReference"/>
          <w:rFonts w:ascii="Times New Roman" w:hAnsi="Times New Roman"/>
          <w:sz w:val="24"/>
          <w:szCs w:val="24"/>
        </w:rPr>
        <w:footnoteReference w:id="19"/>
      </w:r>
      <w:r w:rsidR="00F82431" w:rsidRPr="0054131B">
        <w:rPr>
          <w:rFonts w:ascii="Times New Roman" w:hAnsi="Times New Roman"/>
          <w:sz w:val="24"/>
          <w:szCs w:val="24"/>
        </w:rPr>
        <w:t xml:space="preserve">. En el caso de las empresas transnacionales, los </w:t>
      </w:r>
      <w:r w:rsidR="0060720D" w:rsidRPr="0054131B">
        <w:rPr>
          <w:rFonts w:ascii="Times New Roman" w:hAnsi="Times New Roman"/>
          <w:sz w:val="24"/>
          <w:szCs w:val="24"/>
        </w:rPr>
        <w:t>Principios Ruggie</w:t>
      </w:r>
      <w:r w:rsidR="00F82431" w:rsidRPr="0054131B">
        <w:rPr>
          <w:rFonts w:ascii="Times New Roman" w:hAnsi="Times New Roman"/>
          <w:sz w:val="24"/>
          <w:szCs w:val="24"/>
        </w:rPr>
        <w:t xml:space="preserve">, establecen que los Estados tienen una obligación de protección contra las violaciones de los </w:t>
      </w:r>
      <w:r w:rsidR="00363EAA" w:rsidRPr="0054131B">
        <w:rPr>
          <w:rFonts w:ascii="Times New Roman" w:hAnsi="Times New Roman"/>
          <w:sz w:val="24"/>
          <w:szCs w:val="24"/>
        </w:rPr>
        <w:t>DDHH</w:t>
      </w:r>
      <w:r w:rsidR="00BC562D" w:rsidRPr="0054131B">
        <w:rPr>
          <w:rFonts w:ascii="Times New Roman" w:hAnsi="Times New Roman"/>
          <w:sz w:val="24"/>
          <w:szCs w:val="24"/>
        </w:rPr>
        <w:t xml:space="preserve"> cometidas por terceros, incluidas las empresas</w:t>
      </w:r>
      <w:r w:rsidR="00874CAC" w:rsidRPr="0054131B">
        <w:rPr>
          <w:rStyle w:val="FootnoteReference"/>
          <w:rFonts w:ascii="Times New Roman" w:hAnsi="Times New Roman"/>
          <w:sz w:val="24"/>
          <w:szCs w:val="24"/>
        </w:rPr>
        <w:footnoteReference w:id="20"/>
      </w:r>
      <w:r w:rsidR="00F82431" w:rsidRPr="0054131B">
        <w:rPr>
          <w:rFonts w:ascii="Times New Roman" w:hAnsi="Times New Roman"/>
          <w:sz w:val="24"/>
          <w:szCs w:val="24"/>
        </w:rPr>
        <w:t>.</w:t>
      </w:r>
    </w:p>
    <w:p w:rsidR="00F82431" w:rsidRDefault="0088283F"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w:t>
      </w:r>
      <w:r w:rsidR="00D74870" w:rsidRPr="0054131B">
        <w:rPr>
          <w:rFonts w:ascii="Times New Roman" w:hAnsi="Times New Roman"/>
          <w:sz w:val="24"/>
          <w:szCs w:val="24"/>
        </w:rPr>
        <w:t>1</w:t>
      </w:r>
      <w:r w:rsidRPr="0054131B">
        <w:rPr>
          <w:rFonts w:ascii="Times New Roman" w:hAnsi="Times New Roman"/>
          <w:sz w:val="24"/>
          <w:szCs w:val="24"/>
        </w:rPr>
        <w:t xml:space="preserve">. </w:t>
      </w:r>
      <w:r w:rsidR="00F82431" w:rsidRPr="0054131B">
        <w:rPr>
          <w:rFonts w:ascii="Times New Roman" w:hAnsi="Times New Roman"/>
          <w:sz w:val="24"/>
          <w:szCs w:val="24"/>
        </w:rPr>
        <w:t xml:space="preserve">Basándose en la aquiescencia estatal, los tres sistemas regionales de protección de los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han declarado responsabilidad estatal por a</w:t>
      </w:r>
      <w:r w:rsidRPr="0054131B">
        <w:rPr>
          <w:rFonts w:ascii="Times New Roman" w:hAnsi="Times New Roman"/>
          <w:sz w:val="24"/>
          <w:szCs w:val="24"/>
        </w:rPr>
        <w:t>ctuación de empresas; el TEDH</w:t>
      </w:r>
      <w:r w:rsidR="00F82431" w:rsidRPr="0054131B">
        <w:rPr>
          <w:rFonts w:ascii="Times New Roman" w:hAnsi="Times New Roman"/>
          <w:sz w:val="24"/>
          <w:szCs w:val="24"/>
        </w:rPr>
        <w:t>, en el caso Fadeyeva</w:t>
      </w:r>
      <w:r w:rsidR="00097932" w:rsidRPr="0054131B">
        <w:rPr>
          <w:rStyle w:val="FootnoteReference"/>
          <w:rFonts w:ascii="Times New Roman" w:hAnsi="Times New Roman"/>
          <w:sz w:val="24"/>
          <w:szCs w:val="24"/>
        </w:rPr>
        <w:footnoteReference w:id="21"/>
      </w:r>
      <w:r w:rsidR="00F82431" w:rsidRPr="0054131B">
        <w:rPr>
          <w:rFonts w:ascii="Times New Roman" w:hAnsi="Times New Roman"/>
          <w:sz w:val="24"/>
          <w:szCs w:val="24"/>
        </w:rPr>
        <w:t xml:space="preserve">, la Corte IDH en el caso </w:t>
      </w:r>
      <w:r w:rsidR="001F1445" w:rsidRPr="0054131B">
        <w:rPr>
          <w:rFonts w:ascii="Times New Roman" w:hAnsi="Times New Roman"/>
          <w:sz w:val="24"/>
          <w:szCs w:val="24"/>
        </w:rPr>
        <w:t>Xímenes López</w:t>
      </w:r>
      <w:r w:rsidR="00097932" w:rsidRPr="0054131B">
        <w:rPr>
          <w:rStyle w:val="FootnoteReference"/>
          <w:rFonts w:ascii="Times New Roman" w:hAnsi="Times New Roman"/>
          <w:sz w:val="24"/>
          <w:szCs w:val="24"/>
        </w:rPr>
        <w:footnoteReference w:id="22"/>
      </w:r>
      <w:r w:rsidR="00F82431" w:rsidRPr="0054131B">
        <w:rPr>
          <w:rFonts w:ascii="Times New Roman" w:hAnsi="Times New Roman"/>
          <w:sz w:val="24"/>
          <w:szCs w:val="24"/>
        </w:rPr>
        <w:t xml:space="preserve"> y la Comisión Africana de DDHH, en el caso Centro de Acción Social y Económica contra Nigeria</w:t>
      </w:r>
      <w:r w:rsidR="00874CAC" w:rsidRPr="0054131B">
        <w:rPr>
          <w:rStyle w:val="FootnoteReference"/>
          <w:rFonts w:ascii="Times New Roman" w:hAnsi="Times New Roman"/>
          <w:sz w:val="24"/>
          <w:szCs w:val="24"/>
        </w:rPr>
        <w:footnoteReference w:id="23"/>
      </w:r>
      <w:r w:rsidR="00F82431" w:rsidRPr="0054131B">
        <w:rPr>
          <w:rFonts w:ascii="Times New Roman" w:hAnsi="Times New Roman"/>
          <w:sz w:val="24"/>
          <w:szCs w:val="24"/>
        </w:rPr>
        <w:t xml:space="preserve">. Por tanto, </w:t>
      </w:r>
      <w:r w:rsidRPr="0054131B">
        <w:rPr>
          <w:rFonts w:ascii="Times New Roman" w:hAnsi="Times New Roman"/>
          <w:sz w:val="24"/>
          <w:szCs w:val="24"/>
        </w:rPr>
        <w:t xml:space="preserve">el Estado de </w:t>
      </w:r>
      <w:r w:rsidR="00A82AA6" w:rsidRPr="0054131B">
        <w:rPr>
          <w:rFonts w:ascii="Times New Roman" w:hAnsi="Times New Roman"/>
          <w:sz w:val="24"/>
          <w:szCs w:val="24"/>
        </w:rPr>
        <w:t>Santa Clara</w:t>
      </w:r>
      <w:r w:rsidR="00F82431" w:rsidRPr="0054131B">
        <w:rPr>
          <w:rFonts w:ascii="Times New Roman" w:hAnsi="Times New Roman"/>
          <w:sz w:val="24"/>
          <w:szCs w:val="24"/>
        </w:rPr>
        <w:t xml:space="preserve"> puede ser</w:t>
      </w:r>
      <w:r w:rsidRPr="0054131B">
        <w:rPr>
          <w:rFonts w:ascii="Times New Roman" w:hAnsi="Times New Roman"/>
          <w:sz w:val="24"/>
          <w:szCs w:val="24"/>
        </w:rPr>
        <w:t xml:space="preserve"> declarado</w:t>
      </w:r>
      <w:r w:rsidR="00F82431" w:rsidRPr="0054131B">
        <w:rPr>
          <w:rFonts w:ascii="Times New Roman" w:hAnsi="Times New Roman"/>
          <w:sz w:val="24"/>
          <w:szCs w:val="24"/>
        </w:rPr>
        <w:t xml:space="preserve"> internacionalmente responsable</w:t>
      </w:r>
      <w:r w:rsidRPr="0054131B">
        <w:rPr>
          <w:rFonts w:ascii="Times New Roman" w:hAnsi="Times New Roman"/>
          <w:sz w:val="24"/>
          <w:szCs w:val="24"/>
        </w:rPr>
        <w:t>,</w:t>
      </w:r>
      <w:r w:rsidR="00F82431" w:rsidRPr="0054131B">
        <w:rPr>
          <w:rFonts w:ascii="Times New Roman" w:hAnsi="Times New Roman"/>
          <w:sz w:val="24"/>
          <w:szCs w:val="24"/>
        </w:rPr>
        <w:t xml:space="preserve"> en caso se demuestre su a</w:t>
      </w:r>
      <w:r w:rsidR="00A82AA6" w:rsidRPr="0054131B">
        <w:rPr>
          <w:rFonts w:ascii="Times New Roman" w:hAnsi="Times New Roman"/>
          <w:sz w:val="24"/>
          <w:szCs w:val="24"/>
        </w:rPr>
        <w:t>quiescencia en violaciones a</w:t>
      </w:r>
      <w:r w:rsidR="0092621C" w:rsidRPr="0054131B">
        <w:rPr>
          <w:rFonts w:ascii="Times New Roman" w:hAnsi="Times New Roman"/>
          <w:sz w:val="24"/>
          <w:szCs w:val="24"/>
        </w:rPr>
        <w:t xml:space="preserve"> los</w:t>
      </w:r>
      <w:r w:rsidR="00F82431" w:rsidRPr="0054131B">
        <w:rPr>
          <w:rFonts w:ascii="Times New Roman" w:hAnsi="Times New Roman"/>
          <w:sz w:val="24"/>
          <w:szCs w:val="24"/>
        </w:rPr>
        <w:t xml:space="preserve">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cometidas por </w:t>
      </w:r>
      <w:r w:rsidR="004B71C0" w:rsidRPr="0054131B">
        <w:rPr>
          <w:rFonts w:ascii="Times New Roman" w:hAnsi="Times New Roman"/>
          <w:sz w:val="24"/>
          <w:szCs w:val="24"/>
        </w:rPr>
        <w:t xml:space="preserve">empresas como </w:t>
      </w:r>
      <w:r w:rsidR="00F82431" w:rsidRPr="0054131B">
        <w:rPr>
          <w:rFonts w:ascii="Times New Roman" w:hAnsi="Times New Roman"/>
          <w:sz w:val="24"/>
          <w:szCs w:val="24"/>
        </w:rPr>
        <w:t>Miningcorp y Silverfield.</w:t>
      </w:r>
    </w:p>
    <w:p w:rsidR="008E5A4C" w:rsidRPr="0054131B" w:rsidRDefault="008E5A4C" w:rsidP="003B1275">
      <w:pPr>
        <w:pStyle w:val="NoSpacing"/>
        <w:widowControl w:val="0"/>
        <w:spacing w:line="480" w:lineRule="auto"/>
        <w:jc w:val="both"/>
        <w:rPr>
          <w:rFonts w:ascii="Times New Roman" w:hAnsi="Times New Roman"/>
          <w:sz w:val="24"/>
          <w:szCs w:val="24"/>
        </w:rPr>
      </w:pPr>
    </w:p>
    <w:p w:rsidR="006729AB" w:rsidRPr="0054131B" w:rsidRDefault="00B24983" w:rsidP="003B1275">
      <w:pPr>
        <w:pStyle w:val="NoSpacing"/>
        <w:widowControl w:val="0"/>
        <w:spacing w:line="480" w:lineRule="auto"/>
        <w:jc w:val="both"/>
        <w:outlineLvl w:val="2"/>
        <w:rPr>
          <w:rFonts w:ascii="Times New Roman" w:hAnsi="Times New Roman"/>
          <w:b/>
          <w:sz w:val="24"/>
          <w:szCs w:val="24"/>
        </w:rPr>
      </w:pPr>
      <w:bookmarkStart w:id="37" w:name="_Toc446776781"/>
      <w:r w:rsidRPr="0054131B">
        <w:rPr>
          <w:rFonts w:ascii="Times New Roman" w:hAnsi="Times New Roman"/>
          <w:b/>
          <w:sz w:val="24"/>
          <w:szCs w:val="24"/>
        </w:rPr>
        <w:lastRenderedPageBreak/>
        <w:t>B</w:t>
      </w:r>
      <w:r w:rsidR="006729AB" w:rsidRPr="0054131B">
        <w:rPr>
          <w:rFonts w:ascii="Times New Roman" w:hAnsi="Times New Roman"/>
          <w:b/>
          <w:sz w:val="24"/>
          <w:szCs w:val="24"/>
        </w:rPr>
        <w:t xml:space="preserve">.3 Sobre las violaciones de </w:t>
      </w:r>
      <w:r w:rsidR="002E2709">
        <w:rPr>
          <w:rFonts w:ascii="Times New Roman" w:hAnsi="Times New Roman"/>
          <w:b/>
          <w:sz w:val="24"/>
          <w:szCs w:val="24"/>
        </w:rPr>
        <w:t>Derechos Humanos</w:t>
      </w:r>
      <w:r w:rsidR="006729AB" w:rsidRPr="0054131B">
        <w:rPr>
          <w:rFonts w:ascii="Times New Roman" w:hAnsi="Times New Roman"/>
          <w:b/>
          <w:sz w:val="24"/>
          <w:szCs w:val="24"/>
        </w:rPr>
        <w:t xml:space="preserve"> en perju</w:t>
      </w:r>
      <w:r w:rsidR="004F6534" w:rsidRPr="0054131B">
        <w:rPr>
          <w:rFonts w:ascii="Times New Roman" w:hAnsi="Times New Roman"/>
          <w:b/>
          <w:sz w:val="24"/>
          <w:szCs w:val="24"/>
        </w:rPr>
        <w:t>icio de la familia Camana</w:t>
      </w:r>
      <w:bookmarkEnd w:id="37"/>
    </w:p>
    <w:p w:rsidR="00F82431" w:rsidRPr="0054131B" w:rsidRDefault="00B24983" w:rsidP="003B1275">
      <w:pPr>
        <w:pStyle w:val="NoSpacing"/>
        <w:spacing w:line="480" w:lineRule="auto"/>
        <w:jc w:val="both"/>
        <w:outlineLvl w:val="2"/>
        <w:rPr>
          <w:rFonts w:ascii="Times New Roman" w:hAnsi="Times New Roman"/>
          <w:b/>
          <w:sz w:val="24"/>
          <w:szCs w:val="24"/>
        </w:rPr>
      </w:pPr>
      <w:bookmarkStart w:id="38" w:name="_Toc446715474"/>
      <w:bookmarkStart w:id="39" w:name="_Toc446716097"/>
      <w:bookmarkStart w:id="40" w:name="_Toc446716828"/>
      <w:bookmarkStart w:id="41" w:name="_Toc446717039"/>
      <w:bookmarkStart w:id="42" w:name="_Toc446776782"/>
      <w:r w:rsidRPr="0054131B">
        <w:rPr>
          <w:rFonts w:ascii="Times New Roman" w:hAnsi="Times New Roman"/>
          <w:b/>
          <w:sz w:val="24"/>
          <w:szCs w:val="24"/>
        </w:rPr>
        <w:t>B</w:t>
      </w:r>
      <w:r w:rsidR="002E6DBE" w:rsidRPr="0054131B">
        <w:rPr>
          <w:rFonts w:ascii="Times New Roman" w:hAnsi="Times New Roman"/>
          <w:b/>
          <w:sz w:val="24"/>
          <w:szCs w:val="24"/>
        </w:rPr>
        <w:t>.3</w:t>
      </w:r>
      <w:r w:rsidR="008201EE" w:rsidRPr="0054131B">
        <w:rPr>
          <w:rFonts w:ascii="Times New Roman" w:hAnsi="Times New Roman"/>
          <w:b/>
          <w:sz w:val="24"/>
          <w:szCs w:val="24"/>
        </w:rPr>
        <w:t>.1</w:t>
      </w:r>
      <w:r w:rsidR="002E6DBE" w:rsidRPr="0054131B">
        <w:rPr>
          <w:rFonts w:ascii="Times New Roman" w:hAnsi="Times New Roman"/>
          <w:b/>
          <w:sz w:val="24"/>
          <w:szCs w:val="24"/>
        </w:rPr>
        <w:t xml:space="preserve"> Violación de los arts.</w:t>
      </w:r>
      <w:r w:rsidR="00A31DCD" w:rsidRPr="0054131B">
        <w:rPr>
          <w:rFonts w:ascii="Times New Roman" w:hAnsi="Times New Roman"/>
          <w:b/>
          <w:sz w:val="24"/>
          <w:szCs w:val="24"/>
        </w:rPr>
        <w:t xml:space="preserve"> </w:t>
      </w:r>
      <w:r w:rsidR="002E6DBE" w:rsidRPr="0054131B">
        <w:rPr>
          <w:rFonts w:ascii="Times New Roman" w:hAnsi="Times New Roman"/>
          <w:b/>
          <w:sz w:val="24"/>
          <w:szCs w:val="24"/>
        </w:rPr>
        <w:t>4, 8, 25</w:t>
      </w:r>
      <w:r w:rsidR="00F82431" w:rsidRPr="0054131B">
        <w:rPr>
          <w:rFonts w:ascii="Times New Roman" w:hAnsi="Times New Roman"/>
          <w:b/>
          <w:sz w:val="24"/>
          <w:szCs w:val="24"/>
        </w:rPr>
        <w:t xml:space="preserve"> de la CADH en perjuicio </w:t>
      </w:r>
      <w:r w:rsidR="002E6DBE" w:rsidRPr="0054131B">
        <w:rPr>
          <w:rFonts w:ascii="Times New Roman" w:hAnsi="Times New Roman"/>
          <w:b/>
          <w:sz w:val="24"/>
          <w:szCs w:val="24"/>
        </w:rPr>
        <w:t>de la familia Camana</w:t>
      </w:r>
      <w:bookmarkEnd w:id="38"/>
      <w:bookmarkEnd w:id="39"/>
      <w:bookmarkEnd w:id="40"/>
      <w:bookmarkEnd w:id="41"/>
      <w:bookmarkEnd w:id="42"/>
    </w:p>
    <w:p w:rsidR="00874CAC" w:rsidRPr="0054131B" w:rsidRDefault="002E6DBE"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2</w:t>
      </w:r>
      <w:r w:rsidR="00D74870" w:rsidRPr="0054131B">
        <w:rPr>
          <w:rFonts w:ascii="Times New Roman" w:hAnsi="Times New Roman"/>
          <w:sz w:val="24"/>
          <w:szCs w:val="24"/>
        </w:rPr>
        <w:t>2</w:t>
      </w:r>
      <w:r w:rsidRPr="0054131B">
        <w:rPr>
          <w:rFonts w:ascii="Times New Roman" w:hAnsi="Times New Roman"/>
          <w:sz w:val="24"/>
          <w:szCs w:val="24"/>
        </w:rPr>
        <w:t xml:space="preserve">. </w:t>
      </w:r>
      <w:r w:rsidR="00F82431" w:rsidRPr="0054131B">
        <w:rPr>
          <w:rFonts w:ascii="Times New Roman" w:hAnsi="Times New Roman"/>
          <w:sz w:val="24"/>
          <w:szCs w:val="24"/>
        </w:rPr>
        <w:t>Una de las condiciones para garantizar efectivamente e</w:t>
      </w:r>
      <w:r w:rsidR="002025CC" w:rsidRPr="0054131B">
        <w:rPr>
          <w:rFonts w:ascii="Times New Roman" w:hAnsi="Times New Roman"/>
          <w:sz w:val="24"/>
          <w:szCs w:val="24"/>
        </w:rPr>
        <w:t>l derecho a la vida (artículo 4 de la CADH) se refleja,</w:t>
      </w:r>
      <w:r w:rsidR="00F82431" w:rsidRPr="0054131B">
        <w:rPr>
          <w:rFonts w:ascii="Times New Roman" w:hAnsi="Times New Roman"/>
          <w:sz w:val="24"/>
          <w:szCs w:val="24"/>
        </w:rPr>
        <w:t xml:space="preserve"> necesariamente, en el deber de investigar las afectaciones a es</w:t>
      </w:r>
      <w:r w:rsidR="000F17AF" w:rsidRPr="0054131B">
        <w:rPr>
          <w:rFonts w:ascii="Times New Roman" w:hAnsi="Times New Roman"/>
          <w:sz w:val="24"/>
          <w:szCs w:val="24"/>
        </w:rPr>
        <w:t>t</w:t>
      </w:r>
      <w:r w:rsidR="00F82431" w:rsidRPr="0054131B">
        <w:rPr>
          <w:rFonts w:ascii="Times New Roman" w:hAnsi="Times New Roman"/>
          <w:sz w:val="24"/>
          <w:szCs w:val="24"/>
        </w:rPr>
        <w:t>e derecho</w:t>
      </w:r>
      <w:r w:rsidR="00F82431" w:rsidRPr="0054131B">
        <w:rPr>
          <w:rStyle w:val="FootnoteReference"/>
          <w:rFonts w:ascii="Times New Roman" w:hAnsi="Times New Roman"/>
          <w:sz w:val="24"/>
          <w:szCs w:val="24"/>
        </w:rPr>
        <w:footnoteReference w:id="24"/>
      </w:r>
      <w:r w:rsidR="000F17AF" w:rsidRPr="0054131B">
        <w:rPr>
          <w:rFonts w:ascii="Times New Roman" w:hAnsi="Times New Roman"/>
          <w:sz w:val="24"/>
          <w:szCs w:val="24"/>
        </w:rPr>
        <w:t>.</w:t>
      </w:r>
      <w:r w:rsidR="002025CC" w:rsidRPr="0054131B">
        <w:rPr>
          <w:rFonts w:ascii="Times New Roman" w:hAnsi="Times New Roman"/>
          <w:sz w:val="24"/>
          <w:szCs w:val="24"/>
        </w:rPr>
        <w:t xml:space="preserve"> </w:t>
      </w:r>
      <w:r w:rsidR="000F17AF" w:rsidRPr="0054131B">
        <w:rPr>
          <w:rFonts w:ascii="Times New Roman" w:hAnsi="Times New Roman"/>
          <w:sz w:val="24"/>
          <w:szCs w:val="24"/>
        </w:rPr>
        <w:t>C</w:t>
      </w:r>
      <w:r w:rsidR="00E96AD1" w:rsidRPr="0054131B">
        <w:rPr>
          <w:rFonts w:ascii="Times New Roman" w:hAnsi="Times New Roman"/>
          <w:sz w:val="24"/>
          <w:szCs w:val="24"/>
        </w:rPr>
        <w:t>onsecuentemente, un Estado puede ser internacionalmente responsable</w:t>
      </w:r>
      <w:r w:rsidR="000F3630" w:rsidRPr="0054131B">
        <w:rPr>
          <w:rFonts w:ascii="Times New Roman" w:hAnsi="Times New Roman"/>
          <w:sz w:val="24"/>
          <w:szCs w:val="24"/>
        </w:rPr>
        <w:t xml:space="preserve"> cuando incumpla</w:t>
      </w:r>
      <w:r w:rsidR="00E96AD1" w:rsidRPr="0054131B">
        <w:rPr>
          <w:rFonts w:ascii="Times New Roman" w:hAnsi="Times New Roman"/>
          <w:sz w:val="24"/>
          <w:szCs w:val="24"/>
        </w:rPr>
        <w:t xml:space="preserve"> con</w:t>
      </w:r>
      <w:r w:rsidR="000F17AF" w:rsidRPr="0054131B">
        <w:rPr>
          <w:rFonts w:ascii="Times New Roman" w:hAnsi="Times New Roman"/>
          <w:sz w:val="24"/>
          <w:szCs w:val="24"/>
        </w:rPr>
        <w:t xml:space="preserve"> este deber</w:t>
      </w:r>
      <w:r w:rsidR="00E96AD1" w:rsidRPr="0054131B">
        <w:rPr>
          <w:rFonts w:ascii="Times New Roman" w:hAnsi="Times New Roman"/>
          <w:sz w:val="24"/>
          <w:szCs w:val="24"/>
        </w:rPr>
        <w:t>, ya que</w:t>
      </w:r>
      <w:r w:rsidR="000F3630" w:rsidRPr="0054131B">
        <w:rPr>
          <w:rFonts w:ascii="Times New Roman" w:hAnsi="Times New Roman"/>
          <w:sz w:val="24"/>
          <w:szCs w:val="24"/>
        </w:rPr>
        <w:t xml:space="preserve"> </w:t>
      </w:r>
      <w:r w:rsidR="00E96AD1" w:rsidRPr="0054131B">
        <w:rPr>
          <w:rFonts w:ascii="Times New Roman" w:hAnsi="Times New Roman"/>
          <w:sz w:val="24"/>
          <w:szCs w:val="24"/>
        </w:rPr>
        <w:t>auxiliaría</w:t>
      </w:r>
      <w:r w:rsidR="00F82431" w:rsidRPr="0054131B">
        <w:rPr>
          <w:rFonts w:ascii="Times New Roman" w:hAnsi="Times New Roman"/>
          <w:sz w:val="24"/>
          <w:szCs w:val="24"/>
        </w:rPr>
        <w:t>, en cierto modo, a los autores de la violación</w:t>
      </w:r>
      <w:r w:rsidR="00F82431" w:rsidRPr="0054131B">
        <w:rPr>
          <w:rStyle w:val="FootnoteReference"/>
          <w:rFonts w:ascii="Times New Roman" w:hAnsi="Times New Roman"/>
          <w:sz w:val="24"/>
          <w:szCs w:val="24"/>
        </w:rPr>
        <w:footnoteReference w:id="25"/>
      </w:r>
      <w:r w:rsidR="00F82431" w:rsidRPr="0054131B">
        <w:rPr>
          <w:rFonts w:ascii="Times New Roman" w:hAnsi="Times New Roman"/>
          <w:sz w:val="24"/>
          <w:szCs w:val="24"/>
        </w:rPr>
        <w:t>.</w:t>
      </w:r>
    </w:p>
    <w:p w:rsidR="000F17AF"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23</w:t>
      </w:r>
      <w:r w:rsidR="000F17AF" w:rsidRPr="0054131B">
        <w:rPr>
          <w:rFonts w:ascii="Times New Roman" w:hAnsi="Times New Roman"/>
          <w:sz w:val="24"/>
          <w:szCs w:val="24"/>
        </w:rPr>
        <w:t xml:space="preserve">. </w:t>
      </w:r>
      <w:r w:rsidR="00F82431" w:rsidRPr="0054131B">
        <w:rPr>
          <w:rFonts w:ascii="Times New Roman" w:hAnsi="Times New Roman"/>
          <w:sz w:val="24"/>
          <w:szCs w:val="24"/>
        </w:rPr>
        <w:t xml:space="preserve">En </w:t>
      </w:r>
      <w:r w:rsidR="00A8719A" w:rsidRPr="0054131B">
        <w:rPr>
          <w:rFonts w:ascii="Times New Roman" w:hAnsi="Times New Roman"/>
          <w:sz w:val="24"/>
          <w:szCs w:val="24"/>
        </w:rPr>
        <w:t>este sentido</w:t>
      </w:r>
      <w:r w:rsidR="000F17AF" w:rsidRPr="0054131B">
        <w:rPr>
          <w:rFonts w:ascii="Times New Roman" w:hAnsi="Times New Roman"/>
          <w:sz w:val="24"/>
          <w:szCs w:val="24"/>
        </w:rPr>
        <w:t>, la CIDH ha establecido que un</w:t>
      </w:r>
      <w:r w:rsidR="00F82431" w:rsidRPr="0054131B">
        <w:rPr>
          <w:rFonts w:ascii="Times New Roman" w:hAnsi="Times New Roman"/>
          <w:sz w:val="24"/>
          <w:szCs w:val="24"/>
        </w:rPr>
        <w:t xml:space="preserve"> Estado incurre en responsabilidad</w:t>
      </w:r>
      <w:r w:rsidR="000F3630" w:rsidRPr="0054131B">
        <w:rPr>
          <w:rFonts w:ascii="Times New Roman" w:hAnsi="Times New Roman"/>
          <w:sz w:val="24"/>
          <w:szCs w:val="24"/>
        </w:rPr>
        <w:t xml:space="preserve"> internacional</w:t>
      </w:r>
      <w:r w:rsidR="00F82431" w:rsidRPr="0054131B">
        <w:rPr>
          <w:rFonts w:ascii="Times New Roman" w:hAnsi="Times New Roman"/>
          <w:sz w:val="24"/>
          <w:szCs w:val="24"/>
        </w:rPr>
        <w:t xml:space="preserve"> cuando, a</w:t>
      </w:r>
      <w:r w:rsidR="006A6A52" w:rsidRPr="0054131B">
        <w:rPr>
          <w:rFonts w:ascii="Times New Roman" w:hAnsi="Times New Roman"/>
          <w:sz w:val="24"/>
          <w:szCs w:val="24"/>
        </w:rPr>
        <w:t>u</w:t>
      </w:r>
      <w:r w:rsidR="00F82431" w:rsidRPr="0054131B">
        <w:rPr>
          <w:rFonts w:ascii="Times New Roman" w:hAnsi="Times New Roman"/>
          <w:sz w:val="24"/>
          <w:szCs w:val="24"/>
        </w:rPr>
        <w:t xml:space="preserve">n sin haber violado directamente </w:t>
      </w:r>
      <w:r w:rsidR="000F3630" w:rsidRPr="0054131B">
        <w:rPr>
          <w:rFonts w:ascii="Times New Roman" w:hAnsi="Times New Roman"/>
          <w:sz w:val="24"/>
          <w:szCs w:val="24"/>
        </w:rPr>
        <w:t>el derecho a la vida</w:t>
      </w:r>
      <w:r w:rsidR="00F82431" w:rsidRPr="0054131B">
        <w:rPr>
          <w:rFonts w:ascii="Times New Roman" w:hAnsi="Times New Roman"/>
          <w:sz w:val="24"/>
          <w:szCs w:val="24"/>
        </w:rPr>
        <w:t xml:space="preserve">, no efectúa una investigación seria de la privación </w:t>
      </w:r>
      <w:r w:rsidR="000F3630" w:rsidRPr="0054131B">
        <w:rPr>
          <w:rFonts w:ascii="Times New Roman" w:hAnsi="Times New Roman"/>
          <w:sz w:val="24"/>
          <w:szCs w:val="24"/>
        </w:rPr>
        <w:t>de este derecho</w:t>
      </w:r>
      <w:r w:rsidR="00F82431" w:rsidRPr="0054131B">
        <w:rPr>
          <w:rStyle w:val="FootnoteReference"/>
          <w:rFonts w:ascii="Times New Roman" w:hAnsi="Times New Roman"/>
          <w:sz w:val="24"/>
          <w:szCs w:val="24"/>
        </w:rPr>
        <w:footnoteReference w:id="26"/>
      </w:r>
      <w:r w:rsidR="00F82431" w:rsidRPr="0054131B">
        <w:rPr>
          <w:rFonts w:ascii="Times New Roman" w:hAnsi="Times New Roman"/>
          <w:sz w:val="24"/>
          <w:szCs w:val="24"/>
        </w:rPr>
        <w:t>. En efecto, la ausencia de investigación crea un ambiente de impunidad que promueve la repetición de los hechos</w:t>
      </w:r>
      <w:r w:rsidR="006A6A52" w:rsidRPr="0054131B">
        <w:rPr>
          <w:rFonts w:ascii="Times New Roman" w:hAnsi="Times New Roman"/>
          <w:sz w:val="24"/>
          <w:szCs w:val="24"/>
        </w:rPr>
        <w:t>,</w:t>
      </w:r>
      <w:r w:rsidR="00F82431" w:rsidRPr="0054131B">
        <w:rPr>
          <w:rFonts w:ascii="Times New Roman" w:hAnsi="Times New Roman"/>
          <w:sz w:val="24"/>
          <w:szCs w:val="24"/>
        </w:rPr>
        <w:t xml:space="preserve"> lo que es contrario al derecho a la vida</w:t>
      </w:r>
      <w:r w:rsidR="00F82431" w:rsidRPr="0054131B">
        <w:rPr>
          <w:rStyle w:val="FootnoteReference"/>
          <w:rFonts w:ascii="Times New Roman" w:hAnsi="Times New Roman"/>
          <w:sz w:val="24"/>
          <w:szCs w:val="24"/>
        </w:rPr>
        <w:footnoteReference w:id="27"/>
      </w:r>
      <w:r w:rsidR="00F82431" w:rsidRPr="0054131B">
        <w:rPr>
          <w:rFonts w:ascii="Times New Roman" w:hAnsi="Times New Roman"/>
          <w:sz w:val="24"/>
          <w:szCs w:val="24"/>
        </w:rPr>
        <w:t xml:space="preserve"> y al derecho a gozar de un recurso efectivo</w:t>
      </w:r>
      <w:r w:rsidR="00F82431" w:rsidRPr="0054131B">
        <w:rPr>
          <w:rStyle w:val="FootnoteReference"/>
          <w:rFonts w:ascii="Times New Roman" w:hAnsi="Times New Roman"/>
          <w:sz w:val="24"/>
          <w:szCs w:val="24"/>
        </w:rPr>
        <w:footnoteReference w:id="28"/>
      </w:r>
      <w:r w:rsidR="00F82431" w:rsidRPr="0054131B">
        <w:rPr>
          <w:rFonts w:ascii="Times New Roman" w:hAnsi="Times New Roman"/>
          <w:sz w:val="24"/>
          <w:szCs w:val="24"/>
        </w:rPr>
        <w:t xml:space="preserve">. </w:t>
      </w:r>
    </w:p>
    <w:p w:rsidR="00097932"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24</w:t>
      </w:r>
      <w:r w:rsidR="00E11902" w:rsidRPr="0054131B">
        <w:rPr>
          <w:rFonts w:ascii="Times New Roman" w:hAnsi="Times New Roman"/>
          <w:sz w:val="24"/>
          <w:szCs w:val="24"/>
        </w:rPr>
        <w:t xml:space="preserve">. </w:t>
      </w:r>
      <w:r w:rsidR="003D5FF1" w:rsidRPr="0054131B">
        <w:rPr>
          <w:rFonts w:ascii="Times New Roman" w:hAnsi="Times New Roman"/>
          <w:sz w:val="24"/>
          <w:szCs w:val="24"/>
        </w:rPr>
        <w:t xml:space="preserve">Lógicamente, la </w:t>
      </w:r>
      <w:r w:rsidR="00F82431" w:rsidRPr="0054131B">
        <w:rPr>
          <w:rFonts w:ascii="Times New Roman" w:hAnsi="Times New Roman"/>
          <w:sz w:val="24"/>
          <w:szCs w:val="24"/>
        </w:rPr>
        <w:t xml:space="preserve">ausencia de investigación no sólo </w:t>
      </w:r>
      <w:r w:rsidR="000F17AF" w:rsidRPr="0054131B">
        <w:rPr>
          <w:rFonts w:ascii="Times New Roman" w:hAnsi="Times New Roman"/>
          <w:sz w:val="24"/>
          <w:szCs w:val="24"/>
        </w:rPr>
        <w:t>v</w:t>
      </w:r>
      <w:r w:rsidR="00E11902" w:rsidRPr="0054131B">
        <w:rPr>
          <w:rFonts w:ascii="Times New Roman" w:hAnsi="Times New Roman"/>
          <w:sz w:val="24"/>
          <w:szCs w:val="24"/>
        </w:rPr>
        <w:t>ulnera el artículo</w:t>
      </w:r>
      <w:r w:rsidR="000F17AF" w:rsidRPr="0054131B">
        <w:rPr>
          <w:rFonts w:ascii="Times New Roman" w:hAnsi="Times New Roman"/>
          <w:sz w:val="24"/>
          <w:szCs w:val="24"/>
        </w:rPr>
        <w:t xml:space="preserve"> 4, sino también, los artículos 8 y 25 de la CADH, </w:t>
      </w:r>
      <w:r w:rsidR="00F82431" w:rsidRPr="0054131B">
        <w:rPr>
          <w:rFonts w:ascii="Times New Roman" w:hAnsi="Times New Roman"/>
          <w:sz w:val="24"/>
          <w:szCs w:val="24"/>
        </w:rPr>
        <w:t>en tanto no puede</w:t>
      </w:r>
      <w:r w:rsidR="000F17AF" w:rsidRPr="0054131B">
        <w:rPr>
          <w:rFonts w:ascii="Times New Roman" w:hAnsi="Times New Roman"/>
          <w:sz w:val="24"/>
          <w:szCs w:val="24"/>
        </w:rPr>
        <w:t>n</w:t>
      </w:r>
      <w:r w:rsidR="00F82431" w:rsidRPr="0054131B">
        <w:rPr>
          <w:rFonts w:ascii="Times New Roman" w:hAnsi="Times New Roman"/>
          <w:sz w:val="24"/>
          <w:szCs w:val="24"/>
        </w:rPr>
        <w:t xml:space="preserve"> exi</w:t>
      </w:r>
      <w:r w:rsidR="000F17AF" w:rsidRPr="0054131B">
        <w:rPr>
          <w:rFonts w:ascii="Times New Roman" w:hAnsi="Times New Roman"/>
          <w:sz w:val="24"/>
          <w:szCs w:val="24"/>
        </w:rPr>
        <w:t>stir garantías judiciales ni un recurso que dé</w:t>
      </w:r>
      <w:r w:rsidR="00F82431" w:rsidRPr="0054131B">
        <w:rPr>
          <w:rFonts w:ascii="Times New Roman" w:hAnsi="Times New Roman"/>
          <w:sz w:val="24"/>
          <w:szCs w:val="24"/>
        </w:rPr>
        <w:t xml:space="preserve"> respuesta a las violaciones de </w:t>
      </w:r>
      <w:r w:rsidR="00363EAA" w:rsidRPr="0054131B">
        <w:rPr>
          <w:rFonts w:ascii="Times New Roman" w:hAnsi="Times New Roman"/>
          <w:sz w:val="24"/>
          <w:szCs w:val="24"/>
        </w:rPr>
        <w:t>DDHH</w:t>
      </w:r>
      <w:r w:rsidR="00F82431" w:rsidRPr="0054131B">
        <w:rPr>
          <w:rStyle w:val="FootnoteReference"/>
          <w:rFonts w:ascii="Times New Roman" w:hAnsi="Times New Roman"/>
          <w:sz w:val="24"/>
          <w:szCs w:val="24"/>
        </w:rPr>
        <w:footnoteReference w:id="29"/>
      </w:r>
      <w:r w:rsidR="003D5FF1" w:rsidRPr="0054131B">
        <w:rPr>
          <w:rFonts w:ascii="Times New Roman" w:hAnsi="Times New Roman"/>
          <w:sz w:val="24"/>
          <w:szCs w:val="24"/>
        </w:rPr>
        <w:t xml:space="preserve"> </w:t>
      </w:r>
      <w:r w:rsidR="00F82431" w:rsidRPr="0054131B">
        <w:rPr>
          <w:rFonts w:ascii="Times New Roman" w:hAnsi="Times New Roman"/>
          <w:sz w:val="24"/>
          <w:szCs w:val="24"/>
        </w:rPr>
        <w:t>en un ambiente de impunidad.</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25</w:t>
      </w:r>
      <w:r w:rsidR="000F17AF" w:rsidRPr="0054131B">
        <w:rPr>
          <w:rFonts w:ascii="Times New Roman" w:hAnsi="Times New Roman"/>
          <w:sz w:val="24"/>
          <w:szCs w:val="24"/>
        </w:rPr>
        <w:t xml:space="preserve">. </w:t>
      </w:r>
      <w:r w:rsidR="00F82431" w:rsidRPr="0054131B">
        <w:rPr>
          <w:rFonts w:ascii="Times New Roman" w:hAnsi="Times New Roman"/>
          <w:sz w:val="24"/>
          <w:szCs w:val="24"/>
        </w:rPr>
        <w:t xml:space="preserve">El deber de investigación </w:t>
      </w:r>
      <w:r w:rsidR="003E5138" w:rsidRPr="0054131B">
        <w:rPr>
          <w:rFonts w:ascii="Times New Roman" w:hAnsi="Times New Roman"/>
          <w:sz w:val="24"/>
          <w:szCs w:val="24"/>
        </w:rPr>
        <w:t xml:space="preserve">es una </w:t>
      </w:r>
      <w:r w:rsidR="00F82431" w:rsidRPr="0054131B">
        <w:rPr>
          <w:rFonts w:ascii="Times New Roman" w:hAnsi="Times New Roman"/>
          <w:sz w:val="24"/>
          <w:szCs w:val="24"/>
        </w:rPr>
        <w:t xml:space="preserve">obligación </w:t>
      </w:r>
      <w:r w:rsidR="003E5138" w:rsidRPr="0054131B">
        <w:rPr>
          <w:rFonts w:ascii="Times New Roman" w:hAnsi="Times New Roman"/>
          <w:sz w:val="24"/>
          <w:szCs w:val="24"/>
        </w:rPr>
        <w:t xml:space="preserve">de garantía </w:t>
      </w:r>
      <w:r w:rsidR="00D2636A" w:rsidRPr="0054131B">
        <w:rPr>
          <w:rFonts w:ascii="Times New Roman" w:hAnsi="Times New Roman"/>
          <w:sz w:val="24"/>
          <w:szCs w:val="24"/>
        </w:rPr>
        <w:t>del derecho a la vida</w:t>
      </w:r>
      <w:r w:rsidR="003E5138" w:rsidRPr="0054131B">
        <w:rPr>
          <w:rStyle w:val="FootnoteReference"/>
          <w:rFonts w:ascii="Times New Roman" w:hAnsi="Times New Roman"/>
          <w:sz w:val="24"/>
          <w:szCs w:val="24"/>
        </w:rPr>
        <w:footnoteReference w:id="30"/>
      </w:r>
      <w:r w:rsidR="00583B46" w:rsidRPr="0054131B">
        <w:rPr>
          <w:rFonts w:ascii="Times New Roman" w:hAnsi="Times New Roman"/>
          <w:sz w:val="24"/>
          <w:szCs w:val="24"/>
        </w:rPr>
        <w:t xml:space="preserve"> </w:t>
      </w:r>
      <w:r w:rsidR="00F82431" w:rsidRPr="0054131B">
        <w:rPr>
          <w:rFonts w:ascii="Times New Roman" w:hAnsi="Times New Roman"/>
          <w:sz w:val="24"/>
          <w:szCs w:val="24"/>
        </w:rPr>
        <w:t xml:space="preserve">que deben </w:t>
      </w:r>
      <w:r w:rsidR="00F82431" w:rsidRPr="0054131B">
        <w:rPr>
          <w:rFonts w:ascii="Times New Roman" w:hAnsi="Times New Roman"/>
          <w:sz w:val="24"/>
          <w:szCs w:val="24"/>
        </w:rPr>
        <w:lastRenderedPageBreak/>
        <w:t>iniciar de oficio los Estados</w:t>
      </w:r>
      <w:r w:rsidR="00F82431" w:rsidRPr="0054131B">
        <w:rPr>
          <w:rStyle w:val="FootnoteReference"/>
          <w:rFonts w:ascii="Times New Roman" w:hAnsi="Times New Roman"/>
          <w:sz w:val="24"/>
          <w:szCs w:val="24"/>
        </w:rPr>
        <w:footnoteReference w:id="31"/>
      </w:r>
      <w:r w:rsidR="00583B46" w:rsidRPr="0054131B">
        <w:rPr>
          <w:rFonts w:ascii="Times New Roman" w:hAnsi="Times New Roman"/>
          <w:sz w:val="24"/>
          <w:szCs w:val="24"/>
        </w:rPr>
        <w:t xml:space="preserve">, </w:t>
      </w:r>
      <w:r w:rsidR="00D2636A" w:rsidRPr="0054131B">
        <w:rPr>
          <w:rFonts w:ascii="Times New Roman" w:hAnsi="Times New Roman"/>
          <w:sz w:val="24"/>
          <w:szCs w:val="24"/>
        </w:rPr>
        <w:t xml:space="preserve">a </w:t>
      </w:r>
      <w:r w:rsidR="00F82431" w:rsidRPr="0054131B">
        <w:rPr>
          <w:rFonts w:ascii="Times New Roman" w:hAnsi="Times New Roman"/>
          <w:sz w:val="24"/>
          <w:szCs w:val="24"/>
        </w:rPr>
        <w:t>condición de la concurrencia de tres elementos: (i) el conocimiento de una situación de riesgo real e inmediato, (ii) un individuo o grupo de individuos determinado</w:t>
      </w:r>
      <w:r w:rsidR="003E5138" w:rsidRPr="0054131B">
        <w:rPr>
          <w:rFonts w:ascii="Times New Roman" w:hAnsi="Times New Roman"/>
          <w:sz w:val="24"/>
          <w:szCs w:val="24"/>
        </w:rPr>
        <w:t>s</w:t>
      </w:r>
      <w:r w:rsidR="00F82431" w:rsidRPr="0054131B">
        <w:rPr>
          <w:rFonts w:ascii="Times New Roman" w:hAnsi="Times New Roman"/>
          <w:sz w:val="24"/>
          <w:szCs w:val="24"/>
        </w:rPr>
        <w:t xml:space="preserve"> y, (iii) posibilidades razonables de prevenir o evitar ese riesgo</w:t>
      </w:r>
      <w:r w:rsidR="00F82431" w:rsidRPr="0054131B">
        <w:rPr>
          <w:rStyle w:val="FootnoteReference"/>
          <w:rFonts w:ascii="Times New Roman" w:hAnsi="Times New Roman"/>
          <w:sz w:val="24"/>
          <w:szCs w:val="24"/>
        </w:rPr>
        <w:footnoteReference w:id="32"/>
      </w:r>
      <w:r w:rsidR="00F82431" w:rsidRPr="0054131B">
        <w:rPr>
          <w:rFonts w:ascii="Times New Roman" w:hAnsi="Times New Roman"/>
          <w:sz w:val="24"/>
          <w:szCs w:val="24"/>
        </w:rPr>
        <w:t>.</w:t>
      </w:r>
    </w:p>
    <w:p w:rsidR="00BA283A" w:rsidRPr="0054131B" w:rsidRDefault="00B24983" w:rsidP="003B1275">
      <w:pPr>
        <w:pStyle w:val="NoSpacing"/>
        <w:spacing w:line="480" w:lineRule="auto"/>
        <w:jc w:val="both"/>
        <w:rPr>
          <w:rFonts w:ascii="Times New Roman" w:hAnsi="Times New Roman"/>
          <w:b/>
          <w:sz w:val="24"/>
          <w:szCs w:val="24"/>
        </w:rPr>
      </w:pPr>
      <w:r w:rsidRPr="0054131B">
        <w:rPr>
          <w:rFonts w:ascii="Times New Roman" w:hAnsi="Times New Roman"/>
          <w:b/>
          <w:sz w:val="24"/>
          <w:szCs w:val="24"/>
        </w:rPr>
        <w:t>B</w:t>
      </w:r>
      <w:r w:rsidR="00EF5D92" w:rsidRPr="0054131B">
        <w:rPr>
          <w:rFonts w:ascii="Times New Roman" w:hAnsi="Times New Roman"/>
          <w:b/>
          <w:sz w:val="24"/>
          <w:szCs w:val="24"/>
        </w:rPr>
        <w:t>.3.1</w:t>
      </w:r>
      <w:r w:rsidR="008201EE" w:rsidRPr="0054131B">
        <w:rPr>
          <w:rFonts w:ascii="Times New Roman" w:hAnsi="Times New Roman"/>
          <w:b/>
          <w:sz w:val="24"/>
          <w:szCs w:val="24"/>
        </w:rPr>
        <w:t>.1</w:t>
      </w:r>
      <w:r w:rsidR="00797248" w:rsidRPr="0054131B">
        <w:rPr>
          <w:rFonts w:ascii="Times New Roman" w:hAnsi="Times New Roman"/>
          <w:b/>
          <w:sz w:val="24"/>
          <w:szCs w:val="24"/>
        </w:rPr>
        <w:t xml:space="preserve"> </w:t>
      </w:r>
      <w:r w:rsidR="008201EE" w:rsidRPr="0054131B">
        <w:rPr>
          <w:rFonts w:ascii="Times New Roman" w:hAnsi="Times New Roman"/>
          <w:b/>
          <w:sz w:val="24"/>
          <w:szCs w:val="24"/>
        </w:rPr>
        <w:t>Incumplimiento del</w:t>
      </w:r>
      <w:r w:rsidR="00C77017" w:rsidRPr="0054131B">
        <w:rPr>
          <w:rFonts w:ascii="Times New Roman" w:hAnsi="Times New Roman"/>
          <w:b/>
          <w:sz w:val="24"/>
          <w:szCs w:val="24"/>
        </w:rPr>
        <w:t xml:space="preserve"> deber de investigación </w:t>
      </w:r>
      <w:r w:rsidR="00F82431" w:rsidRPr="0054131B">
        <w:rPr>
          <w:rFonts w:ascii="Times New Roman" w:hAnsi="Times New Roman"/>
          <w:b/>
          <w:sz w:val="24"/>
          <w:szCs w:val="24"/>
        </w:rPr>
        <w:t>en el</w:t>
      </w:r>
      <w:r w:rsidR="00797248" w:rsidRPr="0054131B">
        <w:rPr>
          <w:rFonts w:ascii="Times New Roman" w:hAnsi="Times New Roman"/>
          <w:b/>
          <w:sz w:val="24"/>
          <w:szCs w:val="24"/>
        </w:rPr>
        <w:t xml:space="preserve"> asesinato de la familia Camana</w:t>
      </w:r>
    </w:p>
    <w:p w:rsidR="001444D2"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26</w:t>
      </w:r>
      <w:r w:rsidR="00056CE1" w:rsidRPr="0054131B">
        <w:rPr>
          <w:rFonts w:ascii="Times New Roman" w:hAnsi="Times New Roman"/>
          <w:sz w:val="24"/>
          <w:szCs w:val="24"/>
        </w:rPr>
        <w:t xml:space="preserve">. </w:t>
      </w:r>
      <w:r w:rsidR="00F82431" w:rsidRPr="0054131B">
        <w:rPr>
          <w:rFonts w:ascii="Times New Roman" w:hAnsi="Times New Roman"/>
          <w:sz w:val="24"/>
          <w:szCs w:val="24"/>
        </w:rPr>
        <w:t>El asesinato de la familia Camana Osorio se produj</w:t>
      </w:r>
      <w:r w:rsidR="00A8719A" w:rsidRPr="0054131B">
        <w:rPr>
          <w:rFonts w:ascii="Times New Roman" w:hAnsi="Times New Roman"/>
          <w:sz w:val="24"/>
          <w:szCs w:val="24"/>
        </w:rPr>
        <w:t>o el 12 de diciembre de 1994 en</w:t>
      </w:r>
      <w:r w:rsidR="00BA283A" w:rsidRPr="0054131B">
        <w:rPr>
          <w:rFonts w:ascii="Times New Roman" w:hAnsi="Times New Roman"/>
          <w:sz w:val="24"/>
          <w:szCs w:val="24"/>
        </w:rPr>
        <w:t xml:space="preserve"> Madruga, por</w:t>
      </w:r>
      <w:r w:rsidR="00E9659D" w:rsidRPr="0054131B">
        <w:rPr>
          <w:rFonts w:ascii="Times New Roman" w:hAnsi="Times New Roman"/>
          <w:sz w:val="24"/>
          <w:szCs w:val="24"/>
        </w:rPr>
        <w:t xml:space="preserve"> l</w:t>
      </w:r>
      <w:r w:rsidR="00F82431" w:rsidRPr="0054131B">
        <w:rPr>
          <w:rFonts w:ascii="Times New Roman" w:hAnsi="Times New Roman"/>
          <w:sz w:val="24"/>
          <w:szCs w:val="24"/>
        </w:rPr>
        <w:t>o que no está en controversia que inicialmente el deber de investigación de los hechos le correspondía a este</w:t>
      </w:r>
      <w:r w:rsidR="001444D2" w:rsidRPr="0054131B">
        <w:rPr>
          <w:rFonts w:ascii="Times New Roman" w:hAnsi="Times New Roman"/>
          <w:sz w:val="24"/>
          <w:szCs w:val="24"/>
        </w:rPr>
        <w:t xml:space="preserve"> Estado. No obstante, en </w:t>
      </w:r>
      <w:r w:rsidR="00F82431" w:rsidRPr="0054131B">
        <w:rPr>
          <w:rFonts w:ascii="Times New Roman" w:hAnsi="Times New Roman"/>
          <w:sz w:val="24"/>
          <w:szCs w:val="24"/>
        </w:rPr>
        <w:t xml:space="preserve">el </w:t>
      </w:r>
      <w:r w:rsidR="00056CE1" w:rsidRPr="0054131B">
        <w:rPr>
          <w:rFonts w:ascii="Times New Roman" w:hAnsi="Times New Roman"/>
          <w:sz w:val="24"/>
          <w:szCs w:val="24"/>
        </w:rPr>
        <w:t xml:space="preserve">año </w:t>
      </w:r>
      <w:r w:rsidR="00F82431" w:rsidRPr="0054131B">
        <w:rPr>
          <w:rFonts w:ascii="Times New Roman" w:hAnsi="Times New Roman"/>
          <w:sz w:val="24"/>
          <w:szCs w:val="24"/>
        </w:rPr>
        <w:t xml:space="preserve">2001, se filtraron a la prensa documentos que comprueban los depósitos bancarios que Miningcorp (cuya matriz se encuentra en Santa Clara) había efectuado a dos </w:t>
      </w:r>
      <w:r w:rsidR="00056CE1" w:rsidRPr="0054131B">
        <w:rPr>
          <w:rFonts w:ascii="Times New Roman" w:hAnsi="Times New Roman"/>
          <w:sz w:val="24"/>
          <w:szCs w:val="24"/>
        </w:rPr>
        <w:t>milicianos del grupo los Olivos.</w:t>
      </w:r>
      <w:r w:rsidR="00E9659D" w:rsidRPr="0054131B">
        <w:rPr>
          <w:rFonts w:ascii="Times New Roman" w:hAnsi="Times New Roman"/>
          <w:sz w:val="24"/>
          <w:szCs w:val="24"/>
        </w:rPr>
        <w:t xml:space="preserve"> Cabe precisar que</w:t>
      </w:r>
      <w:r w:rsidR="00F82431" w:rsidRPr="0054131B">
        <w:rPr>
          <w:rFonts w:ascii="Times New Roman" w:hAnsi="Times New Roman"/>
          <w:sz w:val="24"/>
          <w:szCs w:val="24"/>
        </w:rPr>
        <w:t xml:space="preserve"> dos milicianos fueron quienes asesi</w:t>
      </w:r>
      <w:r w:rsidR="00135A2F" w:rsidRPr="0054131B">
        <w:rPr>
          <w:rFonts w:ascii="Times New Roman" w:hAnsi="Times New Roman"/>
          <w:sz w:val="24"/>
          <w:szCs w:val="24"/>
        </w:rPr>
        <w:t>naron a la familia</w:t>
      </w:r>
      <w:r w:rsidR="00E9659D" w:rsidRPr="0054131B">
        <w:rPr>
          <w:rFonts w:ascii="Times New Roman" w:hAnsi="Times New Roman"/>
          <w:sz w:val="24"/>
          <w:szCs w:val="24"/>
        </w:rPr>
        <w:t xml:space="preserve"> Camana</w:t>
      </w:r>
      <w:r w:rsidR="00135A2F" w:rsidRPr="0054131B">
        <w:rPr>
          <w:rFonts w:ascii="Times New Roman" w:hAnsi="Times New Roman"/>
          <w:sz w:val="24"/>
          <w:szCs w:val="24"/>
        </w:rPr>
        <w:t xml:space="preserve"> y</w:t>
      </w:r>
      <w:r w:rsidR="00F82431" w:rsidRPr="0054131B">
        <w:rPr>
          <w:rFonts w:ascii="Times New Roman" w:hAnsi="Times New Roman"/>
          <w:sz w:val="24"/>
          <w:szCs w:val="24"/>
        </w:rPr>
        <w:t xml:space="preserve"> </w:t>
      </w:r>
      <w:r w:rsidR="00E9659D" w:rsidRPr="0054131B">
        <w:rPr>
          <w:rFonts w:ascii="Times New Roman" w:hAnsi="Times New Roman"/>
          <w:sz w:val="24"/>
          <w:szCs w:val="24"/>
        </w:rPr>
        <w:t xml:space="preserve">que </w:t>
      </w:r>
      <w:r w:rsidR="00F82431" w:rsidRPr="0054131B">
        <w:rPr>
          <w:rFonts w:ascii="Times New Roman" w:hAnsi="Times New Roman"/>
          <w:sz w:val="24"/>
          <w:szCs w:val="24"/>
        </w:rPr>
        <w:t>el único fallo condenatorio</w:t>
      </w:r>
      <w:r w:rsidR="00135A2F" w:rsidRPr="0054131B">
        <w:rPr>
          <w:rFonts w:ascii="Times New Roman" w:hAnsi="Times New Roman"/>
          <w:sz w:val="24"/>
          <w:szCs w:val="24"/>
        </w:rPr>
        <w:t xml:space="preserve"> por</w:t>
      </w:r>
      <w:r w:rsidR="00F82431" w:rsidRPr="0054131B">
        <w:rPr>
          <w:rFonts w:ascii="Times New Roman" w:hAnsi="Times New Roman"/>
          <w:sz w:val="24"/>
          <w:szCs w:val="24"/>
        </w:rPr>
        <w:t xml:space="preserve"> los asesinatos sistemáticos de líderes sociales en Madruga </w:t>
      </w:r>
      <w:r w:rsidR="00E9659D" w:rsidRPr="0054131B">
        <w:rPr>
          <w:rFonts w:ascii="Times New Roman" w:hAnsi="Times New Roman"/>
          <w:sz w:val="24"/>
          <w:szCs w:val="24"/>
        </w:rPr>
        <w:t>fue</w:t>
      </w:r>
      <w:r w:rsidR="00F82431" w:rsidRPr="0054131B">
        <w:rPr>
          <w:rFonts w:ascii="Times New Roman" w:hAnsi="Times New Roman"/>
          <w:sz w:val="24"/>
          <w:szCs w:val="24"/>
        </w:rPr>
        <w:t xml:space="preserve"> en contra de </w:t>
      </w:r>
      <w:r w:rsidR="00135A2F" w:rsidRPr="0054131B">
        <w:rPr>
          <w:rFonts w:ascii="Times New Roman" w:hAnsi="Times New Roman"/>
          <w:sz w:val="24"/>
          <w:szCs w:val="24"/>
        </w:rPr>
        <w:t>integrantes de este grupo</w:t>
      </w:r>
      <w:r w:rsidR="00F82431" w:rsidRPr="0054131B">
        <w:rPr>
          <w:rStyle w:val="FootnoteReference"/>
          <w:rFonts w:ascii="Times New Roman" w:hAnsi="Times New Roman"/>
          <w:sz w:val="24"/>
          <w:szCs w:val="24"/>
        </w:rPr>
        <w:footnoteReference w:id="33"/>
      </w:r>
      <w:r w:rsidR="00F82431" w:rsidRPr="0054131B">
        <w:rPr>
          <w:rFonts w:ascii="Times New Roman" w:hAnsi="Times New Roman"/>
          <w:sz w:val="24"/>
          <w:szCs w:val="24"/>
        </w:rPr>
        <w:t>.</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27</w:t>
      </w:r>
      <w:r w:rsidR="001444D2" w:rsidRPr="0054131B">
        <w:rPr>
          <w:rFonts w:ascii="Times New Roman" w:hAnsi="Times New Roman"/>
          <w:sz w:val="24"/>
          <w:szCs w:val="24"/>
        </w:rPr>
        <w:t xml:space="preserve">. </w:t>
      </w:r>
      <w:r w:rsidR="00F9110E" w:rsidRPr="0054131B">
        <w:rPr>
          <w:rFonts w:ascii="Times New Roman" w:hAnsi="Times New Roman"/>
          <w:sz w:val="24"/>
          <w:szCs w:val="24"/>
        </w:rPr>
        <w:t>En forma reiterada</w:t>
      </w:r>
      <w:r w:rsidR="00F82431" w:rsidRPr="0054131B">
        <w:rPr>
          <w:rFonts w:ascii="Times New Roman" w:hAnsi="Times New Roman"/>
          <w:sz w:val="24"/>
          <w:szCs w:val="24"/>
        </w:rPr>
        <w:t xml:space="preserve">, este Tribunal ha </w:t>
      </w:r>
      <w:r w:rsidR="004F02F4" w:rsidRPr="0054131B">
        <w:rPr>
          <w:rFonts w:ascii="Times New Roman" w:hAnsi="Times New Roman"/>
          <w:sz w:val="24"/>
          <w:szCs w:val="24"/>
        </w:rPr>
        <w:t>señala</w:t>
      </w:r>
      <w:r w:rsidR="00F82431" w:rsidRPr="0054131B">
        <w:rPr>
          <w:rFonts w:ascii="Times New Roman" w:hAnsi="Times New Roman"/>
          <w:sz w:val="24"/>
          <w:szCs w:val="24"/>
        </w:rPr>
        <w:t>do que la investigación debe estar dirigida a identificar tanto a los responsables intelectuales como materiales</w:t>
      </w:r>
      <w:r w:rsidR="00F82431" w:rsidRPr="0054131B">
        <w:rPr>
          <w:rStyle w:val="FootnoteReference"/>
          <w:rFonts w:ascii="Times New Roman" w:hAnsi="Times New Roman"/>
          <w:sz w:val="24"/>
          <w:szCs w:val="24"/>
        </w:rPr>
        <w:footnoteReference w:id="34"/>
      </w:r>
      <w:r w:rsidR="00F82431" w:rsidRPr="0054131B">
        <w:rPr>
          <w:rFonts w:ascii="Times New Roman" w:hAnsi="Times New Roman"/>
          <w:sz w:val="24"/>
          <w:szCs w:val="24"/>
        </w:rPr>
        <w:t xml:space="preserve">, en </w:t>
      </w:r>
      <w:r w:rsidR="00A8719A" w:rsidRPr="0054131B">
        <w:rPr>
          <w:rFonts w:ascii="Times New Roman" w:hAnsi="Times New Roman"/>
          <w:sz w:val="24"/>
          <w:szCs w:val="24"/>
        </w:rPr>
        <w:t>consecuencia</w:t>
      </w:r>
      <w:r w:rsidR="00F82431" w:rsidRPr="0054131B">
        <w:rPr>
          <w:rFonts w:ascii="Times New Roman" w:hAnsi="Times New Roman"/>
          <w:sz w:val="24"/>
          <w:szCs w:val="24"/>
        </w:rPr>
        <w:t>, los TMN y e</w:t>
      </w:r>
      <w:r w:rsidR="00487C62" w:rsidRPr="0054131B">
        <w:rPr>
          <w:rFonts w:ascii="Times New Roman" w:hAnsi="Times New Roman"/>
          <w:sz w:val="24"/>
          <w:szCs w:val="24"/>
        </w:rPr>
        <w:t xml:space="preserve">l TPIR, han esbozado la teoría </w:t>
      </w:r>
      <w:r w:rsidR="00487C62" w:rsidRPr="0054131B">
        <w:rPr>
          <w:rFonts w:ascii="Times New Roman" w:hAnsi="Times New Roman"/>
          <w:i/>
          <w:sz w:val="24"/>
          <w:szCs w:val="24"/>
        </w:rPr>
        <w:t>complicity</w:t>
      </w:r>
      <w:r w:rsidR="004F02F4" w:rsidRPr="0054131B">
        <w:rPr>
          <w:rFonts w:ascii="Times New Roman" w:hAnsi="Times New Roman"/>
          <w:i/>
          <w:sz w:val="24"/>
          <w:szCs w:val="24"/>
        </w:rPr>
        <w:t xml:space="preserve"> </w:t>
      </w:r>
      <w:r w:rsidR="00487C62" w:rsidRPr="0054131B">
        <w:rPr>
          <w:rFonts w:ascii="Times New Roman" w:hAnsi="Times New Roman"/>
          <w:i/>
          <w:sz w:val="24"/>
          <w:szCs w:val="24"/>
        </w:rPr>
        <w:t>corporative</w:t>
      </w:r>
      <w:r w:rsidR="00F82431" w:rsidRPr="0054131B">
        <w:rPr>
          <w:rFonts w:ascii="Times New Roman" w:hAnsi="Times New Roman"/>
          <w:sz w:val="24"/>
          <w:szCs w:val="24"/>
        </w:rPr>
        <w:t xml:space="preserve">, mediante la cual se reconoce que las empresas </w:t>
      </w:r>
      <w:r w:rsidR="00AA79C0" w:rsidRPr="0054131B">
        <w:rPr>
          <w:rFonts w:ascii="Times New Roman" w:hAnsi="Times New Roman"/>
          <w:sz w:val="24"/>
          <w:szCs w:val="24"/>
        </w:rPr>
        <w:t>tienen</w:t>
      </w:r>
      <w:r w:rsidR="00F82431" w:rsidRPr="0054131B">
        <w:rPr>
          <w:rFonts w:ascii="Times New Roman" w:hAnsi="Times New Roman"/>
          <w:sz w:val="24"/>
          <w:szCs w:val="24"/>
        </w:rPr>
        <w:t xml:space="preserve"> un rol fundamental en la violación de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y</w:t>
      </w:r>
      <w:r w:rsidR="00487C62" w:rsidRPr="0054131B">
        <w:rPr>
          <w:rFonts w:ascii="Times New Roman" w:hAnsi="Times New Roman"/>
          <w:sz w:val="24"/>
          <w:szCs w:val="24"/>
        </w:rPr>
        <w:t>,</w:t>
      </w:r>
      <w:r w:rsidR="00F82431" w:rsidRPr="0054131B">
        <w:rPr>
          <w:rFonts w:ascii="Times New Roman" w:hAnsi="Times New Roman"/>
          <w:sz w:val="24"/>
          <w:szCs w:val="24"/>
        </w:rPr>
        <w:t xml:space="preserve"> consecuentemente, sus dirigentes deben ser investigados</w:t>
      </w:r>
      <w:r w:rsidR="00F82431" w:rsidRPr="0054131B">
        <w:rPr>
          <w:rStyle w:val="FootnoteReference"/>
          <w:rFonts w:ascii="Times New Roman" w:hAnsi="Times New Roman"/>
          <w:sz w:val="24"/>
          <w:szCs w:val="24"/>
        </w:rPr>
        <w:footnoteReference w:id="35"/>
      </w:r>
      <w:r w:rsidR="00487C62" w:rsidRPr="0054131B">
        <w:rPr>
          <w:rFonts w:ascii="Times New Roman" w:hAnsi="Times New Roman"/>
          <w:sz w:val="24"/>
          <w:szCs w:val="24"/>
        </w:rPr>
        <w:t>. D</w:t>
      </w:r>
      <w:r w:rsidR="00F82431" w:rsidRPr="0054131B">
        <w:rPr>
          <w:rFonts w:ascii="Times New Roman" w:hAnsi="Times New Roman"/>
          <w:sz w:val="24"/>
          <w:szCs w:val="24"/>
        </w:rPr>
        <w:t xml:space="preserve">e </w:t>
      </w:r>
      <w:r w:rsidR="00D2636A" w:rsidRPr="0054131B">
        <w:rPr>
          <w:rFonts w:ascii="Times New Roman" w:hAnsi="Times New Roman"/>
          <w:sz w:val="24"/>
          <w:szCs w:val="24"/>
        </w:rPr>
        <w:t>igual forma</w:t>
      </w:r>
      <w:r w:rsidR="005C6E4F" w:rsidRPr="0054131B">
        <w:rPr>
          <w:rFonts w:ascii="Times New Roman" w:hAnsi="Times New Roman"/>
          <w:sz w:val="24"/>
          <w:szCs w:val="24"/>
        </w:rPr>
        <w:t>,</w:t>
      </w:r>
      <w:r w:rsidR="00F82431" w:rsidRPr="0054131B">
        <w:rPr>
          <w:rFonts w:ascii="Times New Roman" w:hAnsi="Times New Roman"/>
          <w:sz w:val="24"/>
          <w:szCs w:val="24"/>
        </w:rPr>
        <w:t xml:space="preserve"> el TESL ha establecido que incluso las empresas extractivas, mediante el financiamiento, pueden verse involucradas en propósitos </w:t>
      </w:r>
      <w:r w:rsidR="00F82431" w:rsidRPr="0054131B">
        <w:rPr>
          <w:rFonts w:ascii="Times New Roman" w:hAnsi="Times New Roman"/>
          <w:sz w:val="24"/>
          <w:szCs w:val="24"/>
        </w:rPr>
        <w:lastRenderedPageBreak/>
        <w:t>criminales</w:t>
      </w:r>
      <w:r w:rsidR="00F82431" w:rsidRPr="0054131B">
        <w:rPr>
          <w:rStyle w:val="FootnoteReference"/>
          <w:rFonts w:ascii="Times New Roman" w:hAnsi="Times New Roman"/>
          <w:sz w:val="24"/>
          <w:szCs w:val="24"/>
        </w:rPr>
        <w:footnoteReference w:id="36"/>
      </w:r>
      <w:r w:rsidR="00487C62" w:rsidRPr="0054131B">
        <w:rPr>
          <w:rFonts w:ascii="Times New Roman" w:hAnsi="Times New Roman"/>
          <w:sz w:val="24"/>
          <w:szCs w:val="24"/>
        </w:rPr>
        <w:t>, d</w:t>
      </w:r>
      <w:r w:rsidR="00D2636A" w:rsidRPr="0054131B">
        <w:rPr>
          <w:rFonts w:ascii="Times New Roman" w:hAnsi="Times New Roman"/>
          <w:sz w:val="24"/>
          <w:szCs w:val="24"/>
        </w:rPr>
        <w:t>e forma más específica,</w:t>
      </w:r>
      <w:r w:rsidR="004F02F4" w:rsidRPr="0054131B">
        <w:rPr>
          <w:rFonts w:ascii="Times New Roman" w:hAnsi="Times New Roman"/>
          <w:sz w:val="24"/>
          <w:szCs w:val="24"/>
        </w:rPr>
        <w:t xml:space="preserve"> </w:t>
      </w:r>
      <w:r w:rsidR="00242765" w:rsidRPr="0054131B">
        <w:rPr>
          <w:rFonts w:ascii="Times New Roman" w:hAnsi="Times New Roman"/>
          <w:sz w:val="24"/>
          <w:szCs w:val="24"/>
        </w:rPr>
        <w:t>ha señalado</w:t>
      </w:r>
      <w:r w:rsidR="005C6E4F" w:rsidRPr="0054131B">
        <w:rPr>
          <w:rFonts w:ascii="Times New Roman" w:hAnsi="Times New Roman"/>
          <w:sz w:val="24"/>
          <w:szCs w:val="24"/>
        </w:rPr>
        <w:t xml:space="preserve"> que </w:t>
      </w:r>
      <w:r w:rsidR="00242765" w:rsidRPr="0054131B">
        <w:rPr>
          <w:rFonts w:ascii="Times New Roman" w:hAnsi="Times New Roman"/>
          <w:sz w:val="24"/>
          <w:szCs w:val="24"/>
        </w:rPr>
        <w:t>el hecho que</w:t>
      </w:r>
      <w:r w:rsidR="00D2636A" w:rsidRPr="0054131B">
        <w:rPr>
          <w:rFonts w:ascii="Times New Roman" w:hAnsi="Times New Roman"/>
          <w:sz w:val="24"/>
          <w:szCs w:val="24"/>
        </w:rPr>
        <w:t xml:space="preserve"> un individuo ocu</w:t>
      </w:r>
      <w:r w:rsidR="00242765" w:rsidRPr="0054131B">
        <w:rPr>
          <w:rFonts w:ascii="Times New Roman" w:hAnsi="Times New Roman"/>
          <w:sz w:val="24"/>
          <w:szCs w:val="24"/>
        </w:rPr>
        <w:t>pe</w:t>
      </w:r>
      <w:r w:rsidR="00D2636A" w:rsidRPr="0054131B">
        <w:rPr>
          <w:rFonts w:ascii="Times New Roman" w:hAnsi="Times New Roman"/>
          <w:sz w:val="24"/>
          <w:szCs w:val="24"/>
        </w:rPr>
        <w:t xml:space="preserve"> el má</w:t>
      </w:r>
      <w:r w:rsidR="00FE23AB" w:rsidRPr="0054131B">
        <w:rPr>
          <w:rFonts w:ascii="Times New Roman" w:hAnsi="Times New Roman"/>
          <w:sz w:val="24"/>
          <w:szCs w:val="24"/>
        </w:rPr>
        <w:t>s alto</w:t>
      </w:r>
      <w:r w:rsidR="00242765" w:rsidRPr="0054131B">
        <w:rPr>
          <w:rFonts w:ascii="Times New Roman" w:hAnsi="Times New Roman"/>
          <w:sz w:val="24"/>
          <w:szCs w:val="24"/>
        </w:rPr>
        <w:t xml:space="preserve"> rango en una empresa, constituye un indicio de su</w:t>
      </w:r>
      <w:r w:rsidR="00D2636A" w:rsidRPr="0054131B">
        <w:rPr>
          <w:rFonts w:ascii="Times New Roman" w:hAnsi="Times New Roman"/>
          <w:sz w:val="24"/>
          <w:szCs w:val="24"/>
        </w:rPr>
        <w:t xml:space="preserve"> conocimiento respecto a los ilícitos cometidos</w:t>
      </w:r>
      <w:r w:rsidR="00D2636A" w:rsidRPr="0054131B">
        <w:rPr>
          <w:rStyle w:val="FootnoteReference"/>
          <w:rFonts w:ascii="Times New Roman" w:hAnsi="Times New Roman"/>
          <w:sz w:val="24"/>
          <w:szCs w:val="24"/>
        </w:rPr>
        <w:footnoteReference w:id="37"/>
      </w:r>
      <w:r w:rsidR="00D2636A" w:rsidRPr="0054131B">
        <w:rPr>
          <w:rFonts w:ascii="Times New Roman" w:hAnsi="Times New Roman"/>
          <w:sz w:val="24"/>
          <w:szCs w:val="24"/>
        </w:rPr>
        <w:t>.</w:t>
      </w:r>
      <w:r w:rsidR="004F02F4" w:rsidRPr="0054131B">
        <w:rPr>
          <w:rFonts w:ascii="Times New Roman" w:hAnsi="Times New Roman"/>
          <w:sz w:val="24"/>
          <w:szCs w:val="24"/>
        </w:rPr>
        <w:t xml:space="preserve"> </w:t>
      </w:r>
      <w:r w:rsidR="00F82431" w:rsidRPr="0054131B">
        <w:rPr>
          <w:rFonts w:ascii="Times New Roman" w:hAnsi="Times New Roman"/>
          <w:sz w:val="24"/>
          <w:szCs w:val="24"/>
        </w:rPr>
        <w:t xml:space="preserve">Por tanto, en el contexto </w:t>
      </w:r>
      <w:r w:rsidR="005C6E4F" w:rsidRPr="0054131B">
        <w:rPr>
          <w:rFonts w:ascii="Times New Roman" w:hAnsi="Times New Roman"/>
          <w:sz w:val="24"/>
          <w:szCs w:val="24"/>
        </w:rPr>
        <w:t>de asesinatos sistemáticos en contra de líderes sindicales</w:t>
      </w:r>
      <w:r w:rsidR="004F02F4" w:rsidRPr="0054131B">
        <w:rPr>
          <w:rFonts w:ascii="Times New Roman" w:hAnsi="Times New Roman"/>
          <w:sz w:val="24"/>
          <w:szCs w:val="24"/>
        </w:rPr>
        <w:t>, como Edmundo</w:t>
      </w:r>
      <w:r w:rsidR="007B0A52" w:rsidRPr="0054131B">
        <w:rPr>
          <w:rFonts w:ascii="Times New Roman" w:hAnsi="Times New Roman"/>
          <w:sz w:val="24"/>
          <w:szCs w:val="24"/>
        </w:rPr>
        <w:t xml:space="preserve"> Camana</w:t>
      </w:r>
      <w:r w:rsidR="00242765" w:rsidRPr="0054131B">
        <w:rPr>
          <w:rFonts w:ascii="Times New Roman" w:hAnsi="Times New Roman"/>
          <w:sz w:val="24"/>
          <w:szCs w:val="24"/>
        </w:rPr>
        <w:t>,</w:t>
      </w:r>
      <w:r w:rsidR="004F02F4" w:rsidRPr="0054131B">
        <w:rPr>
          <w:rFonts w:ascii="Times New Roman" w:hAnsi="Times New Roman"/>
          <w:sz w:val="24"/>
          <w:szCs w:val="24"/>
        </w:rPr>
        <w:t xml:space="preserve"> </w:t>
      </w:r>
      <w:r w:rsidR="004B71C0" w:rsidRPr="0054131B">
        <w:rPr>
          <w:rFonts w:ascii="Times New Roman" w:hAnsi="Times New Roman"/>
          <w:sz w:val="24"/>
          <w:szCs w:val="24"/>
        </w:rPr>
        <w:t>el</w:t>
      </w:r>
      <w:r w:rsidR="00F82431" w:rsidRPr="0054131B">
        <w:rPr>
          <w:rFonts w:ascii="Times New Roman" w:hAnsi="Times New Roman"/>
          <w:sz w:val="24"/>
          <w:szCs w:val="24"/>
        </w:rPr>
        <w:t xml:space="preserve"> financiamiento </w:t>
      </w:r>
      <w:r w:rsidR="004F02F4" w:rsidRPr="0054131B">
        <w:rPr>
          <w:rFonts w:ascii="Times New Roman" w:hAnsi="Times New Roman"/>
          <w:sz w:val="24"/>
          <w:szCs w:val="24"/>
        </w:rPr>
        <w:t xml:space="preserve">a </w:t>
      </w:r>
      <w:r w:rsidR="00F82431" w:rsidRPr="0054131B">
        <w:rPr>
          <w:rFonts w:ascii="Times New Roman" w:hAnsi="Times New Roman"/>
          <w:sz w:val="24"/>
          <w:szCs w:val="24"/>
        </w:rPr>
        <w:t xml:space="preserve">grupos milicianos </w:t>
      </w:r>
      <w:r w:rsidR="00242765" w:rsidRPr="0054131B">
        <w:rPr>
          <w:rFonts w:ascii="Times New Roman" w:hAnsi="Times New Roman"/>
          <w:sz w:val="24"/>
          <w:szCs w:val="24"/>
        </w:rPr>
        <w:t>por parte de la</w:t>
      </w:r>
      <w:r w:rsidR="00D2636A" w:rsidRPr="0054131B">
        <w:rPr>
          <w:rFonts w:ascii="Times New Roman" w:hAnsi="Times New Roman"/>
          <w:sz w:val="24"/>
          <w:szCs w:val="24"/>
        </w:rPr>
        <w:t xml:space="preserve"> emp</w:t>
      </w:r>
      <w:r w:rsidR="00242765" w:rsidRPr="0054131B">
        <w:rPr>
          <w:rFonts w:ascii="Times New Roman" w:hAnsi="Times New Roman"/>
          <w:sz w:val="24"/>
          <w:szCs w:val="24"/>
        </w:rPr>
        <w:t xml:space="preserve">resa encabezada </w:t>
      </w:r>
      <w:r w:rsidR="00D2636A" w:rsidRPr="0054131B">
        <w:rPr>
          <w:rFonts w:ascii="Times New Roman" w:hAnsi="Times New Roman"/>
          <w:sz w:val="24"/>
          <w:szCs w:val="24"/>
        </w:rPr>
        <w:t>por Klein</w:t>
      </w:r>
      <w:r w:rsidR="004F02F4" w:rsidRPr="0054131B">
        <w:rPr>
          <w:rFonts w:ascii="Times New Roman" w:hAnsi="Times New Roman"/>
          <w:sz w:val="24"/>
          <w:szCs w:val="24"/>
        </w:rPr>
        <w:t xml:space="preserve">, crea un riesgo real </w:t>
      </w:r>
      <w:r w:rsidR="00C800B4" w:rsidRPr="0054131B">
        <w:rPr>
          <w:rFonts w:ascii="Times New Roman" w:hAnsi="Times New Roman"/>
          <w:sz w:val="24"/>
          <w:szCs w:val="24"/>
        </w:rPr>
        <w:t xml:space="preserve">e </w:t>
      </w:r>
      <w:r w:rsidR="00F82431" w:rsidRPr="0054131B">
        <w:rPr>
          <w:rFonts w:ascii="Times New Roman" w:hAnsi="Times New Roman"/>
          <w:sz w:val="24"/>
          <w:szCs w:val="24"/>
        </w:rPr>
        <w:t xml:space="preserve">inmediato que </w:t>
      </w:r>
      <w:r w:rsidR="005C6E4F" w:rsidRPr="0054131B">
        <w:rPr>
          <w:rFonts w:ascii="Times New Roman" w:hAnsi="Times New Roman"/>
          <w:sz w:val="24"/>
          <w:szCs w:val="24"/>
        </w:rPr>
        <w:t xml:space="preserve">obliga a Santa Clara </w:t>
      </w:r>
      <w:r w:rsidR="004F02F4" w:rsidRPr="0054131B">
        <w:rPr>
          <w:rFonts w:ascii="Times New Roman" w:hAnsi="Times New Roman"/>
          <w:sz w:val="24"/>
          <w:szCs w:val="24"/>
        </w:rPr>
        <w:t xml:space="preserve">a </w:t>
      </w:r>
      <w:r w:rsidR="00F82431" w:rsidRPr="0054131B">
        <w:rPr>
          <w:rFonts w:ascii="Times New Roman" w:hAnsi="Times New Roman"/>
          <w:sz w:val="24"/>
          <w:szCs w:val="24"/>
        </w:rPr>
        <w:t>investiga</w:t>
      </w:r>
      <w:r w:rsidR="004F02F4" w:rsidRPr="0054131B">
        <w:rPr>
          <w:rFonts w:ascii="Times New Roman" w:hAnsi="Times New Roman"/>
          <w:sz w:val="24"/>
          <w:szCs w:val="24"/>
        </w:rPr>
        <w:t>rlo</w:t>
      </w:r>
      <w:r w:rsidR="005C6E4F" w:rsidRPr="0054131B">
        <w:rPr>
          <w:rFonts w:ascii="Times New Roman" w:hAnsi="Times New Roman"/>
          <w:sz w:val="24"/>
          <w:szCs w:val="24"/>
        </w:rPr>
        <w:t>.</w:t>
      </w:r>
    </w:p>
    <w:p w:rsidR="00421C96"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28</w:t>
      </w:r>
      <w:r w:rsidR="00A96128" w:rsidRPr="0054131B">
        <w:rPr>
          <w:rFonts w:ascii="Times New Roman" w:hAnsi="Times New Roman"/>
          <w:sz w:val="24"/>
          <w:szCs w:val="24"/>
        </w:rPr>
        <w:t xml:space="preserve">. </w:t>
      </w:r>
      <w:r w:rsidR="005C6E4F" w:rsidRPr="0054131B">
        <w:rPr>
          <w:rFonts w:ascii="Times New Roman" w:hAnsi="Times New Roman"/>
          <w:sz w:val="24"/>
          <w:szCs w:val="24"/>
        </w:rPr>
        <w:t>En segundo lugar,</w:t>
      </w:r>
      <w:r w:rsidR="00C46FA0" w:rsidRPr="0054131B">
        <w:rPr>
          <w:rFonts w:ascii="Times New Roman" w:hAnsi="Times New Roman"/>
          <w:sz w:val="24"/>
          <w:szCs w:val="24"/>
        </w:rPr>
        <w:t xml:space="preserve"> resulta evidente que debió realizarse una investigación</w:t>
      </w:r>
      <w:r w:rsidR="00263822" w:rsidRPr="0054131B">
        <w:rPr>
          <w:rFonts w:ascii="Times New Roman" w:hAnsi="Times New Roman"/>
          <w:sz w:val="24"/>
          <w:szCs w:val="24"/>
        </w:rPr>
        <w:t xml:space="preserve"> a raíz de </w:t>
      </w:r>
      <w:r w:rsidR="002002CA" w:rsidRPr="0054131B">
        <w:rPr>
          <w:rFonts w:ascii="Times New Roman" w:hAnsi="Times New Roman"/>
          <w:sz w:val="24"/>
          <w:szCs w:val="24"/>
        </w:rPr>
        <w:t xml:space="preserve">los </w:t>
      </w:r>
      <w:r w:rsidR="00263822" w:rsidRPr="0054131B">
        <w:rPr>
          <w:rFonts w:ascii="Times New Roman" w:hAnsi="Times New Roman"/>
          <w:sz w:val="24"/>
          <w:szCs w:val="24"/>
        </w:rPr>
        <w:t>asesinatos</w:t>
      </w:r>
      <w:r w:rsidR="005C7685" w:rsidRPr="0054131B">
        <w:rPr>
          <w:rFonts w:ascii="Times New Roman" w:hAnsi="Times New Roman"/>
          <w:sz w:val="24"/>
          <w:szCs w:val="24"/>
        </w:rPr>
        <w:t xml:space="preserve"> del señor Camana y su familia, individuos determinados</w:t>
      </w:r>
      <w:r w:rsidR="00C46FA0" w:rsidRPr="0054131B">
        <w:rPr>
          <w:rFonts w:ascii="Times New Roman" w:hAnsi="Times New Roman"/>
          <w:sz w:val="24"/>
          <w:szCs w:val="24"/>
        </w:rPr>
        <w:t>.</w:t>
      </w:r>
      <w:r w:rsidR="00F147A7" w:rsidRPr="0054131B">
        <w:rPr>
          <w:rFonts w:ascii="Times New Roman" w:hAnsi="Times New Roman"/>
          <w:sz w:val="24"/>
          <w:szCs w:val="24"/>
        </w:rPr>
        <w:t xml:space="preserve"> </w:t>
      </w:r>
      <w:r w:rsidR="00F82431" w:rsidRPr="0054131B">
        <w:rPr>
          <w:rFonts w:ascii="Times New Roman" w:hAnsi="Times New Roman"/>
          <w:sz w:val="24"/>
          <w:szCs w:val="24"/>
        </w:rPr>
        <w:t xml:space="preserve">Por otro lado, Santa Clara </w:t>
      </w:r>
      <w:r w:rsidR="00D114EF" w:rsidRPr="0054131B">
        <w:rPr>
          <w:rFonts w:ascii="Times New Roman" w:hAnsi="Times New Roman"/>
          <w:sz w:val="24"/>
          <w:szCs w:val="24"/>
        </w:rPr>
        <w:t>tuvo</w:t>
      </w:r>
      <w:r w:rsidR="00F82431" w:rsidRPr="0054131B">
        <w:rPr>
          <w:rFonts w:ascii="Times New Roman" w:hAnsi="Times New Roman"/>
          <w:sz w:val="24"/>
          <w:szCs w:val="24"/>
        </w:rPr>
        <w:t xml:space="preserve"> posibilidades razonables para investigar a Eliot Klein</w:t>
      </w:r>
      <w:r w:rsidR="00D114EF" w:rsidRPr="0054131B">
        <w:rPr>
          <w:rFonts w:ascii="Times New Roman" w:hAnsi="Times New Roman"/>
          <w:sz w:val="24"/>
          <w:szCs w:val="24"/>
        </w:rPr>
        <w:t>,</w:t>
      </w:r>
      <w:r w:rsidR="00F82431" w:rsidRPr="0054131B">
        <w:rPr>
          <w:rFonts w:ascii="Times New Roman" w:hAnsi="Times New Roman"/>
          <w:sz w:val="24"/>
          <w:szCs w:val="24"/>
        </w:rPr>
        <w:t xml:space="preserve"> ya que </w:t>
      </w:r>
      <w:r w:rsidR="00263822" w:rsidRPr="0054131B">
        <w:rPr>
          <w:rFonts w:ascii="Times New Roman" w:hAnsi="Times New Roman"/>
          <w:sz w:val="24"/>
          <w:szCs w:val="24"/>
        </w:rPr>
        <w:t>éste</w:t>
      </w:r>
      <w:r w:rsidR="00F82431" w:rsidRPr="0054131B">
        <w:rPr>
          <w:rFonts w:ascii="Times New Roman" w:hAnsi="Times New Roman"/>
          <w:sz w:val="24"/>
          <w:szCs w:val="24"/>
        </w:rPr>
        <w:t xml:space="preserve"> se enc</w:t>
      </w:r>
      <w:r w:rsidR="00263822" w:rsidRPr="0054131B">
        <w:rPr>
          <w:rFonts w:ascii="Times New Roman" w:hAnsi="Times New Roman"/>
          <w:sz w:val="24"/>
          <w:szCs w:val="24"/>
        </w:rPr>
        <w:t>uentra</w:t>
      </w:r>
      <w:r w:rsidR="00F82431" w:rsidRPr="0054131B">
        <w:rPr>
          <w:rFonts w:ascii="Times New Roman" w:hAnsi="Times New Roman"/>
          <w:sz w:val="24"/>
          <w:szCs w:val="24"/>
        </w:rPr>
        <w:t xml:space="preserve"> bajo su jurisdicción territorial. En est</w:t>
      </w:r>
      <w:r w:rsidR="00D114EF" w:rsidRPr="0054131B">
        <w:rPr>
          <w:rFonts w:ascii="Times New Roman" w:hAnsi="Times New Roman"/>
          <w:sz w:val="24"/>
          <w:szCs w:val="24"/>
        </w:rPr>
        <w:t>e punto, Santa Clara podría argumenta</w:t>
      </w:r>
      <w:r w:rsidR="00F82431" w:rsidRPr="0054131B">
        <w:rPr>
          <w:rFonts w:ascii="Times New Roman" w:hAnsi="Times New Roman"/>
          <w:sz w:val="24"/>
          <w:szCs w:val="24"/>
        </w:rPr>
        <w:t xml:space="preserve">r que no era competente para investigar hechos cometidos por la </w:t>
      </w:r>
      <w:r w:rsidR="00D114EF" w:rsidRPr="0054131B">
        <w:rPr>
          <w:rFonts w:ascii="Times New Roman" w:hAnsi="Times New Roman"/>
          <w:sz w:val="24"/>
          <w:szCs w:val="24"/>
        </w:rPr>
        <w:t>filial</w:t>
      </w:r>
      <w:r w:rsidR="00F147A7" w:rsidRPr="0054131B">
        <w:rPr>
          <w:rFonts w:ascii="Times New Roman" w:hAnsi="Times New Roman"/>
          <w:sz w:val="24"/>
          <w:szCs w:val="24"/>
        </w:rPr>
        <w:t xml:space="preserve"> de Miningcorp en Madruga.</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29</w:t>
      </w:r>
      <w:r w:rsidR="00D8326F" w:rsidRPr="0054131B">
        <w:rPr>
          <w:rFonts w:ascii="Times New Roman" w:hAnsi="Times New Roman"/>
          <w:sz w:val="24"/>
          <w:szCs w:val="24"/>
        </w:rPr>
        <w:t xml:space="preserve">. </w:t>
      </w:r>
      <w:r w:rsidR="00F147A7" w:rsidRPr="0054131B">
        <w:rPr>
          <w:rFonts w:ascii="Times New Roman" w:hAnsi="Times New Roman"/>
          <w:sz w:val="24"/>
          <w:szCs w:val="24"/>
        </w:rPr>
        <w:t xml:space="preserve">No obstante, </w:t>
      </w:r>
      <w:r w:rsidR="00F82431" w:rsidRPr="0054131B">
        <w:rPr>
          <w:rFonts w:ascii="Times New Roman" w:hAnsi="Times New Roman"/>
          <w:sz w:val="24"/>
          <w:szCs w:val="24"/>
        </w:rPr>
        <w:t>Santa Clara posee una Ley de Juris</w:t>
      </w:r>
      <w:r w:rsidR="0000524C" w:rsidRPr="0054131B">
        <w:rPr>
          <w:rFonts w:ascii="Times New Roman" w:hAnsi="Times New Roman"/>
          <w:sz w:val="24"/>
          <w:szCs w:val="24"/>
        </w:rPr>
        <w:t xml:space="preserve">dicción Extraterritorial que </w:t>
      </w:r>
      <w:r w:rsidR="00F82431" w:rsidRPr="0054131B">
        <w:rPr>
          <w:rFonts w:ascii="Times New Roman" w:hAnsi="Times New Roman"/>
          <w:sz w:val="24"/>
          <w:szCs w:val="24"/>
        </w:rPr>
        <w:t>otorga c</w:t>
      </w:r>
      <w:r w:rsidR="00E1095E" w:rsidRPr="0054131B">
        <w:rPr>
          <w:rFonts w:ascii="Times New Roman" w:hAnsi="Times New Roman"/>
          <w:sz w:val="24"/>
          <w:szCs w:val="24"/>
        </w:rPr>
        <w:t xml:space="preserve">ompetencia a sus jueces en </w:t>
      </w:r>
      <w:r w:rsidR="00AF6931" w:rsidRPr="0054131B">
        <w:rPr>
          <w:rFonts w:ascii="Times New Roman" w:hAnsi="Times New Roman"/>
          <w:sz w:val="24"/>
          <w:szCs w:val="24"/>
        </w:rPr>
        <w:t xml:space="preserve">casos </w:t>
      </w:r>
      <w:r w:rsidR="00F82431" w:rsidRPr="0054131B">
        <w:rPr>
          <w:rFonts w:ascii="Times New Roman" w:hAnsi="Times New Roman"/>
          <w:sz w:val="24"/>
          <w:szCs w:val="24"/>
        </w:rPr>
        <w:t>de lavado de activos o cohecho</w:t>
      </w:r>
      <w:r w:rsidR="00AF6931" w:rsidRPr="0054131B">
        <w:rPr>
          <w:rFonts w:ascii="Times New Roman" w:hAnsi="Times New Roman"/>
          <w:sz w:val="24"/>
          <w:szCs w:val="24"/>
        </w:rPr>
        <w:t>. E</w:t>
      </w:r>
      <w:r w:rsidR="00F82431" w:rsidRPr="0054131B">
        <w:rPr>
          <w:rFonts w:ascii="Times New Roman" w:hAnsi="Times New Roman"/>
          <w:sz w:val="24"/>
          <w:szCs w:val="24"/>
        </w:rPr>
        <w:t xml:space="preserve">llo no sólo significa que </w:t>
      </w:r>
      <w:r w:rsidR="00383869" w:rsidRPr="0054131B">
        <w:rPr>
          <w:rFonts w:ascii="Times New Roman" w:hAnsi="Times New Roman"/>
          <w:sz w:val="24"/>
          <w:szCs w:val="24"/>
        </w:rPr>
        <w:t>Santa Clara</w:t>
      </w:r>
      <w:r w:rsidR="00F82431" w:rsidRPr="0054131B">
        <w:rPr>
          <w:rFonts w:ascii="Times New Roman" w:hAnsi="Times New Roman"/>
          <w:sz w:val="24"/>
          <w:szCs w:val="24"/>
        </w:rPr>
        <w:t xml:space="preserve"> tiene jurisdicción para investigar los hechos del caso </w:t>
      </w:r>
      <w:r w:rsidR="00F82431" w:rsidRPr="0054131B">
        <w:rPr>
          <w:rFonts w:ascii="Times New Roman" w:hAnsi="Times New Roman"/>
          <w:i/>
          <w:sz w:val="24"/>
          <w:szCs w:val="24"/>
        </w:rPr>
        <w:t>sub judice</w:t>
      </w:r>
      <w:r w:rsidR="00F82431" w:rsidRPr="0054131B">
        <w:rPr>
          <w:rFonts w:ascii="Times New Roman" w:hAnsi="Times New Roman"/>
          <w:sz w:val="24"/>
          <w:szCs w:val="24"/>
        </w:rPr>
        <w:t>, sino también</w:t>
      </w:r>
      <w:r w:rsidR="00383869" w:rsidRPr="0054131B">
        <w:rPr>
          <w:rFonts w:ascii="Times New Roman" w:hAnsi="Times New Roman"/>
          <w:sz w:val="24"/>
          <w:szCs w:val="24"/>
        </w:rPr>
        <w:t>,</w:t>
      </w:r>
      <w:r w:rsidR="00F82431" w:rsidRPr="0054131B">
        <w:rPr>
          <w:rFonts w:ascii="Times New Roman" w:hAnsi="Times New Roman"/>
          <w:sz w:val="24"/>
          <w:szCs w:val="24"/>
        </w:rPr>
        <w:t xml:space="preserve"> una importante similitud con la Ley de Víctimas de Trata y Protección contra la Violencia</w:t>
      </w:r>
      <w:r w:rsidR="00F82431" w:rsidRPr="0054131B">
        <w:rPr>
          <w:rStyle w:val="FootnoteReference"/>
          <w:rFonts w:ascii="Times New Roman" w:hAnsi="Times New Roman"/>
          <w:sz w:val="24"/>
          <w:szCs w:val="24"/>
        </w:rPr>
        <w:footnoteReference w:id="38"/>
      </w:r>
      <w:r w:rsidR="001B4A15" w:rsidRPr="0054131B">
        <w:rPr>
          <w:rFonts w:ascii="Times New Roman" w:hAnsi="Times New Roman"/>
          <w:sz w:val="24"/>
          <w:szCs w:val="24"/>
        </w:rPr>
        <w:t xml:space="preserve"> </w:t>
      </w:r>
      <w:r w:rsidR="00383869" w:rsidRPr="0054131B">
        <w:rPr>
          <w:rFonts w:ascii="Times New Roman" w:hAnsi="Times New Roman"/>
          <w:sz w:val="24"/>
          <w:szCs w:val="24"/>
        </w:rPr>
        <w:t>y la L</w:t>
      </w:r>
      <w:r w:rsidR="00F82431" w:rsidRPr="0054131B">
        <w:rPr>
          <w:rFonts w:ascii="Times New Roman" w:hAnsi="Times New Roman"/>
          <w:sz w:val="24"/>
          <w:szCs w:val="24"/>
        </w:rPr>
        <w:t>ey de Reclamaciones Extranjeras</w:t>
      </w:r>
      <w:r w:rsidR="00383869" w:rsidRPr="0054131B">
        <w:rPr>
          <w:rStyle w:val="FootnoteReference"/>
          <w:rFonts w:ascii="Times New Roman" w:hAnsi="Times New Roman"/>
          <w:sz w:val="24"/>
          <w:szCs w:val="24"/>
        </w:rPr>
        <w:footnoteReference w:id="39"/>
      </w:r>
      <w:r w:rsidR="00383869" w:rsidRPr="0054131B">
        <w:rPr>
          <w:rFonts w:ascii="Times New Roman" w:hAnsi="Times New Roman"/>
          <w:sz w:val="24"/>
          <w:szCs w:val="24"/>
        </w:rPr>
        <w:t>, ambas</w:t>
      </w:r>
      <w:r w:rsidR="00F82431" w:rsidRPr="0054131B">
        <w:rPr>
          <w:rFonts w:ascii="Times New Roman" w:hAnsi="Times New Roman"/>
          <w:sz w:val="24"/>
          <w:szCs w:val="24"/>
        </w:rPr>
        <w:t xml:space="preserve"> de EE</w:t>
      </w:r>
      <w:r w:rsidR="001B4A15" w:rsidRPr="0054131B">
        <w:rPr>
          <w:rFonts w:ascii="Times New Roman" w:hAnsi="Times New Roman"/>
          <w:sz w:val="24"/>
          <w:szCs w:val="24"/>
        </w:rPr>
        <w:t>.</w:t>
      </w:r>
      <w:r w:rsidR="00F82431" w:rsidRPr="0054131B">
        <w:rPr>
          <w:rFonts w:ascii="Times New Roman" w:hAnsi="Times New Roman"/>
          <w:sz w:val="24"/>
          <w:szCs w:val="24"/>
        </w:rPr>
        <w:t>UU</w:t>
      </w:r>
      <w:r w:rsidR="001B4A15" w:rsidRPr="0054131B">
        <w:rPr>
          <w:rFonts w:ascii="Times New Roman" w:hAnsi="Times New Roman"/>
          <w:sz w:val="24"/>
          <w:szCs w:val="24"/>
        </w:rPr>
        <w:t>.,</w:t>
      </w:r>
      <w:r w:rsidR="00F82431" w:rsidRPr="0054131B">
        <w:rPr>
          <w:rFonts w:ascii="Times New Roman" w:hAnsi="Times New Roman"/>
          <w:sz w:val="24"/>
          <w:szCs w:val="24"/>
        </w:rPr>
        <w:t xml:space="preserve"> </w:t>
      </w:r>
      <w:r w:rsidR="001B4A15" w:rsidRPr="0054131B">
        <w:rPr>
          <w:rFonts w:ascii="Times New Roman" w:hAnsi="Times New Roman"/>
          <w:sz w:val="24"/>
          <w:szCs w:val="24"/>
        </w:rPr>
        <w:t>en base a las</w:t>
      </w:r>
      <w:r w:rsidR="00F82431" w:rsidRPr="0054131B">
        <w:rPr>
          <w:rFonts w:ascii="Times New Roman" w:hAnsi="Times New Roman"/>
          <w:sz w:val="24"/>
          <w:szCs w:val="24"/>
        </w:rPr>
        <w:t xml:space="preserve"> cuales la Corte Suprema de </w:t>
      </w:r>
      <w:r w:rsidR="00383869" w:rsidRPr="0054131B">
        <w:rPr>
          <w:rFonts w:ascii="Times New Roman" w:hAnsi="Times New Roman"/>
          <w:sz w:val="24"/>
          <w:szCs w:val="24"/>
        </w:rPr>
        <w:t xml:space="preserve">este Estado </w:t>
      </w:r>
      <w:r w:rsidR="00F82431" w:rsidRPr="0054131B">
        <w:rPr>
          <w:rFonts w:ascii="Times New Roman" w:hAnsi="Times New Roman"/>
          <w:sz w:val="24"/>
          <w:szCs w:val="24"/>
        </w:rPr>
        <w:t>ha determinado que los actos de las empresas filiales no excluyen la responsabilidad de la empresa matriz, siempre que los actos de la filial tengan el consentimiento, co</w:t>
      </w:r>
      <w:r w:rsidR="00383869" w:rsidRPr="0054131B">
        <w:rPr>
          <w:rFonts w:ascii="Times New Roman" w:hAnsi="Times New Roman"/>
          <w:sz w:val="24"/>
          <w:szCs w:val="24"/>
        </w:rPr>
        <w:t>ntrol o supervisión de la misma</w:t>
      </w:r>
      <w:r w:rsidR="00F82431" w:rsidRPr="0054131B">
        <w:rPr>
          <w:rStyle w:val="FootnoteReference"/>
          <w:rFonts w:ascii="Times New Roman" w:hAnsi="Times New Roman"/>
          <w:sz w:val="24"/>
          <w:szCs w:val="24"/>
        </w:rPr>
        <w:footnoteReference w:id="40"/>
      </w:r>
      <w:r w:rsidR="0060720D" w:rsidRPr="0054131B">
        <w:rPr>
          <w:rFonts w:ascii="Times New Roman" w:hAnsi="Times New Roman"/>
          <w:sz w:val="24"/>
          <w:szCs w:val="24"/>
        </w:rPr>
        <w:t>. De igual forma, los P</w:t>
      </w:r>
      <w:r w:rsidR="00F82431" w:rsidRPr="0054131B">
        <w:rPr>
          <w:rFonts w:ascii="Times New Roman" w:hAnsi="Times New Roman"/>
          <w:sz w:val="24"/>
          <w:szCs w:val="24"/>
        </w:rPr>
        <w:t xml:space="preserve">rincipios Ruggie establecen que los Estados deben adoptar medidas de protección adicionales contra las violaciones de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cometidas por empresas que </w:t>
      </w:r>
      <w:r w:rsidR="00F82431" w:rsidRPr="0054131B">
        <w:rPr>
          <w:rFonts w:ascii="Times New Roman" w:hAnsi="Times New Roman"/>
          <w:sz w:val="24"/>
          <w:szCs w:val="24"/>
        </w:rPr>
        <w:lastRenderedPageBreak/>
        <w:t>sean de su propiedad o estén bajo su control</w:t>
      </w:r>
      <w:r w:rsidR="00F82431" w:rsidRPr="0054131B">
        <w:rPr>
          <w:rStyle w:val="FootnoteReference"/>
          <w:rFonts w:ascii="Times New Roman" w:hAnsi="Times New Roman"/>
          <w:sz w:val="24"/>
          <w:szCs w:val="24"/>
        </w:rPr>
        <w:footnoteReference w:id="41"/>
      </w:r>
      <w:r w:rsidR="00F82431" w:rsidRPr="0054131B">
        <w:rPr>
          <w:rFonts w:ascii="Times New Roman" w:hAnsi="Times New Roman"/>
          <w:sz w:val="24"/>
          <w:szCs w:val="24"/>
        </w:rPr>
        <w:t>. En el presente caso, se evidencia que la matriz de Miningcorp indemniza, paga multas y asume responsabilidad civil por hechos cometidos en Madruga</w:t>
      </w:r>
      <w:r w:rsidR="00F82431" w:rsidRPr="0054131B">
        <w:rPr>
          <w:rStyle w:val="FootnoteReference"/>
          <w:rFonts w:ascii="Times New Roman" w:hAnsi="Times New Roman"/>
          <w:sz w:val="24"/>
          <w:szCs w:val="24"/>
        </w:rPr>
        <w:footnoteReference w:id="42"/>
      </w:r>
      <w:r w:rsidR="00F82431" w:rsidRPr="0054131B">
        <w:rPr>
          <w:rFonts w:ascii="Times New Roman" w:hAnsi="Times New Roman"/>
          <w:sz w:val="24"/>
          <w:szCs w:val="24"/>
        </w:rPr>
        <w:t xml:space="preserve">. Por </w:t>
      </w:r>
      <w:r w:rsidR="0060720D" w:rsidRPr="0054131B">
        <w:rPr>
          <w:rFonts w:ascii="Times New Roman" w:hAnsi="Times New Roman"/>
          <w:sz w:val="24"/>
          <w:szCs w:val="24"/>
        </w:rPr>
        <w:t>este motivo</w:t>
      </w:r>
      <w:r w:rsidR="00F82431" w:rsidRPr="0054131B">
        <w:rPr>
          <w:rFonts w:ascii="Times New Roman" w:hAnsi="Times New Roman"/>
          <w:sz w:val="24"/>
          <w:szCs w:val="24"/>
        </w:rPr>
        <w:t>, el hecho que el depósito bancario haya sido realizado por una filia</w:t>
      </w:r>
      <w:r w:rsidR="0060720D" w:rsidRPr="0054131B">
        <w:rPr>
          <w:rFonts w:ascii="Times New Roman" w:hAnsi="Times New Roman"/>
          <w:sz w:val="24"/>
          <w:szCs w:val="24"/>
        </w:rPr>
        <w:t>l de Miningcorp en Madruga no</w:t>
      </w:r>
      <w:r w:rsidR="00F82431" w:rsidRPr="0054131B">
        <w:rPr>
          <w:rFonts w:ascii="Times New Roman" w:hAnsi="Times New Roman"/>
          <w:sz w:val="24"/>
          <w:szCs w:val="24"/>
        </w:rPr>
        <w:t xml:space="preserve"> </w:t>
      </w:r>
      <w:r w:rsidR="0060720D" w:rsidRPr="0054131B">
        <w:rPr>
          <w:rFonts w:ascii="Times New Roman" w:hAnsi="Times New Roman"/>
          <w:sz w:val="24"/>
          <w:szCs w:val="24"/>
        </w:rPr>
        <w:t xml:space="preserve">impide </w:t>
      </w:r>
      <w:r w:rsidR="00F82431" w:rsidRPr="0054131B">
        <w:rPr>
          <w:rFonts w:ascii="Times New Roman" w:hAnsi="Times New Roman"/>
          <w:sz w:val="24"/>
          <w:szCs w:val="24"/>
        </w:rPr>
        <w:t>realizar una investigación en Santa Clara.</w:t>
      </w:r>
    </w:p>
    <w:p w:rsidR="00F82431" w:rsidRPr="0054131B" w:rsidRDefault="001944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3</w:t>
      </w:r>
      <w:r w:rsidR="00D74870" w:rsidRPr="0054131B">
        <w:rPr>
          <w:rFonts w:ascii="Times New Roman" w:hAnsi="Times New Roman"/>
          <w:sz w:val="24"/>
          <w:szCs w:val="24"/>
        </w:rPr>
        <w:t>0</w:t>
      </w:r>
      <w:r w:rsidR="00917608" w:rsidRPr="0054131B">
        <w:rPr>
          <w:rFonts w:ascii="Times New Roman" w:hAnsi="Times New Roman"/>
          <w:sz w:val="24"/>
          <w:szCs w:val="24"/>
        </w:rPr>
        <w:t xml:space="preserve">. </w:t>
      </w:r>
      <w:r w:rsidR="00F82431" w:rsidRPr="0054131B">
        <w:rPr>
          <w:rFonts w:ascii="Times New Roman" w:hAnsi="Times New Roman"/>
          <w:sz w:val="24"/>
          <w:szCs w:val="24"/>
        </w:rPr>
        <w:t xml:space="preserve">Por otro lado, </w:t>
      </w:r>
      <w:r w:rsidR="00DF4C36" w:rsidRPr="0054131B">
        <w:rPr>
          <w:rFonts w:ascii="Times New Roman" w:hAnsi="Times New Roman"/>
          <w:sz w:val="24"/>
          <w:szCs w:val="24"/>
        </w:rPr>
        <w:t xml:space="preserve">en base a la teoría </w:t>
      </w:r>
      <w:r w:rsidR="00E96AD1" w:rsidRPr="0054131B">
        <w:rPr>
          <w:rFonts w:ascii="Times New Roman" w:hAnsi="Times New Roman"/>
          <w:i/>
          <w:sz w:val="24"/>
          <w:szCs w:val="24"/>
        </w:rPr>
        <w:t>fo</w:t>
      </w:r>
      <w:r w:rsidR="00F82431" w:rsidRPr="0054131B">
        <w:rPr>
          <w:rFonts w:ascii="Times New Roman" w:hAnsi="Times New Roman"/>
          <w:i/>
          <w:sz w:val="24"/>
          <w:szCs w:val="24"/>
        </w:rPr>
        <w:t>rum non convenions</w:t>
      </w:r>
      <w:r w:rsidR="007719AB" w:rsidRPr="0054131B">
        <w:rPr>
          <w:rFonts w:ascii="Times New Roman" w:hAnsi="Times New Roman"/>
          <w:sz w:val="24"/>
          <w:szCs w:val="24"/>
        </w:rPr>
        <w:t>,</w:t>
      </w:r>
      <w:r w:rsidR="00F82431" w:rsidRPr="0054131B">
        <w:rPr>
          <w:rFonts w:ascii="Times New Roman" w:hAnsi="Times New Roman"/>
          <w:sz w:val="24"/>
          <w:szCs w:val="24"/>
        </w:rPr>
        <w:t xml:space="preserve"> el Ministerio Público de Santa Clara decidi</w:t>
      </w:r>
      <w:r w:rsidR="00DF4C36" w:rsidRPr="0054131B">
        <w:rPr>
          <w:rFonts w:ascii="Times New Roman" w:hAnsi="Times New Roman"/>
          <w:sz w:val="24"/>
          <w:szCs w:val="24"/>
        </w:rPr>
        <w:t>ó</w:t>
      </w:r>
      <w:r w:rsidR="00F82431" w:rsidRPr="0054131B">
        <w:rPr>
          <w:rFonts w:ascii="Times New Roman" w:hAnsi="Times New Roman"/>
          <w:sz w:val="24"/>
          <w:szCs w:val="24"/>
        </w:rPr>
        <w:t xml:space="preserve"> no investigar la causa, alegando que Madruga era el foro más conveniente. No obst</w:t>
      </w:r>
      <w:r w:rsidR="007059D6" w:rsidRPr="0054131B">
        <w:rPr>
          <w:rFonts w:ascii="Times New Roman" w:hAnsi="Times New Roman"/>
          <w:sz w:val="24"/>
          <w:szCs w:val="24"/>
        </w:rPr>
        <w:t>ante, diversos tribunales estadou</w:t>
      </w:r>
      <w:r w:rsidR="00F82431" w:rsidRPr="0054131B">
        <w:rPr>
          <w:rFonts w:ascii="Times New Roman" w:hAnsi="Times New Roman"/>
          <w:sz w:val="24"/>
          <w:szCs w:val="24"/>
        </w:rPr>
        <w:t>nidenses</w:t>
      </w:r>
      <w:r w:rsidR="007719AB" w:rsidRPr="0054131B">
        <w:rPr>
          <w:rFonts w:ascii="Times New Roman" w:hAnsi="Times New Roman"/>
          <w:sz w:val="24"/>
          <w:szCs w:val="24"/>
        </w:rPr>
        <w:t>,</w:t>
      </w:r>
      <w:r w:rsidR="00F82431" w:rsidRPr="0054131B">
        <w:rPr>
          <w:rFonts w:ascii="Times New Roman" w:hAnsi="Times New Roman"/>
          <w:sz w:val="24"/>
          <w:szCs w:val="24"/>
        </w:rPr>
        <w:t xml:space="preserve"> en aplicación de esta doctrina, han señalado que deben velarse por intereses públicos y privados</w:t>
      </w:r>
      <w:r w:rsidR="00F82431" w:rsidRPr="0054131B">
        <w:rPr>
          <w:rStyle w:val="FootnoteReference"/>
          <w:rFonts w:ascii="Times New Roman" w:hAnsi="Times New Roman"/>
          <w:sz w:val="24"/>
          <w:szCs w:val="24"/>
        </w:rPr>
        <w:footnoteReference w:id="43"/>
      </w:r>
      <w:r w:rsidR="00F82431" w:rsidRPr="0054131B">
        <w:rPr>
          <w:rFonts w:ascii="Times New Roman" w:hAnsi="Times New Roman"/>
          <w:sz w:val="24"/>
          <w:szCs w:val="24"/>
        </w:rPr>
        <w:t xml:space="preserve">. </w:t>
      </w:r>
      <w:r w:rsidR="00975007" w:rsidRPr="0054131B">
        <w:rPr>
          <w:rFonts w:ascii="Times New Roman" w:hAnsi="Times New Roman"/>
          <w:sz w:val="24"/>
          <w:szCs w:val="24"/>
        </w:rPr>
        <w:t>La CIDH, e</w:t>
      </w:r>
      <w:r w:rsidR="00F82431" w:rsidRPr="0054131B">
        <w:rPr>
          <w:rFonts w:ascii="Times New Roman" w:hAnsi="Times New Roman"/>
          <w:sz w:val="24"/>
          <w:szCs w:val="24"/>
        </w:rPr>
        <w:t>n el marco de los intereses públicos, ha establecido que, en caso de conflicto de jurisdicciones, debe prevalecer aquella donde existan recursos adecuados y eficientes para el juzgamiento de tales crímenes</w:t>
      </w:r>
      <w:r w:rsidR="00F82431" w:rsidRPr="0054131B">
        <w:rPr>
          <w:rStyle w:val="FootnoteReference"/>
          <w:rFonts w:ascii="Times New Roman" w:hAnsi="Times New Roman"/>
          <w:sz w:val="24"/>
          <w:szCs w:val="24"/>
        </w:rPr>
        <w:footnoteReference w:id="44"/>
      </w:r>
      <w:r w:rsidR="001A475D">
        <w:rPr>
          <w:rFonts w:ascii="Times New Roman" w:hAnsi="Times New Roman"/>
          <w:sz w:val="24"/>
          <w:szCs w:val="24"/>
        </w:rPr>
        <w:t>.</w:t>
      </w:r>
      <w:r w:rsidR="00975007" w:rsidRPr="0054131B">
        <w:rPr>
          <w:rFonts w:ascii="Times New Roman" w:hAnsi="Times New Roman"/>
          <w:sz w:val="24"/>
          <w:szCs w:val="24"/>
        </w:rPr>
        <w:t xml:space="preserve"> </w:t>
      </w:r>
      <w:r w:rsidR="001A475D">
        <w:rPr>
          <w:rStyle w:val="FootnoteReference"/>
          <w:rFonts w:ascii="Times New Roman" w:hAnsi="Times New Roman"/>
          <w:sz w:val="24"/>
          <w:szCs w:val="24"/>
          <w:vertAlign w:val="baseline"/>
        </w:rPr>
        <w:t>E</w:t>
      </w:r>
      <w:r w:rsidR="00F82431" w:rsidRPr="0054131B">
        <w:rPr>
          <w:rStyle w:val="FootnoteReference"/>
          <w:rFonts w:ascii="Times New Roman" w:hAnsi="Times New Roman"/>
          <w:sz w:val="24"/>
          <w:szCs w:val="24"/>
          <w:vertAlign w:val="baseline"/>
        </w:rPr>
        <w:t>n el presente caso,</w:t>
      </w:r>
      <w:r w:rsidR="007059D6" w:rsidRPr="0054131B">
        <w:rPr>
          <w:rFonts w:ascii="Times New Roman" w:hAnsi="Times New Roman"/>
          <w:sz w:val="24"/>
          <w:szCs w:val="24"/>
        </w:rPr>
        <w:t xml:space="preserve"> </w:t>
      </w:r>
      <w:r w:rsidR="00F9110E" w:rsidRPr="0054131B">
        <w:rPr>
          <w:rFonts w:ascii="Times New Roman" w:hAnsi="Times New Roman"/>
          <w:sz w:val="24"/>
          <w:szCs w:val="24"/>
        </w:rPr>
        <w:t>Madruga atraviesa un</w:t>
      </w:r>
      <w:r w:rsidR="00F82431" w:rsidRPr="0054131B">
        <w:rPr>
          <w:rFonts w:ascii="Times New Roman" w:hAnsi="Times New Roman"/>
          <w:sz w:val="24"/>
          <w:szCs w:val="24"/>
        </w:rPr>
        <w:t xml:space="preserve"> clima de impunidad total </w:t>
      </w:r>
      <w:r w:rsidR="00F9110E" w:rsidRPr="0054131B">
        <w:rPr>
          <w:rFonts w:ascii="Times New Roman" w:hAnsi="Times New Roman"/>
          <w:sz w:val="24"/>
          <w:szCs w:val="24"/>
        </w:rPr>
        <w:t>y</w:t>
      </w:r>
      <w:r w:rsidR="007059D6" w:rsidRPr="0054131B">
        <w:rPr>
          <w:rFonts w:ascii="Times New Roman" w:hAnsi="Times New Roman"/>
          <w:sz w:val="24"/>
          <w:szCs w:val="24"/>
        </w:rPr>
        <w:t xml:space="preserve"> </w:t>
      </w:r>
      <w:r w:rsidR="00F9110E" w:rsidRPr="0054131B">
        <w:rPr>
          <w:rFonts w:ascii="Times New Roman" w:hAnsi="Times New Roman"/>
          <w:sz w:val="24"/>
          <w:szCs w:val="24"/>
        </w:rPr>
        <w:t>múltiples deficiencias en</w:t>
      </w:r>
      <w:r w:rsidR="00F82431" w:rsidRPr="0054131B">
        <w:rPr>
          <w:rFonts w:ascii="Times New Roman" w:hAnsi="Times New Roman"/>
          <w:sz w:val="24"/>
          <w:szCs w:val="24"/>
        </w:rPr>
        <w:t xml:space="preserve"> su sistema ju</w:t>
      </w:r>
      <w:r w:rsidR="007059D6" w:rsidRPr="0054131B">
        <w:rPr>
          <w:rFonts w:ascii="Times New Roman" w:hAnsi="Times New Roman"/>
          <w:sz w:val="24"/>
          <w:szCs w:val="24"/>
        </w:rPr>
        <w:t>dicial. Por otro lado, r</w:t>
      </w:r>
      <w:r w:rsidR="00F82431" w:rsidRPr="0054131B">
        <w:rPr>
          <w:rFonts w:ascii="Times New Roman" w:hAnsi="Times New Roman"/>
          <w:sz w:val="24"/>
          <w:szCs w:val="24"/>
        </w:rPr>
        <w:t>especto a los intereses privados, los documentos que comprueban los depósitos bancarios efectua</w:t>
      </w:r>
      <w:r w:rsidR="00975007" w:rsidRPr="0054131B">
        <w:rPr>
          <w:rFonts w:ascii="Times New Roman" w:hAnsi="Times New Roman"/>
          <w:sz w:val="24"/>
          <w:szCs w:val="24"/>
        </w:rPr>
        <w:t>dos por Miningcorp (que son</w:t>
      </w:r>
      <w:r w:rsidR="00F82431" w:rsidRPr="0054131B">
        <w:rPr>
          <w:rFonts w:ascii="Times New Roman" w:hAnsi="Times New Roman"/>
          <w:sz w:val="24"/>
          <w:szCs w:val="24"/>
        </w:rPr>
        <w:t xml:space="preserve"> una prueba determinant</w:t>
      </w:r>
      <w:r w:rsidR="00C008BD" w:rsidRPr="0054131B">
        <w:rPr>
          <w:rFonts w:ascii="Times New Roman" w:hAnsi="Times New Roman"/>
          <w:sz w:val="24"/>
          <w:szCs w:val="24"/>
        </w:rPr>
        <w:t>e) se encuentran en Santa Clara</w:t>
      </w:r>
      <w:r w:rsidR="00F82431" w:rsidRPr="0054131B">
        <w:rPr>
          <w:rStyle w:val="FootnoteReference"/>
          <w:rFonts w:ascii="Times New Roman" w:hAnsi="Times New Roman"/>
          <w:sz w:val="24"/>
          <w:szCs w:val="24"/>
        </w:rPr>
        <w:footnoteReference w:id="45"/>
      </w:r>
      <w:r w:rsidR="00C008BD" w:rsidRPr="0054131B">
        <w:rPr>
          <w:rFonts w:ascii="Times New Roman" w:hAnsi="Times New Roman"/>
          <w:sz w:val="24"/>
          <w:szCs w:val="24"/>
        </w:rPr>
        <w:t xml:space="preserve">. </w:t>
      </w:r>
      <w:r w:rsidR="007059D6" w:rsidRPr="0054131B">
        <w:rPr>
          <w:rFonts w:ascii="Times New Roman" w:hAnsi="Times New Roman"/>
          <w:sz w:val="24"/>
          <w:szCs w:val="24"/>
        </w:rPr>
        <w:t>Consecuentemente</w:t>
      </w:r>
      <w:r w:rsidR="00F82431" w:rsidRPr="0054131B">
        <w:rPr>
          <w:rFonts w:ascii="Times New Roman" w:hAnsi="Times New Roman"/>
          <w:sz w:val="24"/>
          <w:szCs w:val="24"/>
        </w:rPr>
        <w:t>, el foro más conveniente para investigar a Eliot Klein es Santa Clara</w:t>
      </w:r>
      <w:r w:rsidR="007059D6" w:rsidRPr="0054131B">
        <w:rPr>
          <w:rFonts w:ascii="Times New Roman" w:hAnsi="Times New Roman"/>
          <w:sz w:val="24"/>
          <w:szCs w:val="24"/>
        </w:rPr>
        <w:t xml:space="preserve"> </w:t>
      </w:r>
      <w:r w:rsidR="00263822" w:rsidRPr="0054131B">
        <w:rPr>
          <w:rFonts w:ascii="Times New Roman" w:hAnsi="Times New Roman"/>
          <w:sz w:val="24"/>
          <w:szCs w:val="24"/>
        </w:rPr>
        <w:t>que</w:t>
      </w:r>
      <w:r w:rsidR="00975007" w:rsidRPr="0054131B">
        <w:rPr>
          <w:rFonts w:ascii="Times New Roman" w:hAnsi="Times New Roman"/>
          <w:sz w:val="24"/>
          <w:szCs w:val="24"/>
        </w:rPr>
        <w:t>,</w:t>
      </w:r>
      <w:r w:rsidR="00263822" w:rsidRPr="0054131B">
        <w:rPr>
          <w:rFonts w:ascii="Times New Roman" w:hAnsi="Times New Roman"/>
          <w:sz w:val="24"/>
          <w:szCs w:val="24"/>
        </w:rPr>
        <w:t xml:space="preserve"> ante su inactividad</w:t>
      </w:r>
      <w:r w:rsidR="00975007" w:rsidRPr="0054131B">
        <w:rPr>
          <w:rFonts w:ascii="Times New Roman" w:hAnsi="Times New Roman"/>
          <w:sz w:val="24"/>
          <w:szCs w:val="24"/>
        </w:rPr>
        <w:t>,</w:t>
      </w:r>
      <w:r w:rsidR="00263822" w:rsidRPr="0054131B">
        <w:rPr>
          <w:rFonts w:ascii="Times New Roman" w:hAnsi="Times New Roman"/>
          <w:sz w:val="24"/>
          <w:szCs w:val="24"/>
        </w:rPr>
        <w:t xml:space="preserve"> incumplió su deber de investigación.</w:t>
      </w:r>
    </w:p>
    <w:p w:rsidR="00F82431" w:rsidRPr="0054131B" w:rsidRDefault="00B24983" w:rsidP="003B1275">
      <w:pPr>
        <w:pStyle w:val="NoSpacing"/>
        <w:spacing w:line="480" w:lineRule="auto"/>
        <w:jc w:val="both"/>
        <w:rPr>
          <w:rFonts w:ascii="Times New Roman" w:hAnsi="Times New Roman"/>
          <w:b/>
          <w:sz w:val="24"/>
          <w:szCs w:val="24"/>
        </w:rPr>
      </w:pPr>
      <w:r w:rsidRPr="0054131B">
        <w:rPr>
          <w:rFonts w:ascii="Times New Roman" w:hAnsi="Times New Roman"/>
          <w:b/>
          <w:sz w:val="24"/>
          <w:szCs w:val="24"/>
        </w:rPr>
        <w:t>B</w:t>
      </w:r>
      <w:r w:rsidR="008201EE" w:rsidRPr="0054131B">
        <w:rPr>
          <w:rFonts w:ascii="Times New Roman" w:hAnsi="Times New Roman"/>
          <w:b/>
          <w:sz w:val="24"/>
          <w:szCs w:val="24"/>
        </w:rPr>
        <w:t>.3.1.2</w:t>
      </w:r>
      <w:r w:rsidR="007059D6" w:rsidRPr="0054131B">
        <w:rPr>
          <w:rFonts w:ascii="Times New Roman" w:hAnsi="Times New Roman"/>
          <w:b/>
          <w:sz w:val="24"/>
          <w:szCs w:val="24"/>
        </w:rPr>
        <w:t xml:space="preserve"> </w:t>
      </w:r>
      <w:r w:rsidR="008201EE" w:rsidRPr="0054131B">
        <w:rPr>
          <w:rFonts w:ascii="Times New Roman" w:hAnsi="Times New Roman"/>
          <w:b/>
          <w:sz w:val="24"/>
          <w:szCs w:val="24"/>
        </w:rPr>
        <w:t>Incumplimiento del</w:t>
      </w:r>
      <w:r w:rsidR="00C008BD" w:rsidRPr="0054131B">
        <w:rPr>
          <w:rFonts w:ascii="Times New Roman" w:hAnsi="Times New Roman"/>
          <w:b/>
          <w:sz w:val="24"/>
          <w:szCs w:val="24"/>
        </w:rPr>
        <w:t xml:space="preserve"> deber de investigación en </w:t>
      </w:r>
      <w:r w:rsidR="00F82431" w:rsidRPr="0054131B">
        <w:rPr>
          <w:rFonts w:ascii="Times New Roman" w:hAnsi="Times New Roman"/>
          <w:b/>
          <w:sz w:val="24"/>
          <w:szCs w:val="24"/>
        </w:rPr>
        <w:t>el asesinato de Lucía Camana</w:t>
      </w:r>
    </w:p>
    <w:p w:rsidR="00F82431" w:rsidRPr="0054131B" w:rsidRDefault="001944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3</w:t>
      </w:r>
      <w:r w:rsidR="00D74870" w:rsidRPr="0054131B">
        <w:rPr>
          <w:rFonts w:ascii="Times New Roman" w:hAnsi="Times New Roman"/>
          <w:sz w:val="24"/>
          <w:szCs w:val="24"/>
        </w:rPr>
        <w:t>1</w:t>
      </w:r>
      <w:r w:rsidR="00B55A99" w:rsidRPr="0054131B">
        <w:rPr>
          <w:rFonts w:ascii="Times New Roman" w:hAnsi="Times New Roman"/>
          <w:sz w:val="24"/>
          <w:szCs w:val="24"/>
        </w:rPr>
        <w:t xml:space="preserve">. </w:t>
      </w:r>
      <w:r w:rsidR="00F82431" w:rsidRPr="0054131B">
        <w:rPr>
          <w:rFonts w:ascii="Times New Roman" w:hAnsi="Times New Roman"/>
          <w:sz w:val="24"/>
          <w:szCs w:val="24"/>
        </w:rPr>
        <w:t>No está en controversia que el deber de investigación en torn</w:t>
      </w:r>
      <w:r w:rsidR="00B55A99" w:rsidRPr="0054131B">
        <w:rPr>
          <w:rFonts w:ascii="Times New Roman" w:hAnsi="Times New Roman"/>
          <w:sz w:val="24"/>
          <w:szCs w:val="24"/>
        </w:rPr>
        <w:t>o al asesinato de Lucía Camana</w:t>
      </w:r>
      <w:r w:rsidR="00F82431" w:rsidRPr="0054131B">
        <w:rPr>
          <w:rFonts w:ascii="Times New Roman" w:hAnsi="Times New Roman"/>
          <w:sz w:val="24"/>
          <w:szCs w:val="24"/>
        </w:rPr>
        <w:t xml:space="preserve"> inicialmente le correspondía a Madruga. </w:t>
      </w:r>
      <w:r w:rsidR="00B55A99" w:rsidRPr="0054131B">
        <w:rPr>
          <w:rFonts w:ascii="Times New Roman" w:hAnsi="Times New Roman"/>
          <w:sz w:val="24"/>
          <w:szCs w:val="24"/>
        </w:rPr>
        <w:t>La Corte IDH</w:t>
      </w:r>
      <w:r w:rsidR="00F82431" w:rsidRPr="0054131B">
        <w:rPr>
          <w:rFonts w:ascii="Times New Roman" w:hAnsi="Times New Roman"/>
          <w:sz w:val="24"/>
          <w:szCs w:val="24"/>
        </w:rPr>
        <w:t xml:space="preserve"> ha determinado que deben tenerse en cuenta las circunstancias en las cuales se produce la infracción funcional que menoscaba </w:t>
      </w:r>
      <w:r w:rsidR="002956BB" w:rsidRPr="0054131B">
        <w:rPr>
          <w:rFonts w:ascii="Times New Roman" w:hAnsi="Times New Roman"/>
          <w:sz w:val="24"/>
          <w:szCs w:val="24"/>
        </w:rPr>
        <w:t xml:space="preserve">los </w:t>
      </w:r>
      <w:r w:rsidR="00363EAA" w:rsidRPr="0054131B">
        <w:rPr>
          <w:rFonts w:ascii="Times New Roman" w:hAnsi="Times New Roman"/>
          <w:sz w:val="24"/>
          <w:szCs w:val="24"/>
        </w:rPr>
        <w:lastRenderedPageBreak/>
        <w:t>DDHH</w:t>
      </w:r>
      <w:r w:rsidR="00F82431" w:rsidRPr="0054131B">
        <w:rPr>
          <w:rStyle w:val="FootnoteReference"/>
          <w:rFonts w:ascii="Times New Roman" w:hAnsi="Times New Roman"/>
          <w:sz w:val="24"/>
          <w:szCs w:val="24"/>
        </w:rPr>
        <w:footnoteReference w:id="46"/>
      </w:r>
      <w:r w:rsidR="00F82431" w:rsidRPr="0054131B">
        <w:rPr>
          <w:rFonts w:ascii="Times New Roman" w:hAnsi="Times New Roman"/>
          <w:sz w:val="24"/>
          <w:szCs w:val="24"/>
        </w:rPr>
        <w:t xml:space="preserve">, </w:t>
      </w:r>
      <w:r w:rsidR="00EF3814" w:rsidRPr="0054131B">
        <w:rPr>
          <w:rFonts w:ascii="Times New Roman" w:hAnsi="Times New Roman"/>
          <w:sz w:val="24"/>
          <w:szCs w:val="24"/>
        </w:rPr>
        <w:t xml:space="preserve"> y que </w:t>
      </w:r>
      <w:r w:rsidR="002C0A51" w:rsidRPr="0054131B">
        <w:rPr>
          <w:rFonts w:ascii="Times New Roman" w:hAnsi="Times New Roman"/>
          <w:sz w:val="24"/>
          <w:szCs w:val="24"/>
        </w:rPr>
        <w:t>deben investigarse las actuaciones de los funcionarios públicos que t</w:t>
      </w:r>
      <w:r w:rsidR="00EF3814" w:rsidRPr="0054131B">
        <w:rPr>
          <w:rFonts w:ascii="Times New Roman" w:hAnsi="Times New Roman"/>
          <w:sz w:val="24"/>
          <w:szCs w:val="24"/>
        </w:rPr>
        <w:t>ienen un</w:t>
      </w:r>
      <w:r w:rsidR="002C0A51" w:rsidRPr="0054131B">
        <w:rPr>
          <w:rFonts w:ascii="Times New Roman" w:hAnsi="Times New Roman"/>
          <w:sz w:val="24"/>
          <w:szCs w:val="24"/>
        </w:rPr>
        <w:t xml:space="preserve"> impacto en los derechos fundamentales</w:t>
      </w:r>
      <w:r w:rsidR="002C0A51" w:rsidRPr="0054131B">
        <w:rPr>
          <w:rStyle w:val="FootnoteReference"/>
          <w:rFonts w:ascii="Times New Roman" w:hAnsi="Times New Roman"/>
          <w:sz w:val="24"/>
          <w:szCs w:val="24"/>
        </w:rPr>
        <w:footnoteReference w:id="47"/>
      </w:r>
      <w:r w:rsidR="00EF3814" w:rsidRPr="0054131B">
        <w:rPr>
          <w:rFonts w:ascii="Times New Roman" w:hAnsi="Times New Roman"/>
          <w:sz w:val="24"/>
          <w:szCs w:val="24"/>
        </w:rPr>
        <w:t>. Por tanto,</w:t>
      </w:r>
      <w:r w:rsidR="002956BB" w:rsidRPr="0054131B">
        <w:rPr>
          <w:rFonts w:ascii="Times New Roman" w:hAnsi="Times New Roman"/>
          <w:sz w:val="24"/>
          <w:szCs w:val="24"/>
        </w:rPr>
        <w:t xml:space="preserve"> </w:t>
      </w:r>
      <w:r w:rsidR="00B55A99" w:rsidRPr="0054131B">
        <w:rPr>
          <w:rFonts w:ascii="Times New Roman" w:hAnsi="Times New Roman"/>
          <w:sz w:val="24"/>
          <w:szCs w:val="24"/>
        </w:rPr>
        <w:t>considerando el</w:t>
      </w:r>
      <w:r w:rsidR="00EF3814" w:rsidRPr="0054131B">
        <w:rPr>
          <w:rFonts w:ascii="Times New Roman" w:hAnsi="Times New Roman"/>
          <w:sz w:val="24"/>
          <w:szCs w:val="24"/>
        </w:rPr>
        <w:t xml:space="preserve"> contexto </w:t>
      </w:r>
      <w:r w:rsidR="00B55A99" w:rsidRPr="0054131B">
        <w:rPr>
          <w:rFonts w:ascii="Times New Roman" w:hAnsi="Times New Roman"/>
          <w:sz w:val="24"/>
          <w:szCs w:val="24"/>
        </w:rPr>
        <w:t xml:space="preserve">del presente caso, </w:t>
      </w:r>
      <w:r w:rsidR="00EF3814" w:rsidRPr="0054131B">
        <w:rPr>
          <w:rFonts w:ascii="Times New Roman" w:hAnsi="Times New Roman"/>
          <w:sz w:val="24"/>
          <w:szCs w:val="24"/>
        </w:rPr>
        <w:t>d</w:t>
      </w:r>
      <w:r w:rsidR="00B55A99" w:rsidRPr="0054131B">
        <w:rPr>
          <w:rFonts w:ascii="Times New Roman" w:hAnsi="Times New Roman"/>
          <w:sz w:val="24"/>
          <w:szCs w:val="24"/>
        </w:rPr>
        <w:t xml:space="preserve">onde grupos milicianos </w:t>
      </w:r>
      <w:r w:rsidR="00EF3814" w:rsidRPr="0054131B">
        <w:rPr>
          <w:rFonts w:ascii="Times New Roman" w:hAnsi="Times New Roman"/>
          <w:sz w:val="24"/>
          <w:szCs w:val="24"/>
        </w:rPr>
        <w:t>asesinan sistemáticamente a líderes sociales como Lucía Camana</w:t>
      </w:r>
      <w:r w:rsidR="00EF3814" w:rsidRPr="0054131B">
        <w:rPr>
          <w:rStyle w:val="FootnoteReference"/>
          <w:rFonts w:ascii="Times New Roman" w:hAnsi="Times New Roman"/>
          <w:sz w:val="24"/>
          <w:szCs w:val="24"/>
        </w:rPr>
        <w:footnoteReference w:id="48"/>
      </w:r>
      <w:r w:rsidR="00EF3814" w:rsidRPr="0054131B">
        <w:rPr>
          <w:rFonts w:ascii="Times New Roman" w:hAnsi="Times New Roman"/>
          <w:sz w:val="24"/>
          <w:szCs w:val="24"/>
        </w:rPr>
        <w:t>,</w:t>
      </w:r>
      <w:r w:rsidR="002956BB" w:rsidRPr="0054131B">
        <w:rPr>
          <w:rFonts w:ascii="Times New Roman" w:hAnsi="Times New Roman"/>
          <w:sz w:val="24"/>
          <w:szCs w:val="24"/>
        </w:rPr>
        <w:t xml:space="preserve"> </w:t>
      </w:r>
      <w:r w:rsidR="00EF3814" w:rsidRPr="0054131B">
        <w:rPr>
          <w:rFonts w:ascii="Times New Roman" w:hAnsi="Times New Roman"/>
          <w:sz w:val="24"/>
          <w:szCs w:val="24"/>
        </w:rPr>
        <w:t>teniendo en cuenta que David</w:t>
      </w:r>
      <w:r w:rsidR="002C0A51" w:rsidRPr="0054131B">
        <w:rPr>
          <w:rFonts w:ascii="Times New Roman" w:hAnsi="Times New Roman"/>
          <w:sz w:val="24"/>
          <w:szCs w:val="24"/>
        </w:rPr>
        <w:t xml:space="preserve"> Nelson (funcionario público adscrito a la emba</w:t>
      </w:r>
      <w:r w:rsidR="00883D32" w:rsidRPr="0054131B">
        <w:rPr>
          <w:rFonts w:ascii="Times New Roman" w:hAnsi="Times New Roman"/>
          <w:sz w:val="24"/>
          <w:szCs w:val="24"/>
        </w:rPr>
        <w:t>jada de Santa Clara en Madruga)</w:t>
      </w:r>
      <w:r w:rsidR="002C0A51" w:rsidRPr="0054131B">
        <w:rPr>
          <w:rFonts w:ascii="Times New Roman" w:hAnsi="Times New Roman"/>
          <w:sz w:val="24"/>
          <w:szCs w:val="24"/>
        </w:rPr>
        <w:t xml:space="preserve"> ha sostenido al menos tres reuniones con un grupo miliciano ilícito</w:t>
      </w:r>
      <w:r w:rsidR="00EF3814" w:rsidRPr="0054131B">
        <w:rPr>
          <w:rFonts w:ascii="Times New Roman" w:hAnsi="Times New Roman"/>
          <w:sz w:val="24"/>
          <w:szCs w:val="24"/>
        </w:rPr>
        <w:t xml:space="preserve"> en la época </w:t>
      </w:r>
      <w:r w:rsidR="00883D32" w:rsidRPr="0054131B">
        <w:rPr>
          <w:rFonts w:ascii="Times New Roman" w:hAnsi="Times New Roman"/>
          <w:sz w:val="24"/>
          <w:szCs w:val="24"/>
        </w:rPr>
        <w:t xml:space="preserve">en </w:t>
      </w:r>
      <w:r w:rsidR="00EF3814" w:rsidRPr="0054131B">
        <w:rPr>
          <w:rFonts w:ascii="Times New Roman" w:hAnsi="Times New Roman"/>
          <w:sz w:val="24"/>
          <w:szCs w:val="24"/>
        </w:rPr>
        <w:t>que Lucía Camana fue asesinada</w:t>
      </w:r>
      <w:r w:rsidR="002C0A51" w:rsidRPr="0054131B">
        <w:rPr>
          <w:rFonts w:ascii="Times New Roman" w:hAnsi="Times New Roman"/>
          <w:sz w:val="24"/>
          <w:szCs w:val="24"/>
        </w:rPr>
        <w:t xml:space="preserve"> y</w:t>
      </w:r>
      <w:r w:rsidR="00EF3814" w:rsidRPr="0054131B">
        <w:rPr>
          <w:rFonts w:ascii="Times New Roman" w:hAnsi="Times New Roman"/>
          <w:sz w:val="24"/>
          <w:szCs w:val="24"/>
        </w:rPr>
        <w:t>,</w:t>
      </w:r>
      <w:r w:rsidR="002956BB" w:rsidRPr="0054131B">
        <w:rPr>
          <w:rFonts w:ascii="Times New Roman" w:hAnsi="Times New Roman"/>
          <w:sz w:val="24"/>
          <w:szCs w:val="24"/>
        </w:rPr>
        <w:t xml:space="preserve"> </w:t>
      </w:r>
      <w:r w:rsidR="00EF3814" w:rsidRPr="0054131B">
        <w:rPr>
          <w:rFonts w:ascii="Times New Roman" w:hAnsi="Times New Roman"/>
          <w:sz w:val="24"/>
          <w:szCs w:val="24"/>
        </w:rPr>
        <w:t>reiterando</w:t>
      </w:r>
      <w:r w:rsidR="002C0A51" w:rsidRPr="0054131B">
        <w:rPr>
          <w:rFonts w:ascii="Times New Roman" w:hAnsi="Times New Roman"/>
          <w:sz w:val="24"/>
          <w:szCs w:val="24"/>
        </w:rPr>
        <w:t xml:space="preserve"> que la investigación también debe estar dirigida a identificar a los autores intelectuales</w:t>
      </w:r>
      <w:r w:rsidR="002C0A51" w:rsidRPr="0054131B">
        <w:rPr>
          <w:rStyle w:val="FootnoteReference"/>
          <w:rFonts w:ascii="Times New Roman" w:hAnsi="Times New Roman"/>
          <w:sz w:val="24"/>
          <w:szCs w:val="24"/>
        </w:rPr>
        <w:footnoteReference w:id="49"/>
      </w:r>
      <w:r w:rsidR="00EF3814" w:rsidRPr="0054131B">
        <w:rPr>
          <w:rFonts w:ascii="Times New Roman" w:hAnsi="Times New Roman"/>
          <w:sz w:val="24"/>
          <w:szCs w:val="24"/>
        </w:rPr>
        <w:t xml:space="preserve">, </w:t>
      </w:r>
      <w:r w:rsidR="00F82431" w:rsidRPr="0054131B">
        <w:rPr>
          <w:rFonts w:ascii="Times New Roman" w:hAnsi="Times New Roman"/>
          <w:sz w:val="24"/>
          <w:szCs w:val="24"/>
        </w:rPr>
        <w:t xml:space="preserve">surgió un riesgo real </w:t>
      </w:r>
      <w:r w:rsidR="00883D32" w:rsidRPr="0054131B">
        <w:rPr>
          <w:rFonts w:ascii="Times New Roman" w:hAnsi="Times New Roman"/>
          <w:sz w:val="24"/>
          <w:szCs w:val="24"/>
        </w:rPr>
        <w:t xml:space="preserve">e </w:t>
      </w:r>
      <w:r w:rsidR="00F82431" w:rsidRPr="0054131B">
        <w:rPr>
          <w:rFonts w:ascii="Times New Roman" w:hAnsi="Times New Roman"/>
          <w:sz w:val="24"/>
          <w:szCs w:val="24"/>
        </w:rPr>
        <w:t>inmediato</w:t>
      </w:r>
      <w:r w:rsidR="00F82431" w:rsidRPr="0054131B">
        <w:rPr>
          <w:rStyle w:val="FootnoteReference"/>
          <w:rFonts w:ascii="Times New Roman" w:hAnsi="Times New Roman"/>
          <w:sz w:val="24"/>
          <w:szCs w:val="24"/>
        </w:rPr>
        <w:footnoteReference w:id="50"/>
      </w:r>
      <w:r w:rsidR="00F82431" w:rsidRPr="0054131B">
        <w:rPr>
          <w:rFonts w:ascii="Times New Roman" w:hAnsi="Times New Roman"/>
          <w:sz w:val="24"/>
          <w:szCs w:val="24"/>
        </w:rPr>
        <w:t xml:space="preserve"> que obliga a Santa Clara a investigar una eventual responsabilidad penal de este funcionario.</w:t>
      </w:r>
    </w:p>
    <w:p w:rsidR="00F12C6E" w:rsidRPr="0054131B" w:rsidRDefault="001944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3</w:t>
      </w:r>
      <w:r w:rsidR="00D74870" w:rsidRPr="0054131B">
        <w:rPr>
          <w:rFonts w:ascii="Times New Roman" w:hAnsi="Times New Roman"/>
          <w:sz w:val="24"/>
          <w:szCs w:val="24"/>
        </w:rPr>
        <w:t>2</w:t>
      </w:r>
      <w:r w:rsidR="00E5159F" w:rsidRPr="0054131B">
        <w:rPr>
          <w:rFonts w:ascii="Times New Roman" w:hAnsi="Times New Roman"/>
          <w:sz w:val="24"/>
          <w:szCs w:val="24"/>
        </w:rPr>
        <w:t xml:space="preserve">. </w:t>
      </w:r>
      <w:r w:rsidR="002956BB" w:rsidRPr="0054131B">
        <w:rPr>
          <w:rFonts w:ascii="Times New Roman" w:hAnsi="Times New Roman"/>
          <w:sz w:val="24"/>
          <w:szCs w:val="24"/>
        </w:rPr>
        <w:t>S</w:t>
      </w:r>
      <w:r w:rsidR="00F82431" w:rsidRPr="0054131B">
        <w:rPr>
          <w:rFonts w:ascii="Times New Roman" w:hAnsi="Times New Roman"/>
          <w:sz w:val="24"/>
          <w:szCs w:val="24"/>
        </w:rPr>
        <w:t>i bien David Nelson ha sido suspendido de su cargo público, el procedimiento discipl</w:t>
      </w:r>
      <w:r w:rsidR="002956BB" w:rsidRPr="0054131B">
        <w:rPr>
          <w:rFonts w:ascii="Times New Roman" w:hAnsi="Times New Roman"/>
          <w:sz w:val="24"/>
          <w:szCs w:val="24"/>
        </w:rPr>
        <w:t>inario</w:t>
      </w:r>
      <w:r w:rsidR="00F82431" w:rsidRPr="0054131B">
        <w:rPr>
          <w:rFonts w:ascii="Times New Roman" w:hAnsi="Times New Roman"/>
          <w:sz w:val="24"/>
          <w:szCs w:val="24"/>
        </w:rPr>
        <w:t>, s</w:t>
      </w:r>
      <w:r w:rsidR="002956BB" w:rsidRPr="0054131B">
        <w:rPr>
          <w:rFonts w:ascii="Times New Roman" w:hAnsi="Times New Roman"/>
          <w:sz w:val="24"/>
          <w:szCs w:val="24"/>
        </w:rPr>
        <w:t>implemente</w:t>
      </w:r>
      <w:r w:rsidR="0013511D" w:rsidRPr="0054131B">
        <w:rPr>
          <w:rFonts w:ascii="Times New Roman" w:hAnsi="Times New Roman"/>
          <w:sz w:val="24"/>
          <w:szCs w:val="24"/>
        </w:rPr>
        <w:t xml:space="preserve"> tiene</w:t>
      </w:r>
      <w:r w:rsidR="002956BB" w:rsidRPr="0054131B">
        <w:rPr>
          <w:rFonts w:ascii="Times New Roman" w:hAnsi="Times New Roman"/>
          <w:sz w:val="24"/>
          <w:szCs w:val="24"/>
        </w:rPr>
        <w:t xml:space="preserve"> un carácter simbólico </w:t>
      </w:r>
      <w:r w:rsidR="00F82431" w:rsidRPr="0054131B">
        <w:rPr>
          <w:rFonts w:ascii="Times New Roman" w:hAnsi="Times New Roman"/>
          <w:sz w:val="24"/>
          <w:szCs w:val="24"/>
        </w:rPr>
        <w:t>de reproche respecto a estos funcionarios</w:t>
      </w:r>
      <w:r w:rsidR="00F82431" w:rsidRPr="0054131B">
        <w:rPr>
          <w:rStyle w:val="FootnoteReference"/>
          <w:rFonts w:ascii="Times New Roman" w:hAnsi="Times New Roman"/>
          <w:sz w:val="24"/>
          <w:szCs w:val="24"/>
        </w:rPr>
        <w:footnoteReference w:id="51"/>
      </w:r>
      <w:r w:rsidR="0013511D" w:rsidRPr="0054131B">
        <w:rPr>
          <w:rFonts w:ascii="Times New Roman" w:hAnsi="Times New Roman"/>
          <w:sz w:val="24"/>
          <w:szCs w:val="24"/>
        </w:rPr>
        <w:t>. Este procedimiento p</w:t>
      </w:r>
      <w:r w:rsidR="00F82431" w:rsidRPr="0054131B">
        <w:rPr>
          <w:rFonts w:ascii="Times New Roman" w:hAnsi="Times New Roman"/>
          <w:sz w:val="24"/>
          <w:szCs w:val="24"/>
        </w:rPr>
        <w:t>uede complementar</w:t>
      </w:r>
      <w:r w:rsidR="001A475D">
        <w:rPr>
          <w:rFonts w:ascii="Times New Roman" w:hAnsi="Times New Roman"/>
          <w:sz w:val="24"/>
          <w:szCs w:val="24"/>
        </w:rPr>
        <w:t>, pero no sustituir a cabalidad</w:t>
      </w:r>
      <w:r w:rsidR="00F82431" w:rsidRPr="0054131B">
        <w:rPr>
          <w:rFonts w:ascii="Times New Roman" w:hAnsi="Times New Roman"/>
          <w:sz w:val="24"/>
          <w:szCs w:val="24"/>
        </w:rPr>
        <w:t xml:space="preserve"> la función de la jurisdicción penal en casos de violaciones de </w:t>
      </w:r>
      <w:r w:rsidR="00363EAA" w:rsidRPr="0054131B">
        <w:rPr>
          <w:rFonts w:ascii="Times New Roman" w:hAnsi="Times New Roman"/>
          <w:sz w:val="24"/>
          <w:szCs w:val="24"/>
        </w:rPr>
        <w:t>DDHH</w:t>
      </w:r>
      <w:r w:rsidR="00F82431" w:rsidRPr="0054131B">
        <w:rPr>
          <w:rStyle w:val="FootnoteReference"/>
          <w:rFonts w:ascii="Times New Roman" w:hAnsi="Times New Roman"/>
          <w:sz w:val="24"/>
          <w:szCs w:val="24"/>
        </w:rPr>
        <w:footnoteReference w:id="52"/>
      </w:r>
      <w:r w:rsidR="00F82431" w:rsidRPr="0054131B">
        <w:rPr>
          <w:rFonts w:ascii="Times New Roman" w:hAnsi="Times New Roman"/>
          <w:sz w:val="24"/>
          <w:szCs w:val="24"/>
        </w:rPr>
        <w:t>. La imposición de una pena apropiada, en función de la gravedad de los hechos, permite verificar que la misma no sea ilusoria</w:t>
      </w:r>
      <w:r w:rsidR="00F82431" w:rsidRPr="0054131B">
        <w:rPr>
          <w:rStyle w:val="FootnoteReference"/>
          <w:rFonts w:ascii="Times New Roman" w:hAnsi="Times New Roman"/>
          <w:sz w:val="24"/>
          <w:szCs w:val="24"/>
        </w:rPr>
        <w:footnoteReference w:id="53"/>
      </w:r>
      <w:r w:rsidR="00F82431" w:rsidRPr="0054131B">
        <w:rPr>
          <w:rFonts w:ascii="Times New Roman" w:hAnsi="Times New Roman"/>
          <w:sz w:val="24"/>
          <w:szCs w:val="24"/>
        </w:rPr>
        <w:t xml:space="preserve"> y controlar así que no se erija una forma de impunidad de facto</w:t>
      </w:r>
      <w:r w:rsidR="00F82431" w:rsidRPr="0054131B">
        <w:rPr>
          <w:rStyle w:val="FootnoteReference"/>
          <w:rFonts w:ascii="Times New Roman" w:hAnsi="Times New Roman"/>
          <w:sz w:val="24"/>
          <w:szCs w:val="24"/>
        </w:rPr>
        <w:footnoteReference w:id="54"/>
      </w:r>
      <w:r w:rsidR="00F82431" w:rsidRPr="0054131B">
        <w:rPr>
          <w:rFonts w:ascii="Times New Roman" w:hAnsi="Times New Roman"/>
          <w:sz w:val="24"/>
          <w:szCs w:val="24"/>
        </w:rPr>
        <w:t>.</w:t>
      </w:r>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33</w:t>
      </w:r>
      <w:r w:rsidR="00EC103D" w:rsidRPr="0054131B">
        <w:rPr>
          <w:rFonts w:ascii="Times New Roman" w:hAnsi="Times New Roman"/>
          <w:sz w:val="24"/>
          <w:szCs w:val="24"/>
        </w:rPr>
        <w:t xml:space="preserve">. </w:t>
      </w:r>
      <w:r w:rsidR="00F82431" w:rsidRPr="0054131B">
        <w:rPr>
          <w:rFonts w:ascii="Times New Roman" w:hAnsi="Times New Roman"/>
          <w:sz w:val="24"/>
          <w:szCs w:val="24"/>
        </w:rPr>
        <w:t xml:space="preserve">En segundo lugar, </w:t>
      </w:r>
      <w:r w:rsidR="00F55AF8" w:rsidRPr="0054131B">
        <w:rPr>
          <w:rFonts w:ascii="Times New Roman" w:hAnsi="Times New Roman"/>
          <w:sz w:val="24"/>
          <w:szCs w:val="24"/>
        </w:rPr>
        <w:t>resulta evidente que dicha investigación debió realizarse a raíz del asesinato determinado de Lucía Camana</w:t>
      </w:r>
      <w:r w:rsidR="00F82431" w:rsidRPr="0054131B">
        <w:rPr>
          <w:rFonts w:ascii="Times New Roman" w:hAnsi="Times New Roman"/>
          <w:sz w:val="24"/>
          <w:szCs w:val="24"/>
        </w:rPr>
        <w:t>. Por otro lado, Santa Clara tiene posibilidades razonables de cumplir con esta obligación ya que dicho agente estatal se</w:t>
      </w:r>
      <w:r w:rsidR="002956BB" w:rsidRPr="0054131B">
        <w:rPr>
          <w:rFonts w:ascii="Times New Roman" w:hAnsi="Times New Roman"/>
          <w:sz w:val="24"/>
          <w:szCs w:val="24"/>
        </w:rPr>
        <w:t xml:space="preserve"> encuentra bajo su </w:t>
      </w:r>
      <w:r w:rsidR="002956BB" w:rsidRPr="0054131B">
        <w:rPr>
          <w:rFonts w:ascii="Times New Roman" w:hAnsi="Times New Roman"/>
          <w:sz w:val="24"/>
          <w:szCs w:val="24"/>
        </w:rPr>
        <w:lastRenderedPageBreak/>
        <w:t>jurisdicción;</w:t>
      </w:r>
      <w:r w:rsidR="00EC103D" w:rsidRPr="0054131B">
        <w:rPr>
          <w:rFonts w:ascii="Times New Roman" w:hAnsi="Times New Roman"/>
          <w:sz w:val="24"/>
          <w:szCs w:val="24"/>
        </w:rPr>
        <w:t xml:space="preserve"> al respecto</w:t>
      </w:r>
      <w:r w:rsidR="002956BB" w:rsidRPr="0054131B">
        <w:rPr>
          <w:rFonts w:ascii="Times New Roman" w:hAnsi="Times New Roman"/>
          <w:sz w:val="24"/>
          <w:szCs w:val="24"/>
        </w:rPr>
        <w:t xml:space="preserve"> la CVSRD, en su art.</w:t>
      </w:r>
      <w:r w:rsidR="00F82431" w:rsidRPr="0054131B">
        <w:rPr>
          <w:rFonts w:ascii="Times New Roman" w:hAnsi="Times New Roman"/>
          <w:sz w:val="24"/>
          <w:szCs w:val="24"/>
        </w:rPr>
        <w:t xml:space="preserve"> 31.4, señala que la inmunidad de un agente diplomático no lo exime de la jurisdicción del Estado acreditante</w:t>
      </w:r>
      <w:r w:rsidR="00EA6AA2" w:rsidRPr="0054131B">
        <w:rPr>
          <w:rStyle w:val="FootnoteReference"/>
          <w:rFonts w:ascii="Times New Roman" w:hAnsi="Times New Roman"/>
          <w:sz w:val="24"/>
          <w:szCs w:val="24"/>
        </w:rPr>
        <w:footnoteReference w:id="55"/>
      </w:r>
      <w:r w:rsidR="008A0AEC" w:rsidRPr="0054131B">
        <w:rPr>
          <w:rFonts w:ascii="Times New Roman" w:hAnsi="Times New Roman"/>
          <w:sz w:val="24"/>
          <w:szCs w:val="24"/>
        </w:rPr>
        <w:t>;</w:t>
      </w:r>
      <w:r w:rsidR="00EC103D" w:rsidRPr="0054131B">
        <w:rPr>
          <w:rFonts w:ascii="Times New Roman" w:hAnsi="Times New Roman"/>
          <w:sz w:val="24"/>
          <w:szCs w:val="24"/>
        </w:rPr>
        <w:t xml:space="preserve"> en este caso, Santa Clara.</w:t>
      </w:r>
    </w:p>
    <w:p w:rsidR="00424288"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34</w:t>
      </w:r>
      <w:r w:rsidR="008A0AEC" w:rsidRPr="0054131B">
        <w:rPr>
          <w:rFonts w:ascii="Times New Roman" w:hAnsi="Times New Roman"/>
          <w:sz w:val="24"/>
          <w:szCs w:val="24"/>
        </w:rPr>
        <w:t>. Santa Clara</w:t>
      </w:r>
      <w:r w:rsidR="00F82431" w:rsidRPr="0054131B">
        <w:rPr>
          <w:rFonts w:ascii="Times New Roman" w:hAnsi="Times New Roman"/>
          <w:sz w:val="24"/>
          <w:szCs w:val="24"/>
        </w:rPr>
        <w:t xml:space="preserve"> podría alegar que la inmunidad diplomática de David Nelson no era impedimento para investigarlo en Madruga</w:t>
      </w:r>
      <w:r w:rsidR="008A0AEC" w:rsidRPr="0054131B">
        <w:rPr>
          <w:rFonts w:ascii="Times New Roman" w:hAnsi="Times New Roman"/>
          <w:sz w:val="24"/>
          <w:szCs w:val="24"/>
        </w:rPr>
        <w:t>,</w:t>
      </w:r>
      <w:r w:rsidR="00F82431" w:rsidRPr="0054131B">
        <w:rPr>
          <w:rFonts w:ascii="Times New Roman" w:hAnsi="Times New Roman"/>
          <w:sz w:val="24"/>
          <w:szCs w:val="24"/>
        </w:rPr>
        <w:t xml:space="preserve"> ya que</w:t>
      </w:r>
      <w:r w:rsidR="00F55AF8" w:rsidRPr="0054131B">
        <w:rPr>
          <w:rFonts w:ascii="Times New Roman" w:hAnsi="Times New Roman"/>
          <w:sz w:val="24"/>
          <w:szCs w:val="24"/>
        </w:rPr>
        <w:t xml:space="preserve"> éste</w:t>
      </w:r>
      <w:r w:rsidR="00F82431" w:rsidRPr="0054131B">
        <w:rPr>
          <w:rFonts w:ascii="Times New Roman" w:hAnsi="Times New Roman"/>
          <w:sz w:val="24"/>
          <w:szCs w:val="24"/>
        </w:rPr>
        <w:t xml:space="preserve"> actuó f</w:t>
      </w:r>
      <w:r w:rsidR="008A0AEC" w:rsidRPr="0054131B">
        <w:rPr>
          <w:rFonts w:ascii="Times New Roman" w:hAnsi="Times New Roman"/>
          <w:sz w:val="24"/>
          <w:szCs w:val="24"/>
        </w:rPr>
        <w:t>ue</w:t>
      </w:r>
      <w:r w:rsidR="001A475D">
        <w:rPr>
          <w:rFonts w:ascii="Times New Roman" w:hAnsi="Times New Roman"/>
          <w:sz w:val="24"/>
          <w:szCs w:val="24"/>
        </w:rPr>
        <w:t>ra de sus funciones oficiales; s</w:t>
      </w:r>
      <w:r w:rsidR="007928D9" w:rsidRPr="0054131B">
        <w:rPr>
          <w:rFonts w:ascii="Times New Roman" w:hAnsi="Times New Roman"/>
          <w:sz w:val="24"/>
          <w:szCs w:val="24"/>
        </w:rPr>
        <w:t xml:space="preserve">in embargo, </w:t>
      </w:r>
      <w:r w:rsidR="008A0AEC" w:rsidRPr="0054131B">
        <w:rPr>
          <w:rFonts w:ascii="Times New Roman" w:hAnsi="Times New Roman"/>
          <w:sz w:val="24"/>
          <w:szCs w:val="24"/>
        </w:rPr>
        <w:t>Madruga</w:t>
      </w:r>
      <w:r w:rsidR="00F82431" w:rsidRPr="0054131B">
        <w:rPr>
          <w:rFonts w:ascii="Times New Roman" w:hAnsi="Times New Roman"/>
          <w:sz w:val="24"/>
          <w:szCs w:val="24"/>
        </w:rPr>
        <w:t>, a diferencia de Santa Clara</w:t>
      </w:r>
      <w:r w:rsidR="00EA6AA2" w:rsidRPr="0054131B">
        <w:rPr>
          <w:rStyle w:val="FootnoteReference"/>
          <w:rFonts w:ascii="Times New Roman" w:hAnsi="Times New Roman"/>
          <w:sz w:val="24"/>
          <w:szCs w:val="24"/>
        </w:rPr>
        <w:footnoteReference w:id="56"/>
      </w:r>
      <w:r w:rsidR="00F82431" w:rsidRPr="0054131B">
        <w:rPr>
          <w:rFonts w:ascii="Times New Roman" w:hAnsi="Times New Roman"/>
          <w:sz w:val="24"/>
          <w:szCs w:val="24"/>
        </w:rPr>
        <w:t>, no tenía conocimiento del riesgo real creado</w:t>
      </w:r>
      <w:r w:rsidR="002956BB" w:rsidRPr="0054131B">
        <w:rPr>
          <w:rFonts w:ascii="Times New Roman" w:hAnsi="Times New Roman"/>
          <w:sz w:val="24"/>
          <w:szCs w:val="24"/>
        </w:rPr>
        <w:t xml:space="preserve"> </w:t>
      </w:r>
      <w:r w:rsidR="00F82431" w:rsidRPr="0054131B">
        <w:rPr>
          <w:rFonts w:ascii="Times New Roman" w:hAnsi="Times New Roman"/>
          <w:sz w:val="24"/>
          <w:szCs w:val="24"/>
        </w:rPr>
        <w:t xml:space="preserve">(requisito </w:t>
      </w:r>
      <w:r w:rsidR="00F82431" w:rsidRPr="0054131B">
        <w:rPr>
          <w:rFonts w:ascii="Times New Roman" w:hAnsi="Times New Roman"/>
          <w:i/>
          <w:sz w:val="24"/>
          <w:szCs w:val="24"/>
        </w:rPr>
        <w:t>sine qua non</w:t>
      </w:r>
      <w:r w:rsidR="00F82431" w:rsidRPr="0054131B">
        <w:rPr>
          <w:rFonts w:ascii="Times New Roman" w:hAnsi="Times New Roman"/>
          <w:sz w:val="24"/>
          <w:szCs w:val="24"/>
        </w:rPr>
        <w:t xml:space="preserve"> del deber de investigación</w:t>
      </w:r>
      <w:r w:rsidR="00EA6AA2" w:rsidRPr="0054131B">
        <w:rPr>
          <w:rStyle w:val="FootnoteReference"/>
          <w:rFonts w:ascii="Times New Roman" w:hAnsi="Times New Roman"/>
          <w:sz w:val="24"/>
          <w:szCs w:val="24"/>
        </w:rPr>
        <w:footnoteReference w:id="57"/>
      </w:r>
      <w:r w:rsidR="007928D9" w:rsidRPr="0054131B">
        <w:rPr>
          <w:rFonts w:ascii="Times New Roman" w:hAnsi="Times New Roman"/>
          <w:sz w:val="24"/>
          <w:szCs w:val="24"/>
        </w:rPr>
        <w:t xml:space="preserve">). Consecuentemente, en base al </w:t>
      </w:r>
      <w:r w:rsidR="00F82431" w:rsidRPr="0054131B">
        <w:rPr>
          <w:rFonts w:ascii="Times New Roman" w:hAnsi="Times New Roman"/>
          <w:sz w:val="24"/>
          <w:szCs w:val="24"/>
        </w:rPr>
        <w:t>deber de cooperación internacional en contra de la impunidad</w:t>
      </w:r>
      <w:r w:rsidR="00EA6AA2" w:rsidRPr="0054131B">
        <w:rPr>
          <w:rStyle w:val="FootnoteReference"/>
          <w:rFonts w:ascii="Times New Roman" w:hAnsi="Times New Roman"/>
          <w:sz w:val="24"/>
          <w:szCs w:val="24"/>
        </w:rPr>
        <w:footnoteReference w:id="58"/>
      </w:r>
      <w:r w:rsidR="007928D9" w:rsidRPr="0054131B">
        <w:rPr>
          <w:rFonts w:ascii="Times New Roman" w:hAnsi="Times New Roman"/>
          <w:sz w:val="24"/>
          <w:szCs w:val="24"/>
        </w:rPr>
        <w:t xml:space="preserve"> y</w:t>
      </w:r>
      <w:r w:rsidR="0017792A" w:rsidRPr="0054131B">
        <w:rPr>
          <w:rFonts w:ascii="Times New Roman" w:hAnsi="Times New Roman"/>
          <w:sz w:val="24"/>
          <w:szCs w:val="24"/>
        </w:rPr>
        <w:t xml:space="preserve"> </w:t>
      </w:r>
      <w:r w:rsidR="007928D9" w:rsidRPr="0054131B">
        <w:rPr>
          <w:rFonts w:ascii="Times New Roman" w:hAnsi="Times New Roman"/>
          <w:sz w:val="24"/>
          <w:szCs w:val="24"/>
        </w:rPr>
        <w:t xml:space="preserve">el principio de buena fe en las relaciones internacionales (consagrado en </w:t>
      </w:r>
      <w:r w:rsidR="002956BB" w:rsidRPr="0054131B">
        <w:rPr>
          <w:rFonts w:ascii="Times New Roman" w:hAnsi="Times New Roman"/>
          <w:sz w:val="24"/>
          <w:szCs w:val="24"/>
        </w:rPr>
        <w:t>el art.</w:t>
      </w:r>
      <w:r w:rsidR="00F82431" w:rsidRPr="0054131B">
        <w:rPr>
          <w:rFonts w:ascii="Times New Roman" w:hAnsi="Times New Roman"/>
          <w:sz w:val="24"/>
          <w:szCs w:val="24"/>
        </w:rPr>
        <w:t xml:space="preserve"> 3.e de la Carta de la OEA</w:t>
      </w:r>
      <w:r w:rsidR="00EA6AA2" w:rsidRPr="0054131B">
        <w:rPr>
          <w:rStyle w:val="FootnoteReference"/>
          <w:rFonts w:ascii="Times New Roman" w:hAnsi="Times New Roman"/>
          <w:sz w:val="24"/>
          <w:szCs w:val="24"/>
        </w:rPr>
        <w:footnoteReference w:id="59"/>
      </w:r>
      <w:r w:rsidR="007928D9" w:rsidRPr="0054131B">
        <w:rPr>
          <w:rFonts w:ascii="Times New Roman" w:hAnsi="Times New Roman"/>
          <w:sz w:val="24"/>
          <w:szCs w:val="24"/>
        </w:rPr>
        <w:t>)</w:t>
      </w:r>
      <w:r w:rsidR="0017792A" w:rsidRPr="0054131B">
        <w:rPr>
          <w:rFonts w:ascii="Times New Roman" w:hAnsi="Times New Roman"/>
          <w:sz w:val="24"/>
          <w:szCs w:val="24"/>
        </w:rPr>
        <w:t xml:space="preserve">, así Madruga fuera el foro de investigación más conveniente, </w:t>
      </w:r>
      <w:r w:rsidR="00F82431" w:rsidRPr="0054131B">
        <w:rPr>
          <w:rFonts w:ascii="Times New Roman" w:hAnsi="Times New Roman"/>
          <w:sz w:val="24"/>
          <w:szCs w:val="24"/>
        </w:rPr>
        <w:t>Santa Clara debió comunicarle la creación de este riesgo. Ante tal omisión, considerando que Santa Clara tampoco inició ninguna investigación</w:t>
      </w:r>
      <w:r w:rsidR="009D7D02" w:rsidRPr="0054131B">
        <w:rPr>
          <w:rFonts w:ascii="Times New Roman" w:hAnsi="Times New Roman"/>
          <w:sz w:val="24"/>
          <w:szCs w:val="24"/>
        </w:rPr>
        <w:t xml:space="preserve"> en su fuero penal</w:t>
      </w:r>
      <w:r w:rsidR="00F82431" w:rsidRPr="0054131B">
        <w:rPr>
          <w:rFonts w:ascii="Times New Roman" w:hAnsi="Times New Roman"/>
          <w:sz w:val="24"/>
          <w:szCs w:val="24"/>
        </w:rPr>
        <w:t>, favoreció la impunidad de David Nelson.</w:t>
      </w:r>
    </w:p>
    <w:p w:rsidR="00097932" w:rsidRPr="0054131B" w:rsidRDefault="00B24983" w:rsidP="003B1275">
      <w:pPr>
        <w:pStyle w:val="NoSpacing"/>
        <w:widowControl w:val="0"/>
        <w:spacing w:line="480" w:lineRule="auto"/>
        <w:jc w:val="both"/>
        <w:rPr>
          <w:rFonts w:ascii="Times New Roman" w:hAnsi="Times New Roman"/>
          <w:b/>
          <w:sz w:val="24"/>
          <w:szCs w:val="24"/>
        </w:rPr>
      </w:pPr>
      <w:r w:rsidRPr="0054131B">
        <w:rPr>
          <w:rFonts w:ascii="Times New Roman" w:hAnsi="Times New Roman"/>
          <w:b/>
          <w:sz w:val="24"/>
          <w:szCs w:val="24"/>
        </w:rPr>
        <w:t>B</w:t>
      </w:r>
      <w:r w:rsidR="003C576D" w:rsidRPr="0054131B">
        <w:rPr>
          <w:rFonts w:ascii="Times New Roman" w:hAnsi="Times New Roman"/>
          <w:b/>
          <w:sz w:val="24"/>
          <w:szCs w:val="24"/>
        </w:rPr>
        <w:t xml:space="preserve">.3.1.3 </w:t>
      </w:r>
      <w:r w:rsidR="00F82431" w:rsidRPr="0054131B">
        <w:rPr>
          <w:rFonts w:ascii="Times New Roman" w:hAnsi="Times New Roman"/>
          <w:b/>
          <w:sz w:val="24"/>
          <w:szCs w:val="24"/>
        </w:rPr>
        <w:t xml:space="preserve">Santa Clara </w:t>
      </w:r>
      <w:r w:rsidR="00C77017" w:rsidRPr="0054131B">
        <w:rPr>
          <w:rFonts w:ascii="Times New Roman" w:hAnsi="Times New Roman"/>
          <w:b/>
          <w:sz w:val="24"/>
          <w:szCs w:val="24"/>
        </w:rPr>
        <w:t xml:space="preserve">incumplió sus obligaciones de garantía al no fiscalizar a </w:t>
      </w:r>
      <w:r w:rsidR="00F82431" w:rsidRPr="0054131B">
        <w:rPr>
          <w:rFonts w:ascii="Times New Roman" w:hAnsi="Times New Roman"/>
          <w:b/>
          <w:sz w:val="24"/>
          <w:szCs w:val="24"/>
        </w:rPr>
        <w:t>Miningcorp</w:t>
      </w:r>
    </w:p>
    <w:p w:rsidR="00F82431" w:rsidRPr="0054131B" w:rsidRDefault="00D74870" w:rsidP="003B1275">
      <w:pPr>
        <w:pStyle w:val="NoSpacing"/>
        <w:widowControl w:val="0"/>
        <w:spacing w:line="480" w:lineRule="auto"/>
        <w:jc w:val="both"/>
        <w:rPr>
          <w:rFonts w:ascii="Times New Roman" w:hAnsi="Times New Roman"/>
          <w:b/>
          <w:sz w:val="24"/>
          <w:szCs w:val="24"/>
        </w:rPr>
      </w:pPr>
      <w:r w:rsidRPr="0054131B">
        <w:rPr>
          <w:rFonts w:ascii="Times New Roman" w:hAnsi="Times New Roman"/>
          <w:sz w:val="24"/>
          <w:szCs w:val="24"/>
        </w:rPr>
        <w:t>35</w:t>
      </w:r>
      <w:r w:rsidR="00E03283" w:rsidRPr="0054131B">
        <w:rPr>
          <w:rFonts w:ascii="Times New Roman" w:hAnsi="Times New Roman"/>
          <w:sz w:val="24"/>
          <w:szCs w:val="24"/>
        </w:rPr>
        <w:t xml:space="preserve">. </w:t>
      </w:r>
      <w:r w:rsidR="00F82431" w:rsidRPr="0054131B">
        <w:rPr>
          <w:rFonts w:ascii="Times New Roman" w:hAnsi="Times New Roman"/>
          <w:sz w:val="24"/>
          <w:szCs w:val="24"/>
        </w:rPr>
        <w:t xml:space="preserve">Este Tribunal ya ha establecido que las garantías del debido proceso se aplican </w:t>
      </w:r>
      <w:r w:rsidR="00F82431" w:rsidRPr="0054131B">
        <w:rPr>
          <w:rFonts w:ascii="Times New Roman" w:hAnsi="Times New Roman"/>
          <w:i/>
          <w:sz w:val="24"/>
          <w:szCs w:val="24"/>
        </w:rPr>
        <w:t>mutatis mutandis</w:t>
      </w:r>
      <w:r w:rsidR="00F82431" w:rsidRPr="0054131B">
        <w:rPr>
          <w:rFonts w:ascii="Times New Roman" w:hAnsi="Times New Roman"/>
          <w:sz w:val="24"/>
          <w:szCs w:val="24"/>
        </w:rPr>
        <w:t xml:space="preserve"> a los procedimientos administrativos</w:t>
      </w:r>
      <w:r w:rsidR="00EA6AA2" w:rsidRPr="0054131B">
        <w:rPr>
          <w:rStyle w:val="FootnoteReference"/>
          <w:rFonts w:ascii="Times New Roman" w:hAnsi="Times New Roman"/>
          <w:sz w:val="24"/>
          <w:szCs w:val="24"/>
        </w:rPr>
        <w:footnoteReference w:id="60"/>
      </w:r>
      <w:r w:rsidR="00E72547" w:rsidRPr="0054131B">
        <w:rPr>
          <w:rFonts w:ascii="Times New Roman" w:hAnsi="Times New Roman"/>
          <w:sz w:val="24"/>
          <w:szCs w:val="24"/>
        </w:rPr>
        <w:t>. Asi</w:t>
      </w:r>
      <w:r w:rsidR="00F82431" w:rsidRPr="0054131B">
        <w:rPr>
          <w:rFonts w:ascii="Times New Roman" w:hAnsi="Times New Roman"/>
          <w:sz w:val="24"/>
          <w:szCs w:val="24"/>
        </w:rPr>
        <w:t xml:space="preserve">mismo, la CIDH ha </w:t>
      </w:r>
      <w:r w:rsidR="00E72547" w:rsidRPr="0054131B">
        <w:rPr>
          <w:rFonts w:ascii="Times New Roman" w:hAnsi="Times New Roman"/>
          <w:sz w:val="24"/>
          <w:szCs w:val="24"/>
        </w:rPr>
        <w:t>señalad</w:t>
      </w:r>
      <w:r w:rsidR="00F82431" w:rsidRPr="0054131B">
        <w:rPr>
          <w:rFonts w:ascii="Times New Roman" w:hAnsi="Times New Roman"/>
          <w:sz w:val="24"/>
          <w:szCs w:val="24"/>
        </w:rPr>
        <w:t>o que d</w:t>
      </w:r>
      <w:r w:rsidR="00E72547" w:rsidRPr="0054131B">
        <w:rPr>
          <w:rFonts w:ascii="Times New Roman" w:hAnsi="Times New Roman"/>
          <w:sz w:val="24"/>
          <w:szCs w:val="24"/>
        </w:rPr>
        <w:t>eben investigarse los posibles nexos</w:t>
      </w:r>
      <w:r w:rsidR="00F82431" w:rsidRPr="0054131B">
        <w:rPr>
          <w:rFonts w:ascii="Times New Roman" w:hAnsi="Times New Roman"/>
          <w:sz w:val="24"/>
          <w:szCs w:val="24"/>
        </w:rPr>
        <w:t xml:space="preserve"> entre una empresa y agentes vinculados en la violación de </w:t>
      </w:r>
      <w:r w:rsidR="00363EAA" w:rsidRPr="0054131B">
        <w:rPr>
          <w:rFonts w:ascii="Times New Roman" w:hAnsi="Times New Roman"/>
          <w:sz w:val="24"/>
          <w:szCs w:val="24"/>
        </w:rPr>
        <w:t>DDHH</w:t>
      </w:r>
      <w:r w:rsidR="00F82431" w:rsidRPr="0054131B">
        <w:rPr>
          <w:rStyle w:val="FootnoteReference"/>
          <w:rFonts w:ascii="Times New Roman" w:hAnsi="Times New Roman"/>
          <w:sz w:val="24"/>
          <w:szCs w:val="24"/>
        </w:rPr>
        <w:footnoteReference w:id="61"/>
      </w:r>
      <w:r w:rsidR="00F82431" w:rsidRPr="0054131B">
        <w:rPr>
          <w:rFonts w:ascii="Times New Roman" w:hAnsi="Times New Roman"/>
          <w:sz w:val="24"/>
          <w:szCs w:val="24"/>
        </w:rPr>
        <w:t>. En el presente caso, las tres reuniones de David Nelson se efectuaron en el escritorio de la empresa Miningcorp</w:t>
      </w:r>
      <w:r w:rsidR="007928D9" w:rsidRPr="0054131B">
        <w:rPr>
          <w:rFonts w:ascii="Times New Roman" w:hAnsi="Times New Roman"/>
          <w:sz w:val="24"/>
          <w:szCs w:val="24"/>
        </w:rPr>
        <w:t xml:space="preserve"> </w:t>
      </w:r>
      <w:r w:rsidR="00F82431" w:rsidRPr="0054131B">
        <w:rPr>
          <w:rFonts w:ascii="Times New Roman" w:hAnsi="Times New Roman"/>
          <w:sz w:val="24"/>
          <w:szCs w:val="24"/>
        </w:rPr>
        <w:t xml:space="preserve">(que </w:t>
      </w:r>
      <w:r w:rsidR="008E673B" w:rsidRPr="0054131B">
        <w:rPr>
          <w:rFonts w:ascii="Times New Roman" w:hAnsi="Times New Roman"/>
          <w:sz w:val="24"/>
          <w:szCs w:val="24"/>
        </w:rPr>
        <w:t xml:space="preserve">financió </w:t>
      </w:r>
      <w:r w:rsidR="00F82431" w:rsidRPr="0054131B">
        <w:rPr>
          <w:rFonts w:ascii="Times New Roman" w:hAnsi="Times New Roman"/>
          <w:sz w:val="24"/>
          <w:szCs w:val="24"/>
        </w:rPr>
        <w:t xml:space="preserve">al grupo miliciano los Olivos). Por tal motivo, Santa Clara debió instaurar un procedimiento administrativo en contra de esta empresa, </w:t>
      </w:r>
      <w:r w:rsidR="00A431CA" w:rsidRPr="0054131B">
        <w:rPr>
          <w:rFonts w:ascii="Times New Roman" w:hAnsi="Times New Roman"/>
          <w:sz w:val="24"/>
          <w:szCs w:val="24"/>
        </w:rPr>
        <w:t>más aún</w:t>
      </w:r>
      <w:r w:rsidR="00F82431" w:rsidRPr="0054131B">
        <w:rPr>
          <w:rFonts w:ascii="Times New Roman" w:hAnsi="Times New Roman"/>
          <w:sz w:val="24"/>
          <w:szCs w:val="24"/>
        </w:rPr>
        <w:t xml:space="preserve"> si</w:t>
      </w:r>
      <w:r w:rsidR="00A431CA" w:rsidRPr="0054131B">
        <w:rPr>
          <w:rFonts w:ascii="Times New Roman" w:hAnsi="Times New Roman"/>
          <w:sz w:val="24"/>
          <w:szCs w:val="24"/>
        </w:rPr>
        <w:t xml:space="preserve"> el art. 31.2.d de la Convención contra la Delincuencia Organizada Transnacional </w:t>
      </w:r>
      <w:r w:rsidR="00F82431" w:rsidRPr="0054131B">
        <w:rPr>
          <w:rFonts w:ascii="Times New Roman" w:hAnsi="Times New Roman"/>
          <w:sz w:val="24"/>
          <w:szCs w:val="24"/>
        </w:rPr>
        <w:t xml:space="preserve">dispone que los </w:t>
      </w:r>
      <w:r w:rsidR="00F82431" w:rsidRPr="0054131B">
        <w:rPr>
          <w:rFonts w:ascii="Times New Roman" w:hAnsi="Times New Roman"/>
          <w:sz w:val="24"/>
          <w:szCs w:val="24"/>
        </w:rPr>
        <w:lastRenderedPageBreak/>
        <w:t>Estados deben prevenir que las personas jurídicas sean utilizadas p</w:t>
      </w:r>
      <w:r w:rsidR="00A431CA" w:rsidRPr="0054131B">
        <w:rPr>
          <w:rFonts w:ascii="Times New Roman" w:hAnsi="Times New Roman"/>
          <w:sz w:val="24"/>
          <w:szCs w:val="24"/>
        </w:rPr>
        <w:t>or grupos delictivos</w:t>
      </w:r>
      <w:r w:rsidR="00F82431" w:rsidRPr="0054131B">
        <w:rPr>
          <w:rStyle w:val="FootnoteReference"/>
          <w:rFonts w:ascii="Times New Roman" w:hAnsi="Times New Roman"/>
          <w:sz w:val="24"/>
          <w:szCs w:val="24"/>
        </w:rPr>
        <w:footnoteReference w:id="62"/>
      </w:r>
      <w:r w:rsidR="00F82431" w:rsidRPr="0054131B">
        <w:rPr>
          <w:rFonts w:ascii="Times New Roman" w:hAnsi="Times New Roman"/>
          <w:sz w:val="24"/>
          <w:szCs w:val="24"/>
        </w:rPr>
        <w:t>.</w:t>
      </w:r>
    </w:p>
    <w:p w:rsidR="00421C96" w:rsidRPr="0054131B" w:rsidRDefault="00B24983" w:rsidP="003B1275">
      <w:pPr>
        <w:pStyle w:val="NoSpacing"/>
        <w:spacing w:line="480" w:lineRule="auto"/>
        <w:jc w:val="both"/>
        <w:rPr>
          <w:rFonts w:ascii="Times New Roman" w:hAnsi="Times New Roman"/>
          <w:b/>
          <w:sz w:val="24"/>
          <w:szCs w:val="24"/>
        </w:rPr>
      </w:pPr>
      <w:r w:rsidRPr="0054131B">
        <w:rPr>
          <w:rFonts w:ascii="Times New Roman" w:hAnsi="Times New Roman"/>
          <w:b/>
          <w:sz w:val="24"/>
          <w:szCs w:val="24"/>
        </w:rPr>
        <w:t>B</w:t>
      </w:r>
      <w:r w:rsidR="00755C24" w:rsidRPr="0054131B">
        <w:rPr>
          <w:rFonts w:ascii="Times New Roman" w:hAnsi="Times New Roman"/>
          <w:b/>
          <w:sz w:val="24"/>
          <w:szCs w:val="24"/>
        </w:rPr>
        <w:t>.3.1.4</w:t>
      </w:r>
      <w:r w:rsidR="007928D9" w:rsidRPr="0054131B">
        <w:rPr>
          <w:rFonts w:ascii="Times New Roman" w:hAnsi="Times New Roman"/>
          <w:b/>
          <w:sz w:val="24"/>
          <w:szCs w:val="24"/>
        </w:rPr>
        <w:t xml:space="preserve"> </w:t>
      </w:r>
      <w:r w:rsidR="00392DE9" w:rsidRPr="0054131B">
        <w:rPr>
          <w:rFonts w:ascii="Times New Roman" w:hAnsi="Times New Roman"/>
          <w:b/>
          <w:sz w:val="24"/>
          <w:szCs w:val="24"/>
        </w:rPr>
        <w:t>Santa Clara</w:t>
      </w:r>
      <w:r w:rsidR="007928D9" w:rsidRPr="0054131B">
        <w:rPr>
          <w:rFonts w:ascii="Times New Roman" w:hAnsi="Times New Roman"/>
          <w:b/>
          <w:sz w:val="24"/>
          <w:szCs w:val="24"/>
        </w:rPr>
        <w:t xml:space="preserve"> </w:t>
      </w:r>
      <w:r w:rsidR="00C77017" w:rsidRPr="0054131B">
        <w:rPr>
          <w:rFonts w:ascii="Times New Roman" w:hAnsi="Times New Roman"/>
          <w:b/>
          <w:sz w:val="24"/>
          <w:szCs w:val="24"/>
        </w:rPr>
        <w:t xml:space="preserve">entorpeció </w:t>
      </w:r>
      <w:r w:rsidR="00392DE9" w:rsidRPr="0054131B">
        <w:rPr>
          <w:rFonts w:ascii="Times New Roman" w:hAnsi="Times New Roman"/>
          <w:b/>
          <w:sz w:val="24"/>
          <w:szCs w:val="24"/>
        </w:rPr>
        <w:t xml:space="preserve">las investigaciones de la República de </w:t>
      </w:r>
      <w:r w:rsidR="00F82431" w:rsidRPr="0054131B">
        <w:rPr>
          <w:rFonts w:ascii="Times New Roman" w:hAnsi="Times New Roman"/>
          <w:b/>
          <w:sz w:val="24"/>
          <w:szCs w:val="24"/>
        </w:rPr>
        <w:t>Madruga</w:t>
      </w:r>
    </w:p>
    <w:p w:rsidR="00A82DE4" w:rsidRPr="0054131B" w:rsidRDefault="00D74870" w:rsidP="003B1275">
      <w:pPr>
        <w:pStyle w:val="NoSpacing"/>
        <w:spacing w:line="480" w:lineRule="auto"/>
        <w:jc w:val="both"/>
        <w:rPr>
          <w:rFonts w:ascii="Times New Roman" w:hAnsi="Times New Roman"/>
          <w:b/>
          <w:sz w:val="24"/>
          <w:szCs w:val="24"/>
        </w:rPr>
      </w:pPr>
      <w:r w:rsidRPr="0054131B">
        <w:rPr>
          <w:rFonts w:ascii="Times New Roman" w:hAnsi="Times New Roman"/>
          <w:sz w:val="24"/>
          <w:szCs w:val="24"/>
        </w:rPr>
        <w:t>36</w:t>
      </w:r>
      <w:r w:rsidR="00940693" w:rsidRPr="0054131B">
        <w:rPr>
          <w:rFonts w:ascii="Times New Roman" w:hAnsi="Times New Roman"/>
          <w:sz w:val="24"/>
          <w:szCs w:val="24"/>
        </w:rPr>
        <w:t xml:space="preserve">. </w:t>
      </w:r>
      <w:r w:rsidR="00A82DE4" w:rsidRPr="0054131B">
        <w:rPr>
          <w:rFonts w:ascii="Times New Roman" w:hAnsi="Times New Roman"/>
          <w:sz w:val="24"/>
          <w:szCs w:val="24"/>
        </w:rPr>
        <w:t>La Corte IDH, para alcanzar certeza respecto a hechos controvertidos, ha utilizado las líneas lógicas de investigación</w:t>
      </w:r>
      <w:r w:rsidR="00A82DE4" w:rsidRPr="0054131B">
        <w:rPr>
          <w:rStyle w:val="FootnoteReference"/>
          <w:rFonts w:ascii="Times New Roman" w:hAnsi="Times New Roman"/>
          <w:sz w:val="24"/>
          <w:szCs w:val="24"/>
        </w:rPr>
        <w:footnoteReference w:id="63"/>
      </w:r>
      <w:r w:rsidR="00A82DE4" w:rsidRPr="0054131B">
        <w:rPr>
          <w:rFonts w:ascii="Times New Roman" w:hAnsi="Times New Roman"/>
          <w:sz w:val="24"/>
          <w:szCs w:val="24"/>
        </w:rPr>
        <w:t>, ello implica analizar conjuntamente una serie de indicios para alcanzar certeza respecto a determinados hechos</w:t>
      </w:r>
      <w:r w:rsidR="00A82DE4" w:rsidRPr="0054131B">
        <w:rPr>
          <w:rStyle w:val="FootnoteReference"/>
          <w:rFonts w:ascii="Times New Roman" w:hAnsi="Times New Roman"/>
          <w:sz w:val="24"/>
          <w:szCs w:val="24"/>
        </w:rPr>
        <w:footnoteReference w:id="64"/>
      </w:r>
      <w:r w:rsidR="00A82DE4" w:rsidRPr="0054131B">
        <w:rPr>
          <w:rFonts w:ascii="Times New Roman" w:hAnsi="Times New Roman"/>
          <w:sz w:val="24"/>
          <w:szCs w:val="24"/>
        </w:rPr>
        <w:t>; siendo así, en el presente caso encontram</w:t>
      </w:r>
      <w:r w:rsidR="001A475D">
        <w:rPr>
          <w:rFonts w:ascii="Times New Roman" w:hAnsi="Times New Roman"/>
          <w:sz w:val="24"/>
          <w:szCs w:val="24"/>
        </w:rPr>
        <w:t>os los tres indicios siguientes:</w:t>
      </w:r>
      <w:r w:rsidR="00A82DE4" w:rsidRPr="0054131B">
        <w:rPr>
          <w:rFonts w:ascii="Times New Roman" w:hAnsi="Times New Roman"/>
          <w:sz w:val="24"/>
          <w:szCs w:val="24"/>
        </w:rPr>
        <w:t xml:space="preserve"> </w:t>
      </w:r>
    </w:p>
    <w:p w:rsidR="00954239"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37</w:t>
      </w:r>
      <w:r w:rsidR="00940693" w:rsidRPr="0054131B">
        <w:rPr>
          <w:rFonts w:ascii="Times New Roman" w:hAnsi="Times New Roman"/>
          <w:sz w:val="24"/>
          <w:szCs w:val="24"/>
        </w:rPr>
        <w:t xml:space="preserve">. </w:t>
      </w:r>
      <w:r w:rsidR="00F82431" w:rsidRPr="0054131B">
        <w:rPr>
          <w:rFonts w:ascii="Times New Roman" w:hAnsi="Times New Roman"/>
          <w:sz w:val="24"/>
          <w:szCs w:val="24"/>
        </w:rPr>
        <w:t xml:space="preserve">(i) Pocas semanas </w:t>
      </w:r>
      <w:r w:rsidR="00954239" w:rsidRPr="0054131B">
        <w:rPr>
          <w:rFonts w:ascii="Times New Roman" w:hAnsi="Times New Roman"/>
          <w:sz w:val="24"/>
          <w:szCs w:val="24"/>
        </w:rPr>
        <w:t>después que Miningcorp demandara</w:t>
      </w:r>
      <w:r w:rsidR="00F82431" w:rsidRPr="0054131B">
        <w:rPr>
          <w:rFonts w:ascii="Times New Roman" w:hAnsi="Times New Roman"/>
          <w:sz w:val="24"/>
          <w:szCs w:val="24"/>
        </w:rPr>
        <w:t xml:space="preserve"> a Madruga ante el P</w:t>
      </w:r>
      <w:r w:rsidR="00F555C8" w:rsidRPr="0054131B">
        <w:rPr>
          <w:rFonts w:ascii="Times New Roman" w:hAnsi="Times New Roman"/>
          <w:sz w:val="24"/>
          <w:szCs w:val="24"/>
        </w:rPr>
        <w:t xml:space="preserve">anel </w:t>
      </w:r>
      <w:r w:rsidR="00F82431" w:rsidRPr="0054131B">
        <w:rPr>
          <w:rFonts w:ascii="Times New Roman" w:hAnsi="Times New Roman"/>
          <w:sz w:val="24"/>
          <w:szCs w:val="24"/>
        </w:rPr>
        <w:t>A</w:t>
      </w:r>
      <w:r w:rsidR="00F555C8" w:rsidRPr="0054131B">
        <w:rPr>
          <w:rFonts w:ascii="Times New Roman" w:hAnsi="Times New Roman"/>
          <w:sz w:val="24"/>
          <w:szCs w:val="24"/>
        </w:rPr>
        <w:t>rbitral de Solución de Conflictos</w:t>
      </w:r>
      <w:r w:rsidR="00F82431" w:rsidRPr="0054131B">
        <w:rPr>
          <w:rFonts w:ascii="Times New Roman" w:hAnsi="Times New Roman"/>
          <w:sz w:val="24"/>
          <w:szCs w:val="24"/>
        </w:rPr>
        <w:t xml:space="preserve"> del TLCD (con sede en Santa Clara), la inspección administrativa contra Miningcorp en Madrug</w:t>
      </w:r>
      <w:r w:rsidR="00954239" w:rsidRPr="0054131B">
        <w:rPr>
          <w:rFonts w:ascii="Times New Roman" w:hAnsi="Times New Roman"/>
          <w:sz w:val="24"/>
          <w:szCs w:val="24"/>
        </w:rPr>
        <w:t xml:space="preserve">a fue </w:t>
      </w:r>
      <w:r w:rsidR="00F9110E" w:rsidRPr="0054131B">
        <w:rPr>
          <w:rFonts w:ascii="Times New Roman" w:hAnsi="Times New Roman"/>
          <w:sz w:val="24"/>
          <w:szCs w:val="24"/>
        </w:rPr>
        <w:t>inexplicablemente</w:t>
      </w:r>
      <w:r w:rsidR="00954239" w:rsidRPr="0054131B">
        <w:rPr>
          <w:rFonts w:ascii="Times New Roman" w:hAnsi="Times New Roman"/>
          <w:sz w:val="24"/>
          <w:szCs w:val="24"/>
        </w:rPr>
        <w:t xml:space="preserve"> archivada.</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38</w:t>
      </w:r>
      <w:r w:rsidR="00D859C7" w:rsidRPr="0054131B">
        <w:rPr>
          <w:rFonts w:ascii="Times New Roman" w:hAnsi="Times New Roman"/>
          <w:sz w:val="24"/>
          <w:szCs w:val="24"/>
        </w:rPr>
        <w:t xml:space="preserve">. </w:t>
      </w:r>
      <w:r w:rsidR="007928D9" w:rsidRPr="0054131B">
        <w:rPr>
          <w:rFonts w:ascii="Times New Roman" w:hAnsi="Times New Roman"/>
          <w:sz w:val="24"/>
          <w:szCs w:val="24"/>
        </w:rPr>
        <w:t>(ii) E</w:t>
      </w:r>
      <w:r w:rsidR="00F82431" w:rsidRPr="0054131B">
        <w:rPr>
          <w:rFonts w:ascii="Times New Roman" w:hAnsi="Times New Roman"/>
          <w:sz w:val="24"/>
          <w:szCs w:val="24"/>
        </w:rPr>
        <w:t>l proceso de cohecho instaurado en Madruga en contra de los milicianos que fueron financiados por Miningcorp (cuando Eliot Klein era su direc</w:t>
      </w:r>
      <w:r w:rsidR="0057740B" w:rsidRPr="0054131B">
        <w:rPr>
          <w:rFonts w:ascii="Times New Roman" w:hAnsi="Times New Roman"/>
          <w:sz w:val="24"/>
          <w:szCs w:val="24"/>
        </w:rPr>
        <w:t xml:space="preserve">tor financiero), fue sobreseído </w:t>
      </w:r>
      <w:r w:rsidR="00954239" w:rsidRPr="0054131B">
        <w:rPr>
          <w:rFonts w:ascii="Times New Roman" w:hAnsi="Times New Roman"/>
          <w:sz w:val="24"/>
          <w:szCs w:val="24"/>
        </w:rPr>
        <w:t xml:space="preserve">dos meses después que Santa Clara archivara la investigación en contra de Eliot Klein, </w:t>
      </w:r>
      <w:r w:rsidR="00F82431" w:rsidRPr="0054131B">
        <w:rPr>
          <w:rFonts w:ascii="Times New Roman" w:hAnsi="Times New Roman"/>
          <w:sz w:val="24"/>
          <w:szCs w:val="24"/>
        </w:rPr>
        <w:t>por un conveniente error en el c</w:t>
      </w:r>
      <w:r w:rsidR="00954239" w:rsidRPr="0054131B">
        <w:rPr>
          <w:rFonts w:ascii="Times New Roman" w:hAnsi="Times New Roman"/>
          <w:sz w:val="24"/>
          <w:szCs w:val="24"/>
        </w:rPr>
        <w:t>álculo de la prescripción penal.</w:t>
      </w:r>
      <w:r w:rsidR="00F82431" w:rsidRPr="0054131B">
        <w:rPr>
          <w:rFonts w:ascii="Times New Roman" w:hAnsi="Times New Roman"/>
          <w:sz w:val="24"/>
          <w:szCs w:val="24"/>
        </w:rPr>
        <w:t xml:space="preserve"> Evidentemente, en caso se hubiera determinado </w:t>
      </w:r>
      <w:r w:rsidR="00954239" w:rsidRPr="0054131B">
        <w:rPr>
          <w:rFonts w:ascii="Times New Roman" w:hAnsi="Times New Roman"/>
          <w:sz w:val="24"/>
          <w:szCs w:val="24"/>
        </w:rPr>
        <w:t xml:space="preserve">la </w:t>
      </w:r>
      <w:r w:rsidR="00F82431" w:rsidRPr="0054131B">
        <w:rPr>
          <w:rFonts w:ascii="Times New Roman" w:hAnsi="Times New Roman"/>
          <w:sz w:val="24"/>
          <w:szCs w:val="24"/>
        </w:rPr>
        <w:t xml:space="preserve">responsabilidad penal de estos milicianos en Madruga, se </w:t>
      </w:r>
      <w:r w:rsidR="00954239" w:rsidRPr="0054131B">
        <w:rPr>
          <w:rFonts w:ascii="Times New Roman" w:hAnsi="Times New Roman"/>
          <w:sz w:val="24"/>
          <w:szCs w:val="24"/>
        </w:rPr>
        <w:t xml:space="preserve">habría </w:t>
      </w:r>
      <w:r w:rsidR="0057740B" w:rsidRPr="0054131B">
        <w:rPr>
          <w:rFonts w:ascii="Times New Roman" w:hAnsi="Times New Roman"/>
          <w:sz w:val="24"/>
          <w:szCs w:val="24"/>
        </w:rPr>
        <w:t xml:space="preserve">deslindado </w:t>
      </w:r>
      <w:r w:rsidR="00F82431" w:rsidRPr="0054131B">
        <w:rPr>
          <w:rFonts w:ascii="Times New Roman" w:hAnsi="Times New Roman"/>
          <w:sz w:val="24"/>
          <w:szCs w:val="24"/>
        </w:rPr>
        <w:t xml:space="preserve">la </w:t>
      </w:r>
      <w:r w:rsidR="0057740B" w:rsidRPr="0054131B">
        <w:rPr>
          <w:rFonts w:ascii="Times New Roman" w:hAnsi="Times New Roman"/>
          <w:sz w:val="24"/>
          <w:szCs w:val="24"/>
        </w:rPr>
        <w:t>culpabilidad</w:t>
      </w:r>
      <w:r w:rsidR="00F82431" w:rsidRPr="0054131B">
        <w:rPr>
          <w:rFonts w:ascii="Times New Roman" w:hAnsi="Times New Roman"/>
          <w:sz w:val="24"/>
          <w:szCs w:val="24"/>
        </w:rPr>
        <w:t xml:space="preserve"> del director financiero de la empresa que los avaló: Eliot Klein.</w:t>
      </w:r>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39</w:t>
      </w:r>
      <w:r w:rsidR="00D859C7" w:rsidRPr="0054131B">
        <w:rPr>
          <w:rFonts w:ascii="Times New Roman" w:hAnsi="Times New Roman"/>
          <w:sz w:val="24"/>
          <w:szCs w:val="24"/>
        </w:rPr>
        <w:t>. (iii) El cónsul de</w:t>
      </w:r>
      <w:r w:rsidR="00F82431" w:rsidRPr="0054131B">
        <w:rPr>
          <w:rFonts w:ascii="Times New Roman" w:hAnsi="Times New Roman"/>
          <w:sz w:val="24"/>
          <w:szCs w:val="24"/>
        </w:rPr>
        <w:t xml:space="preserve"> Santa Clara en Madruga dirigió un oficio a la Fiscalía General de Madruga </w:t>
      </w:r>
      <w:r w:rsidR="004E4F4A" w:rsidRPr="0054131B">
        <w:rPr>
          <w:rFonts w:ascii="Times New Roman" w:hAnsi="Times New Roman"/>
          <w:sz w:val="24"/>
          <w:szCs w:val="24"/>
        </w:rPr>
        <w:t>en el cual negó</w:t>
      </w:r>
      <w:r w:rsidR="00F82431" w:rsidRPr="0054131B">
        <w:rPr>
          <w:rFonts w:ascii="Times New Roman" w:hAnsi="Times New Roman"/>
          <w:sz w:val="24"/>
          <w:szCs w:val="24"/>
        </w:rPr>
        <w:t xml:space="preserve"> la posibilidad de extraditar a nacionales suyos que eventualmente deban ser investigados por el asesinato de Lucía Camana</w:t>
      </w:r>
      <w:r w:rsidR="00F82431" w:rsidRPr="0054131B">
        <w:rPr>
          <w:rStyle w:val="FootnoteReference"/>
          <w:rFonts w:ascii="Times New Roman" w:hAnsi="Times New Roman"/>
          <w:sz w:val="24"/>
          <w:szCs w:val="24"/>
        </w:rPr>
        <w:footnoteReference w:id="65"/>
      </w:r>
      <w:r w:rsidR="00F82431" w:rsidRPr="0054131B">
        <w:rPr>
          <w:rFonts w:ascii="Times New Roman" w:hAnsi="Times New Roman"/>
          <w:sz w:val="24"/>
          <w:szCs w:val="24"/>
        </w:rPr>
        <w:t xml:space="preserve">, arguyendo una </w:t>
      </w:r>
      <w:r w:rsidR="00885D2F" w:rsidRPr="0054131B">
        <w:rPr>
          <w:rFonts w:ascii="Times New Roman" w:hAnsi="Times New Roman"/>
          <w:sz w:val="24"/>
          <w:szCs w:val="24"/>
        </w:rPr>
        <w:t>prohibición constitucional de  extradición;</w:t>
      </w:r>
      <w:r w:rsidR="00F82431" w:rsidRPr="0054131B">
        <w:rPr>
          <w:rFonts w:ascii="Times New Roman" w:hAnsi="Times New Roman"/>
          <w:sz w:val="24"/>
          <w:szCs w:val="24"/>
        </w:rPr>
        <w:t xml:space="preserve"> hecho totalmente falso ya que</w:t>
      </w:r>
      <w:r w:rsidR="0057740B" w:rsidRPr="0054131B">
        <w:rPr>
          <w:rFonts w:ascii="Times New Roman" w:hAnsi="Times New Roman"/>
          <w:sz w:val="24"/>
          <w:szCs w:val="24"/>
        </w:rPr>
        <w:t xml:space="preserve"> </w:t>
      </w:r>
      <w:r w:rsidR="00F82431" w:rsidRPr="0054131B">
        <w:rPr>
          <w:rFonts w:ascii="Times New Roman" w:hAnsi="Times New Roman"/>
          <w:sz w:val="24"/>
          <w:szCs w:val="24"/>
        </w:rPr>
        <w:t>existe un tratado bilateral de extradición</w:t>
      </w:r>
      <w:r w:rsidR="00885D2F" w:rsidRPr="0054131B">
        <w:rPr>
          <w:rFonts w:ascii="Times New Roman" w:hAnsi="Times New Roman"/>
          <w:sz w:val="24"/>
          <w:szCs w:val="24"/>
        </w:rPr>
        <w:t xml:space="preserve"> entre ambos </w:t>
      </w:r>
      <w:r w:rsidR="00885D2F" w:rsidRPr="0054131B">
        <w:rPr>
          <w:rFonts w:ascii="Times New Roman" w:hAnsi="Times New Roman"/>
          <w:sz w:val="24"/>
          <w:szCs w:val="24"/>
        </w:rPr>
        <w:lastRenderedPageBreak/>
        <w:t>Estados</w:t>
      </w:r>
      <w:r w:rsidR="00F82431" w:rsidRPr="0054131B">
        <w:rPr>
          <w:rStyle w:val="FootnoteReference"/>
          <w:rFonts w:ascii="Times New Roman" w:hAnsi="Times New Roman"/>
          <w:sz w:val="24"/>
          <w:szCs w:val="24"/>
        </w:rPr>
        <w:footnoteReference w:id="66"/>
      </w:r>
      <w:r w:rsidR="0057740B" w:rsidRPr="0054131B">
        <w:rPr>
          <w:rFonts w:ascii="Times New Roman" w:hAnsi="Times New Roman"/>
          <w:sz w:val="24"/>
          <w:szCs w:val="24"/>
        </w:rPr>
        <w:t>. Como se evidencia, a</w:t>
      </w:r>
      <w:r w:rsidR="004E4F4A" w:rsidRPr="0054131B">
        <w:rPr>
          <w:rFonts w:ascii="Times New Roman" w:hAnsi="Times New Roman"/>
          <w:sz w:val="24"/>
          <w:szCs w:val="24"/>
        </w:rPr>
        <w:t xml:space="preserve"> pesar que Santa Clara aceptó</w:t>
      </w:r>
      <w:r w:rsidR="001A475D">
        <w:rPr>
          <w:rFonts w:ascii="Times New Roman" w:hAnsi="Times New Roman"/>
          <w:sz w:val="24"/>
          <w:szCs w:val="24"/>
        </w:rPr>
        <w:t xml:space="preserve"> expresamente que podría</w:t>
      </w:r>
      <w:r w:rsidR="00F82431" w:rsidRPr="0054131B">
        <w:rPr>
          <w:rFonts w:ascii="Times New Roman" w:hAnsi="Times New Roman"/>
          <w:sz w:val="24"/>
          <w:szCs w:val="24"/>
        </w:rPr>
        <w:t xml:space="preserve"> haber nacionales suyos involucrados en las investigaciones del </w:t>
      </w:r>
      <w:r w:rsidR="004E4F4A" w:rsidRPr="0054131B">
        <w:rPr>
          <w:rFonts w:ascii="Times New Roman" w:hAnsi="Times New Roman"/>
          <w:sz w:val="24"/>
          <w:szCs w:val="24"/>
        </w:rPr>
        <w:t>asesinato de Lucía Camana, negó</w:t>
      </w:r>
      <w:r w:rsidR="00F82431" w:rsidRPr="0054131B">
        <w:rPr>
          <w:rFonts w:ascii="Times New Roman" w:hAnsi="Times New Roman"/>
          <w:sz w:val="24"/>
          <w:szCs w:val="24"/>
        </w:rPr>
        <w:t xml:space="preserve"> fraudulenta</w:t>
      </w:r>
      <w:r w:rsidR="004E4F4A" w:rsidRPr="0054131B">
        <w:rPr>
          <w:rFonts w:ascii="Times New Roman" w:hAnsi="Times New Roman"/>
          <w:sz w:val="24"/>
          <w:szCs w:val="24"/>
        </w:rPr>
        <w:t>mente su extradición</w:t>
      </w:r>
      <w:r w:rsidR="00221DBF" w:rsidRPr="0054131B">
        <w:rPr>
          <w:rFonts w:ascii="Times New Roman" w:hAnsi="Times New Roman"/>
          <w:sz w:val="24"/>
          <w:szCs w:val="24"/>
        </w:rPr>
        <w:t xml:space="preserve"> y no inició ninguna</w:t>
      </w:r>
      <w:r w:rsidR="0057740B" w:rsidRPr="0054131B">
        <w:rPr>
          <w:rFonts w:ascii="Times New Roman" w:hAnsi="Times New Roman"/>
          <w:sz w:val="24"/>
          <w:szCs w:val="24"/>
        </w:rPr>
        <w:t xml:space="preserve"> investigación</w:t>
      </w:r>
      <w:r w:rsidR="00221DBF" w:rsidRPr="0054131B">
        <w:rPr>
          <w:rFonts w:ascii="Times New Roman" w:hAnsi="Times New Roman"/>
          <w:sz w:val="24"/>
          <w:szCs w:val="24"/>
        </w:rPr>
        <w:t>, fomentando la impunidad.</w:t>
      </w:r>
    </w:p>
    <w:p w:rsidR="00F82431" w:rsidRPr="0054131B" w:rsidRDefault="002D318B"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w:t>
      </w:r>
      <w:r w:rsidR="00D74870" w:rsidRPr="0054131B">
        <w:rPr>
          <w:rFonts w:ascii="Times New Roman" w:hAnsi="Times New Roman"/>
          <w:sz w:val="24"/>
          <w:szCs w:val="24"/>
        </w:rPr>
        <w:t>0</w:t>
      </w:r>
      <w:r w:rsidRPr="0054131B">
        <w:rPr>
          <w:rFonts w:ascii="Times New Roman" w:hAnsi="Times New Roman"/>
          <w:sz w:val="24"/>
          <w:szCs w:val="24"/>
        </w:rPr>
        <w:t xml:space="preserve">. </w:t>
      </w:r>
      <w:r w:rsidR="00F82431" w:rsidRPr="0054131B">
        <w:rPr>
          <w:rFonts w:ascii="Times New Roman" w:hAnsi="Times New Roman"/>
          <w:sz w:val="24"/>
          <w:szCs w:val="24"/>
        </w:rPr>
        <w:t>Todos estos indicios analizados en su conju</w:t>
      </w:r>
      <w:r w:rsidR="008E268F" w:rsidRPr="0054131B">
        <w:rPr>
          <w:rFonts w:ascii="Times New Roman" w:hAnsi="Times New Roman"/>
          <w:sz w:val="24"/>
          <w:szCs w:val="24"/>
        </w:rPr>
        <w:t>nto, demuestran que Santa Clara</w:t>
      </w:r>
      <w:r w:rsidR="0057740B" w:rsidRPr="0054131B">
        <w:rPr>
          <w:rFonts w:ascii="Times New Roman" w:hAnsi="Times New Roman"/>
          <w:sz w:val="24"/>
          <w:szCs w:val="24"/>
        </w:rPr>
        <w:t xml:space="preserve"> entorpece</w:t>
      </w:r>
      <w:r w:rsidR="00DF4C36" w:rsidRPr="0054131B">
        <w:rPr>
          <w:rFonts w:ascii="Times New Roman" w:hAnsi="Times New Roman"/>
          <w:sz w:val="24"/>
          <w:szCs w:val="24"/>
        </w:rPr>
        <w:t xml:space="preserve"> </w:t>
      </w:r>
      <w:r w:rsidR="0057740B" w:rsidRPr="0054131B">
        <w:rPr>
          <w:rFonts w:ascii="Times New Roman" w:hAnsi="Times New Roman"/>
          <w:sz w:val="24"/>
          <w:szCs w:val="24"/>
        </w:rPr>
        <w:t>las investigaciones en Madruga y promueve</w:t>
      </w:r>
      <w:r w:rsidR="00F82431" w:rsidRPr="0054131B">
        <w:rPr>
          <w:rFonts w:ascii="Times New Roman" w:hAnsi="Times New Roman"/>
          <w:sz w:val="24"/>
          <w:szCs w:val="24"/>
        </w:rPr>
        <w:t xml:space="preserve"> la impunidad de los milicianos vinculados con David Nelson, Eliot Klein y </w:t>
      </w:r>
      <w:r w:rsidR="00DF4C36" w:rsidRPr="0054131B">
        <w:rPr>
          <w:rFonts w:ascii="Times New Roman" w:hAnsi="Times New Roman"/>
          <w:sz w:val="24"/>
          <w:szCs w:val="24"/>
        </w:rPr>
        <w:t>Miningcorp</w:t>
      </w:r>
      <w:r w:rsidR="00F82431" w:rsidRPr="0054131B">
        <w:rPr>
          <w:rFonts w:ascii="Times New Roman" w:hAnsi="Times New Roman"/>
          <w:sz w:val="24"/>
          <w:szCs w:val="24"/>
        </w:rPr>
        <w:t>. Por todos los argumentos esbozados, San</w:t>
      </w:r>
      <w:r w:rsidR="008E268F" w:rsidRPr="0054131B">
        <w:rPr>
          <w:rFonts w:ascii="Times New Roman" w:hAnsi="Times New Roman"/>
          <w:sz w:val="24"/>
          <w:szCs w:val="24"/>
        </w:rPr>
        <w:t>ta Clara ha violado los art</w:t>
      </w:r>
      <w:r w:rsidR="00F82431" w:rsidRPr="0054131B">
        <w:rPr>
          <w:rFonts w:ascii="Times New Roman" w:hAnsi="Times New Roman"/>
          <w:sz w:val="24"/>
          <w:szCs w:val="24"/>
        </w:rPr>
        <w:t>s</w:t>
      </w:r>
      <w:r w:rsidR="008E268F" w:rsidRPr="0054131B">
        <w:rPr>
          <w:rFonts w:ascii="Times New Roman" w:hAnsi="Times New Roman"/>
          <w:sz w:val="24"/>
          <w:szCs w:val="24"/>
        </w:rPr>
        <w:t>. 4, 8 y 25</w:t>
      </w:r>
      <w:r w:rsidR="00F82431" w:rsidRPr="0054131B">
        <w:rPr>
          <w:rFonts w:ascii="Times New Roman" w:hAnsi="Times New Roman"/>
          <w:sz w:val="24"/>
          <w:szCs w:val="24"/>
        </w:rPr>
        <w:t xml:space="preserve"> de la CADH en perjuicio de Lucía Camana y su familia.</w:t>
      </w:r>
    </w:p>
    <w:p w:rsidR="00F82431" w:rsidRPr="0054131B" w:rsidRDefault="00B24983" w:rsidP="003B1275">
      <w:pPr>
        <w:pStyle w:val="NoSpacing"/>
        <w:widowControl w:val="0"/>
        <w:spacing w:line="480" w:lineRule="auto"/>
        <w:jc w:val="both"/>
        <w:outlineLvl w:val="2"/>
        <w:rPr>
          <w:rFonts w:ascii="Times New Roman" w:hAnsi="Times New Roman"/>
          <w:b/>
          <w:sz w:val="24"/>
          <w:szCs w:val="24"/>
        </w:rPr>
      </w:pPr>
      <w:bookmarkStart w:id="43" w:name="_Toc446715475"/>
      <w:bookmarkStart w:id="44" w:name="_Toc446716098"/>
      <w:bookmarkStart w:id="45" w:name="_Toc446716829"/>
      <w:bookmarkStart w:id="46" w:name="_Toc446717040"/>
      <w:bookmarkStart w:id="47" w:name="_Toc446776783"/>
      <w:r w:rsidRPr="0054131B">
        <w:rPr>
          <w:rFonts w:ascii="Times New Roman" w:hAnsi="Times New Roman"/>
          <w:b/>
          <w:sz w:val="24"/>
          <w:szCs w:val="24"/>
        </w:rPr>
        <w:t>B</w:t>
      </w:r>
      <w:r w:rsidR="00BE1854" w:rsidRPr="0054131B">
        <w:rPr>
          <w:rFonts w:ascii="Times New Roman" w:hAnsi="Times New Roman"/>
          <w:b/>
          <w:sz w:val="24"/>
          <w:szCs w:val="24"/>
        </w:rPr>
        <w:t>.3.2</w:t>
      </w:r>
      <w:r w:rsidR="0057740B" w:rsidRPr="0054131B">
        <w:rPr>
          <w:rFonts w:ascii="Times New Roman" w:hAnsi="Times New Roman"/>
          <w:b/>
          <w:sz w:val="24"/>
          <w:szCs w:val="24"/>
        </w:rPr>
        <w:t xml:space="preserve"> </w:t>
      </w:r>
      <w:r w:rsidR="00F92CAB" w:rsidRPr="0054131B">
        <w:rPr>
          <w:rFonts w:ascii="Times New Roman" w:hAnsi="Times New Roman"/>
          <w:b/>
          <w:sz w:val="24"/>
          <w:szCs w:val="24"/>
        </w:rPr>
        <w:t>Violación</w:t>
      </w:r>
      <w:r w:rsidR="0057740B" w:rsidRPr="0054131B">
        <w:rPr>
          <w:rFonts w:ascii="Times New Roman" w:hAnsi="Times New Roman"/>
          <w:b/>
          <w:sz w:val="24"/>
          <w:szCs w:val="24"/>
        </w:rPr>
        <w:t xml:space="preserve"> </w:t>
      </w:r>
      <w:r w:rsidR="00F92CAB" w:rsidRPr="0054131B">
        <w:rPr>
          <w:rFonts w:ascii="Times New Roman" w:hAnsi="Times New Roman"/>
          <w:b/>
          <w:sz w:val="24"/>
          <w:szCs w:val="24"/>
        </w:rPr>
        <w:t>d</w:t>
      </w:r>
      <w:r w:rsidR="00C77017" w:rsidRPr="0054131B">
        <w:rPr>
          <w:rFonts w:ascii="Times New Roman" w:hAnsi="Times New Roman"/>
          <w:b/>
          <w:sz w:val="24"/>
          <w:szCs w:val="24"/>
        </w:rPr>
        <w:t>el</w:t>
      </w:r>
      <w:r w:rsidR="00BE1854" w:rsidRPr="0054131B">
        <w:rPr>
          <w:rFonts w:ascii="Times New Roman" w:hAnsi="Times New Roman"/>
          <w:b/>
          <w:sz w:val="24"/>
          <w:szCs w:val="24"/>
        </w:rPr>
        <w:t xml:space="preserve"> art.</w:t>
      </w:r>
      <w:r w:rsidR="00F82431" w:rsidRPr="0054131B">
        <w:rPr>
          <w:rFonts w:ascii="Times New Roman" w:hAnsi="Times New Roman"/>
          <w:b/>
          <w:sz w:val="24"/>
          <w:szCs w:val="24"/>
        </w:rPr>
        <w:t xml:space="preserve"> 16 de la CADH en perjuicio de Lucía y Edmundo Camana</w:t>
      </w:r>
      <w:bookmarkEnd w:id="43"/>
      <w:bookmarkEnd w:id="44"/>
      <w:bookmarkEnd w:id="45"/>
      <w:bookmarkEnd w:id="46"/>
      <w:bookmarkEnd w:id="47"/>
    </w:p>
    <w:p w:rsidR="00F82431" w:rsidRPr="0054131B" w:rsidRDefault="00F03F61"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w:t>
      </w:r>
      <w:r w:rsidR="00D74870" w:rsidRPr="0054131B">
        <w:rPr>
          <w:rFonts w:ascii="Times New Roman" w:hAnsi="Times New Roman"/>
          <w:sz w:val="24"/>
          <w:szCs w:val="24"/>
        </w:rPr>
        <w:t>1</w:t>
      </w:r>
      <w:r w:rsidRPr="0054131B">
        <w:rPr>
          <w:rFonts w:ascii="Times New Roman" w:hAnsi="Times New Roman"/>
          <w:sz w:val="24"/>
          <w:szCs w:val="24"/>
        </w:rPr>
        <w:t xml:space="preserve">. </w:t>
      </w:r>
      <w:r w:rsidR="0094729E" w:rsidRPr="0054131B">
        <w:rPr>
          <w:rFonts w:ascii="Times New Roman" w:hAnsi="Times New Roman"/>
          <w:sz w:val="24"/>
          <w:szCs w:val="24"/>
        </w:rPr>
        <w:t>El art.</w:t>
      </w:r>
      <w:r w:rsidR="00F82431" w:rsidRPr="0054131B">
        <w:rPr>
          <w:rFonts w:ascii="Times New Roman" w:hAnsi="Times New Roman"/>
          <w:sz w:val="24"/>
          <w:szCs w:val="24"/>
        </w:rPr>
        <w:t xml:space="preserve"> 16.1 de la CADH establece que toda persona tiene el derecho de asociarse libremente, sin intervención de autoridades públicas que </w:t>
      </w:r>
      <w:r w:rsidR="00814115" w:rsidRPr="0054131B">
        <w:rPr>
          <w:rFonts w:ascii="Times New Roman" w:hAnsi="Times New Roman"/>
          <w:sz w:val="24"/>
          <w:szCs w:val="24"/>
        </w:rPr>
        <w:t xml:space="preserve">lo </w:t>
      </w:r>
      <w:r w:rsidR="00F82431" w:rsidRPr="0054131B">
        <w:rPr>
          <w:rFonts w:ascii="Times New Roman" w:hAnsi="Times New Roman"/>
          <w:sz w:val="24"/>
          <w:szCs w:val="24"/>
        </w:rPr>
        <w:t xml:space="preserve">limiten o entorpezcan </w:t>
      </w:r>
      <w:r w:rsidR="00814115" w:rsidRPr="0054131B">
        <w:rPr>
          <w:rFonts w:ascii="Times New Roman" w:hAnsi="Times New Roman"/>
          <w:sz w:val="24"/>
          <w:szCs w:val="24"/>
        </w:rPr>
        <w:t>su ejercicio</w:t>
      </w:r>
      <w:r w:rsidR="00F82431" w:rsidRPr="0054131B">
        <w:rPr>
          <w:rStyle w:val="FootnoteReference"/>
          <w:rFonts w:ascii="Times New Roman" w:hAnsi="Times New Roman"/>
          <w:sz w:val="24"/>
          <w:szCs w:val="24"/>
        </w:rPr>
        <w:footnoteReference w:id="67"/>
      </w:r>
      <w:r w:rsidR="00F82431" w:rsidRPr="0054131B">
        <w:rPr>
          <w:rFonts w:ascii="Times New Roman" w:hAnsi="Times New Roman"/>
          <w:sz w:val="24"/>
          <w:szCs w:val="24"/>
        </w:rPr>
        <w:t>. Este derecho está garantizado a todas las personas que se asocian con fines laborales, sociales, o de cualquier otra índole</w:t>
      </w:r>
      <w:r w:rsidR="00F82431" w:rsidRPr="0054131B">
        <w:rPr>
          <w:rStyle w:val="FootnoteReference"/>
          <w:rFonts w:ascii="Times New Roman" w:hAnsi="Times New Roman"/>
          <w:sz w:val="24"/>
          <w:szCs w:val="24"/>
        </w:rPr>
        <w:footnoteReference w:id="68"/>
      </w:r>
      <w:r w:rsidR="00F82431" w:rsidRPr="0054131B">
        <w:rPr>
          <w:rFonts w:ascii="Times New Roman" w:hAnsi="Times New Roman"/>
          <w:sz w:val="24"/>
          <w:szCs w:val="24"/>
        </w:rPr>
        <w:t>. Como</w:t>
      </w:r>
      <w:r w:rsidR="0094729E" w:rsidRPr="0054131B">
        <w:rPr>
          <w:rFonts w:ascii="Times New Roman" w:hAnsi="Times New Roman"/>
          <w:sz w:val="24"/>
          <w:szCs w:val="24"/>
        </w:rPr>
        <w:t xml:space="preserve"> se aprecia, la CADH equipara</w:t>
      </w:r>
      <w:r w:rsidR="00F82431" w:rsidRPr="0054131B">
        <w:rPr>
          <w:rFonts w:ascii="Times New Roman" w:hAnsi="Times New Roman"/>
          <w:sz w:val="24"/>
          <w:szCs w:val="24"/>
        </w:rPr>
        <w:t xml:space="preserve"> la protección de un líder sindical a la de un líder so</w:t>
      </w:r>
      <w:r w:rsidR="0094729E" w:rsidRPr="0054131B">
        <w:rPr>
          <w:rFonts w:ascii="Times New Roman" w:hAnsi="Times New Roman"/>
          <w:sz w:val="24"/>
          <w:szCs w:val="24"/>
        </w:rPr>
        <w:t>cial, por tanto podemos aplicar</w:t>
      </w:r>
      <w:r w:rsidR="00F82431" w:rsidRPr="0054131B">
        <w:rPr>
          <w:rFonts w:ascii="Times New Roman" w:hAnsi="Times New Roman"/>
          <w:sz w:val="24"/>
          <w:szCs w:val="24"/>
        </w:rPr>
        <w:t xml:space="preserve"> parámetros del Comité de Libertad Sindical </w:t>
      </w:r>
      <w:r w:rsidR="00DD63D5" w:rsidRPr="0054131B">
        <w:rPr>
          <w:rFonts w:ascii="Times New Roman" w:hAnsi="Times New Roman"/>
          <w:sz w:val="24"/>
          <w:szCs w:val="24"/>
        </w:rPr>
        <w:t xml:space="preserve">(en adelante CLS) </w:t>
      </w:r>
      <w:r w:rsidR="00F82431" w:rsidRPr="0054131B">
        <w:rPr>
          <w:rFonts w:ascii="Times New Roman" w:hAnsi="Times New Roman"/>
          <w:sz w:val="24"/>
          <w:szCs w:val="24"/>
        </w:rPr>
        <w:t xml:space="preserve">de la OIT, en la protección de </w:t>
      </w:r>
      <w:r w:rsidR="00073639" w:rsidRPr="0054131B">
        <w:rPr>
          <w:rFonts w:ascii="Times New Roman" w:hAnsi="Times New Roman"/>
          <w:sz w:val="24"/>
          <w:szCs w:val="24"/>
        </w:rPr>
        <w:t>todo líder social</w:t>
      </w:r>
      <w:r w:rsidR="00F82431" w:rsidRPr="0054131B">
        <w:rPr>
          <w:rFonts w:ascii="Times New Roman" w:hAnsi="Times New Roman"/>
          <w:sz w:val="24"/>
          <w:szCs w:val="24"/>
        </w:rPr>
        <w:t>.</w:t>
      </w:r>
    </w:p>
    <w:p w:rsidR="00F82431" w:rsidRPr="0054131B" w:rsidRDefault="00B84828"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4</w:t>
      </w:r>
      <w:r w:rsidR="00D74870" w:rsidRPr="0054131B">
        <w:rPr>
          <w:rFonts w:ascii="Times New Roman" w:hAnsi="Times New Roman"/>
          <w:sz w:val="24"/>
          <w:szCs w:val="24"/>
        </w:rPr>
        <w:t>2</w:t>
      </w:r>
      <w:r w:rsidRPr="0054131B">
        <w:rPr>
          <w:rFonts w:ascii="Times New Roman" w:hAnsi="Times New Roman"/>
          <w:sz w:val="24"/>
          <w:szCs w:val="24"/>
        </w:rPr>
        <w:t xml:space="preserve">. </w:t>
      </w:r>
      <w:r w:rsidR="00F82431" w:rsidRPr="0054131B">
        <w:rPr>
          <w:rFonts w:ascii="Times New Roman" w:hAnsi="Times New Roman"/>
          <w:sz w:val="24"/>
          <w:szCs w:val="24"/>
        </w:rPr>
        <w:t>En el presente caso, el señor Edmundo Camana fue el presidente de la Confederación Madruguense de Trabajadores Mineros y su hija, Lucía Camana, fue una de las principales voceras del Movimiento contra la Impunidad en Madruga, por lo que indiscutiblemente ambas víctimas se encontraban bajo la protección del artículo 16.1 de la CADH.</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43</w:t>
      </w:r>
      <w:r w:rsidR="00194470" w:rsidRPr="0054131B">
        <w:rPr>
          <w:rFonts w:ascii="Times New Roman" w:hAnsi="Times New Roman"/>
          <w:sz w:val="24"/>
          <w:szCs w:val="24"/>
        </w:rPr>
        <w:t xml:space="preserve">. </w:t>
      </w:r>
      <w:r w:rsidR="00E96AD1" w:rsidRPr="0054131B">
        <w:rPr>
          <w:rFonts w:ascii="Times New Roman" w:hAnsi="Times New Roman"/>
          <w:sz w:val="24"/>
          <w:szCs w:val="24"/>
        </w:rPr>
        <w:t>La Corte IDH</w:t>
      </w:r>
      <w:r w:rsidR="00F82431" w:rsidRPr="0054131B">
        <w:rPr>
          <w:rFonts w:ascii="Times New Roman" w:hAnsi="Times New Roman"/>
          <w:sz w:val="24"/>
          <w:szCs w:val="24"/>
        </w:rPr>
        <w:t xml:space="preserve"> y la CIDH han determinado que la libertad sindical sólo puede ejercerse en una situación en que se respete</w:t>
      </w:r>
      <w:r w:rsidR="00073639" w:rsidRPr="0054131B">
        <w:rPr>
          <w:rFonts w:ascii="Times New Roman" w:hAnsi="Times New Roman"/>
          <w:sz w:val="24"/>
          <w:szCs w:val="24"/>
        </w:rPr>
        <w:t>n</w:t>
      </w:r>
      <w:r w:rsidR="00F82431" w:rsidRPr="0054131B">
        <w:rPr>
          <w:rFonts w:ascii="Times New Roman" w:hAnsi="Times New Roman"/>
          <w:sz w:val="24"/>
          <w:szCs w:val="24"/>
        </w:rPr>
        <w:t xml:space="preserve"> y garanticen plenamente los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en particular el derecho a la </w:t>
      </w:r>
      <w:r w:rsidR="00F82431" w:rsidRPr="0054131B">
        <w:rPr>
          <w:rFonts w:ascii="Times New Roman" w:hAnsi="Times New Roman"/>
          <w:sz w:val="24"/>
          <w:szCs w:val="24"/>
        </w:rPr>
        <w:lastRenderedPageBreak/>
        <w:t>vida</w:t>
      </w:r>
      <w:r w:rsidR="00F82431" w:rsidRPr="0054131B">
        <w:rPr>
          <w:rStyle w:val="FootnoteReference"/>
          <w:rFonts w:ascii="Times New Roman" w:hAnsi="Times New Roman"/>
          <w:sz w:val="24"/>
          <w:szCs w:val="24"/>
        </w:rPr>
        <w:footnoteReference w:id="69"/>
      </w:r>
      <w:r w:rsidR="00073639" w:rsidRPr="0054131B">
        <w:rPr>
          <w:rFonts w:ascii="Times New Roman" w:hAnsi="Times New Roman"/>
          <w:sz w:val="24"/>
          <w:szCs w:val="24"/>
        </w:rPr>
        <w:t>. D</w:t>
      </w:r>
      <w:r w:rsidR="00F82431" w:rsidRPr="0054131B">
        <w:rPr>
          <w:rFonts w:ascii="Times New Roman" w:hAnsi="Times New Roman"/>
          <w:sz w:val="24"/>
          <w:szCs w:val="24"/>
        </w:rPr>
        <w:t xml:space="preserve">e forma más específica, el </w:t>
      </w:r>
      <w:r w:rsidR="00DD63D5" w:rsidRPr="0054131B">
        <w:rPr>
          <w:rFonts w:ascii="Times New Roman" w:hAnsi="Times New Roman"/>
          <w:sz w:val="24"/>
          <w:szCs w:val="24"/>
        </w:rPr>
        <w:t>CLS</w:t>
      </w:r>
      <w:r w:rsidR="00F82431" w:rsidRPr="0054131B">
        <w:rPr>
          <w:rFonts w:ascii="Times New Roman" w:hAnsi="Times New Roman"/>
          <w:sz w:val="24"/>
          <w:szCs w:val="24"/>
        </w:rPr>
        <w:t xml:space="preserve"> de la OIT ha señalado que la ausencia de fallos contra los culpables, comporta una impunidad de hecho que agrava el clima de violencia e inseguridad, lo que es extremadamente perjudicial para el ejercicio de las actividades sindicales</w:t>
      </w:r>
      <w:r w:rsidR="00F82431" w:rsidRPr="0054131B">
        <w:rPr>
          <w:rStyle w:val="FootnoteReference"/>
          <w:rFonts w:ascii="Times New Roman" w:hAnsi="Times New Roman"/>
          <w:sz w:val="24"/>
          <w:szCs w:val="24"/>
        </w:rPr>
        <w:footnoteReference w:id="70"/>
      </w:r>
      <w:r w:rsidR="00F82431" w:rsidRPr="0054131B">
        <w:rPr>
          <w:rFonts w:ascii="Times New Roman" w:hAnsi="Times New Roman"/>
          <w:sz w:val="24"/>
          <w:szCs w:val="24"/>
        </w:rPr>
        <w:t xml:space="preserve">. En </w:t>
      </w:r>
      <w:r w:rsidR="00070B4F" w:rsidRPr="0054131B">
        <w:rPr>
          <w:rFonts w:ascii="Times New Roman" w:hAnsi="Times New Roman"/>
          <w:sz w:val="24"/>
          <w:szCs w:val="24"/>
        </w:rPr>
        <w:t>efecto</w:t>
      </w:r>
      <w:r w:rsidR="00F82431" w:rsidRPr="0054131B">
        <w:rPr>
          <w:rFonts w:ascii="Times New Roman" w:hAnsi="Times New Roman"/>
          <w:sz w:val="24"/>
          <w:szCs w:val="24"/>
        </w:rPr>
        <w:t>, este Comité señala que es vital considerar el contexto que atraviesa un Estado para determinar la existencia de una práctica sistematizada de violencia contra líderes sindicales</w:t>
      </w:r>
      <w:r w:rsidR="00F82431" w:rsidRPr="0054131B">
        <w:rPr>
          <w:rStyle w:val="FootnoteReference"/>
          <w:rFonts w:ascii="Times New Roman" w:hAnsi="Times New Roman"/>
          <w:sz w:val="24"/>
          <w:szCs w:val="24"/>
        </w:rPr>
        <w:footnoteReference w:id="71"/>
      </w:r>
      <w:r w:rsidR="00F82431" w:rsidRPr="0054131B">
        <w:rPr>
          <w:rFonts w:ascii="Times New Roman" w:hAnsi="Times New Roman"/>
          <w:sz w:val="24"/>
          <w:szCs w:val="24"/>
        </w:rPr>
        <w:t>.</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44</w:t>
      </w:r>
      <w:r w:rsidR="00222A74" w:rsidRPr="0054131B">
        <w:rPr>
          <w:rFonts w:ascii="Times New Roman" w:hAnsi="Times New Roman"/>
          <w:sz w:val="24"/>
          <w:szCs w:val="24"/>
        </w:rPr>
        <w:t xml:space="preserve">. </w:t>
      </w:r>
      <w:r w:rsidR="00073639" w:rsidRPr="0054131B">
        <w:rPr>
          <w:rFonts w:ascii="Times New Roman" w:hAnsi="Times New Roman"/>
          <w:sz w:val="24"/>
          <w:szCs w:val="24"/>
        </w:rPr>
        <w:t>Consta en</w:t>
      </w:r>
      <w:r w:rsidR="00F82431" w:rsidRPr="0054131B">
        <w:rPr>
          <w:rFonts w:ascii="Times New Roman" w:hAnsi="Times New Roman"/>
          <w:sz w:val="24"/>
          <w:szCs w:val="24"/>
        </w:rPr>
        <w:t xml:space="preserve"> la plataforma fáctica que </w:t>
      </w:r>
      <w:r w:rsidR="00222A74" w:rsidRPr="0054131B">
        <w:rPr>
          <w:rFonts w:ascii="Times New Roman" w:hAnsi="Times New Roman"/>
          <w:sz w:val="24"/>
          <w:szCs w:val="24"/>
        </w:rPr>
        <w:t xml:space="preserve">en </w:t>
      </w:r>
      <w:r w:rsidR="00F82431" w:rsidRPr="0054131B">
        <w:rPr>
          <w:rFonts w:ascii="Times New Roman" w:hAnsi="Times New Roman"/>
          <w:sz w:val="24"/>
          <w:szCs w:val="24"/>
        </w:rPr>
        <w:t>Madruga se vive un clima de absoluta impunidad, más de quinientos líderes sociales han sido asesinados y sólo existe una sentencia condenatoria</w:t>
      </w:r>
      <w:r w:rsidR="00F82431" w:rsidRPr="0054131B">
        <w:rPr>
          <w:rStyle w:val="FootnoteReference"/>
          <w:rFonts w:ascii="Times New Roman" w:hAnsi="Times New Roman"/>
          <w:sz w:val="24"/>
          <w:szCs w:val="24"/>
        </w:rPr>
        <w:footnoteReference w:id="72"/>
      </w:r>
      <w:r w:rsidR="005F66F7" w:rsidRPr="0054131B">
        <w:rPr>
          <w:rFonts w:ascii="Times New Roman" w:hAnsi="Times New Roman"/>
          <w:sz w:val="24"/>
          <w:szCs w:val="24"/>
        </w:rPr>
        <w:t xml:space="preserve">. </w:t>
      </w:r>
      <w:r w:rsidR="00F82431" w:rsidRPr="0054131B">
        <w:rPr>
          <w:rFonts w:ascii="Times New Roman" w:hAnsi="Times New Roman"/>
          <w:sz w:val="24"/>
          <w:szCs w:val="24"/>
        </w:rPr>
        <w:t>Esta impun</w:t>
      </w:r>
      <w:r w:rsidR="005F66F7" w:rsidRPr="0054131B">
        <w:rPr>
          <w:rFonts w:ascii="Times New Roman" w:hAnsi="Times New Roman"/>
          <w:sz w:val="24"/>
          <w:szCs w:val="24"/>
        </w:rPr>
        <w:t xml:space="preserve">idad se ha visto favorecida </w:t>
      </w:r>
      <w:r w:rsidR="00F82431" w:rsidRPr="0054131B">
        <w:rPr>
          <w:rFonts w:ascii="Times New Roman" w:hAnsi="Times New Roman"/>
          <w:sz w:val="24"/>
          <w:szCs w:val="24"/>
        </w:rPr>
        <w:t xml:space="preserve">por Santa </w:t>
      </w:r>
      <w:r w:rsidR="004A537D" w:rsidRPr="0054131B">
        <w:rPr>
          <w:rFonts w:ascii="Times New Roman" w:hAnsi="Times New Roman"/>
          <w:sz w:val="24"/>
          <w:szCs w:val="24"/>
        </w:rPr>
        <w:t>Clara</w:t>
      </w:r>
      <w:r w:rsidR="00F82431" w:rsidRPr="0054131B">
        <w:rPr>
          <w:rStyle w:val="FootnoteReference"/>
          <w:rFonts w:ascii="Times New Roman" w:hAnsi="Times New Roman"/>
          <w:sz w:val="24"/>
          <w:szCs w:val="24"/>
        </w:rPr>
        <w:footnoteReference w:id="73"/>
      </w:r>
      <w:r w:rsidR="004A537D" w:rsidRPr="0054131B">
        <w:rPr>
          <w:rFonts w:ascii="Times New Roman" w:hAnsi="Times New Roman"/>
          <w:sz w:val="24"/>
          <w:szCs w:val="24"/>
        </w:rPr>
        <w:t>, p</w:t>
      </w:r>
      <w:r w:rsidR="00F82431" w:rsidRPr="0054131B">
        <w:rPr>
          <w:rFonts w:ascii="Times New Roman" w:hAnsi="Times New Roman"/>
          <w:sz w:val="24"/>
          <w:szCs w:val="24"/>
        </w:rPr>
        <w:t>or lo que, recordando que la impunidad favorece la repetición de los hechos</w:t>
      </w:r>
      <w:r w:rsidR="00F82431" w:rsidRPr="0054131B">
        <w:rPr>
          <w:rStyle w:val="FootnoteReference"/>
          <w:rFonts w:ascii="Times New Roman" w:hAnsi="Times New Roman"/>
          <w:sz w:val="24"/>
          <w:szCs w:val="24"/>
        </w:rPr>
        <w:footnoteReference w:id="74"/>
      </w:r>
      <w:r w:rsidR="00F82431" w:rsidRPr="0054131B">
        <w:rPr>
          <w:rFonts w:ascii="Times New Roman" w:hAnsi="Times New Roman"/>
          <w:sz w:val="24"/>
          <w:szCs w:val="24"/>
        </w:rPr>
        <w:t xml:space="preserve">, Santa Clara está promoviendo la violencia contra los líderes sociales y sindicales en Madruga. </w:t>
      </w:r>
      <w:r w:rsidR="00073639" w:rsidRPr="0054131B">
        <w:rPr>
          <w:rFonts w:ascii="Times New Roman" w:hAnsi="Times New Roman"/>
          <w:sz w:val="24"/>
          <w:szCs w:val="24"/>
        </w:rPr>
        <w:t>Al igual que en el caso Huilca Tecse vs. Perú, e</w:t>
      </w:r>
      <w:r w:rsidR="00F82431" w:rsidRPr="0054131B">
        <w:rPr>
          <w:rFonts w:ascii="Times New Roman" w:hAnsi="Times New Roman"/>
          <w:sz w:val="24"/>
          <w:szCs w:val="24"/>
        </w:rPr>
        <w:t>sto vulnera la libertad de asociación en sus dimensiones social e individual</w:t>
      </w:r>
      <w:r w:rsidR="00F82431" w:rsidRPr="0054131B">
        <w:rPr>
          <w:rStyle w:val="FootnoteReference"/>
          <w:rFonts w:ascii="Times New Roman" w:hAnsi="Times New Roman"/>
          <w:sz w:val="24"/>
          <w:szCs w:val="24"/>
        </w:rPr>
        <w:footnoteReference w:id="75"/>
      </w:r>
      <w:r w:rsidR="00F82431" w:rsidRPr="0054131B">
        <w:rPr>
          <w:rFonts w:ascii="Times New Roman" w:hAnsi="Times New Roman"/>
          <w:sz w:val="24"/>
          <w:szCs w:val="24"/>
        </w:rPr>
        <w:t>, en tanto el ejercicio legítimo de este derecho, provocó a las víctimas una re</w:t>
      </w:r>
      <w:r w:rsidR="00073639" w:rsidRPr="0054131B">
        <w:rPr>
          <w:rFonts w:ascii="Times New Roman" w:hAnsi="Times New Roman"/>
          <w:sz w:val="24"/>
          <w:szCs w:val="24"/>
        </w:rPr>
        <w:t>presalia fatal</w:t>
      </w:r>
      <w:r w:rsidR="009963E1" w:rsidRPr="0054131B">
        <w:rPr>
          <w:rFonts w:ascii="Times New Roman" w:hAnsi="Times New Roman"/>
          <w:sz w:val="24"/>
          <w:szCs w:val="24"/>
        </w:rPr>
        <w:t xml:space="preserve"> y</w:t>
      </w:r>
      <w:r w:rsidR="00292217" w:rsidRPr="0054131B">
        <w:rPr>
          <w:rFonts w:ascii="Times New Roman" w:hAnsi="Times New Roman"/>
          <w:sz w:val="24"/>
          <w:szCs w:val="24"/>
        </w:rPr>
        <w:t xml:space="preserve"> generó</w:t>
      </w:r>
      <w:r w:rsidR="00F82431" w:rsidRPr="0054131B">
        <w:rPr>
          <w:rFonts w:ascii="Times New Roman" w:hAnsi="Times New Roman"/>
          <w:sz w:val="24"/>
          <w:szCs w:val="24"/>
        </w:rPr>
        <w:t xml:space="preserve"> un efecto amedrentador</w:t>
      </w:r>
      <w:r w:rsidR="00F82431" w:rsidRPr="0054131B">
        <w:rPr>
          <w:rStyle w:val="FootnoteReference"/>
          <w:rFonts w:ascii="Times New Roman" w:hAnsi="Times New Roman"/>
          <w:sz w:val="24"/>
          <w:szCs w:val="24"/>
        </w:rPr>
        <w:footnoteReference w:id="76"/>
      </w:r>
      <w:r w:rsidR="00F82431" w:rsidRPr="0054131B">
        <w:rPr>
          <w:rFonts w:ascii="Times New Roman" w:hAnsi="Times New Roman"/>
          <w:sz w:val="24"/>
          <w:szCs w:val="24"/>
        </w:rPr>
        <w:t>que disuade negativamente a otras personas a ejercitar este derecho.</w:t>
      </w:r>
      <w:r w:rsidR="00073639" w:rsidRPr="0054131B">
        <w:rPr>
          <w:rFonts w:ascii="Times New Roman" w:hAnsi="Times New Roman"/>
          <w:sz w:val="24"/>
          <w:szCs w:val="24"/>
        </w:rPr>
        <w:t xml:space="preserve"> Por tanto</w:t>
      </w:r>
      <w:r w:rsidR="009963E1" w:rsidRPr="0054131B">
        <w:rPr>
          <w:rFonts w:ascii="Times New Roman" w:hAnsi="Times New Roman"/>
          <w:sz w:val="24"/>
          <w:szCs w:val="24"/>
        </w:rPr>
        <w:t>, Santa Clara ha violado el art. 16.1 de la CADH en perjuicio de Edmundo y Lucía Camana.</w:t>
      </w:r>
    </w:p>
    <w:p w:rsidR="00B84897"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45</w:t>
      </w:r>
      <w:r w:rsidR="0040418A" w:rsidRPr="0054131B">
        <w:rPr>
          <w:rFonts w:ascii="Times New Roman" w:hAnsi="Times New Roman"/>
          <w:sz w:val="24"/>
          <w:szCs w:val="24"/>
        </w:rPr>
        <w:t xml:space="preserve">. </w:t>
      </w:r>
      <w:r w:rsidR="00F82431" w:rsidRPr="0054131B">
        <w:rPr>
          <w:rFonts w:ascii="Times New Roman" w:hAnsi="Times New Roman"/>
          <w:sz w:val="24"/>
          <w:szCs w:val="24"/>
        </w:rPr>
        <w:t>La libertad para asociarse y la persecución de ciertos fines colectivos son indivisibles</w:t>
      </w:r>
      <w:r w:rsidR="00073639" w:rsidRPr="0054131B">
        <w:rPr>
          <w:rFonts w:ascii="Times New Roman" w:hAnsi="Times New Roman"/>
          <w:sz w:val="24"/>
          <w:szCs w:val="24"/>
        </w:rPr>
        <w:t>, de modo que una restricción a la posibilidad</w:t>
      </w:r>
      <w:r w:rsidR="00F82431" w:rsidRPr="0054131B">
        <w:rPr>
          <w:rFonts w:ascii="Times New Roman" w:hAnsi="Times New Roman"/>
          <w:sz w:val="24"/>
          <w:szCs w:val="24"/>
        </w:rPr>
        <w:t xml:space="preserve"> de asociarse representa directamente un límite </w:t>
      </w:r>
      <w:r w:rsidR="00073639" w:rsidRPr="0054131B">
        <w:rPr>
          <w:rFonts w:ascii="Times New Roman" w:hAnsi="Times New Roman"/>
          <w:sz w:val="24"/>
          <w:szCs w:val="24"/>
        </w:rPr>
        <w:t>al derecho de la colectividad para</w:t>
      </w:r>
      <w:r w:rsidR="00F82431" w:rsidRPr="0054131B">
        <w:rPr>
          <w:rFonts w:ascii="Times New Roman" w:hAnsi="Times New Roman"/>
          <w:sz w:val="24"/>
          <w:szCs w:val="24"/>
        </w:rPr>
        <w:t xml:space="preserve"> alcanzar los fines que se proponga</w:t>
      </w:r>
      <w:r w:rsidR="00F82431" w:rsidRPr="0054131B">
        <w:rPr>
          <w:rStyle w:val="FootnoteReference"/>
          <w:rFonts w:ascii="Times New Roman" w:hAnsi="Times New Roman"/>
          <w:sz w:val="24"/>
          <w:szCs w:val="24"/>
        </w:rPr>
        <w:footnoteReference w:id="77"/>
      </w:r>
      <w:r w:rsidR="00674B4B" w:rsidRPr="0054131B">
        <w:rPr>
          <w:rFonts w:ascii="Times New Roman" w:hAnsi="Times New Roman"/>
          <w:sz w:val="24"/>
          <w:szCs w:val="24"/>
        </w:rPr>
        <w:t>. En el presente caso,</w:t>
      </w:r>
      <w:r w:rsidR="00073639" w:rsidRPr="0054131B">
        <w:rPr>
          <w:rFonts w:ascii="Times New Roman" w:hAnsi="Times New Roman"/>
          <w:sz w:val="24"/>
          <w:szCs w:val="24"/>
        </w:rPr>
        <w:t xml:space="preserve"> </w:t>
      </w:r>
      <w:r w:rsidR="0097090D" w:rsidRPr="0054131B">
        <w:rPr>
          <w:rFonts w:ascii="Times New Roman" w:hAnsi="Times New Roman"/>
          <w:sz w:val="24"/>
          <w:szCs w:val="24"/>
        </w:rPr>
        <w:t xml:space="preserve">Lucía Camana fue asesinada debido a sus actividades de protesta contra la impunidad </w:t>
      </w:r>
      <w:r w:rsidR="00674B4B" w:rsidRPr="0054131B">
        <w:rPr>
          <w:rFonts w:ascii="Times New Roman" w:hAnsi="Times New Roman"/>
          <w:sz w:val="24"/>
          <w:szCs w:val="24"/>
        </w:rPr>
        <w:t xml:space="preserve">de los asesinatos </w:t>
      </w:r>
      <w:r w:rsidR="00674B4B" w:rsidRPr="0054131B">
        <w:rPr>
          <w:rFonts w:ascii="Times New Roman" w:hAnsi="Times New Roman"/>
          <w:sz w:val="24"/>
          <w:szCs w:val="24"/>
        </w:rPr>
        <w:lastRenderedPageBreak/>
        <w:t>de líderes sindicales;</w:t>
      </w:r>
      <w:r w:rsidR="0097090D" w:rsidRPr="0054131B">
        <w:rPr>
          <w:rFonts w:ascii="Times New Roman" w:hAnsi="Times New Roman"/>
          <w:sz w:val="24"/>
          <w:szCs w:val="24"/>
        </w:rPr>
        <w:t xml:space="preserve"> de forma similar</w:t>
      </w:r>
      <w:r w:rsidR="00674B4B" w:rsidRPr="0054131B">
        <w:rPr>
          <w:rFonts w:ascii="Times New Roman" w:hAnsi="Times New Roman"/>
          <w:sz w:val="24"/>
          <w:szCs w:val="24"/>
        </w:rPr>
        <w:t xml:space="preserve">, </w:t>
      </w:r>
      <w:r w:rsidR="00F82431" w:rsidRPr="0054131B">
        <w:rPr>
          <w:rFonts w:ascii="Times New Roman" w:hAnsi="Times New Roman"/>
          <w:sz w:val="24"/>
          <w:szCs w:val="24"/>
        </w:rPr>
        <w:t>Edmundo Camana</w:t>
      </w:r>
      <w:r w:rsidR="0097090D" w:rsidRPr="0054131B">
        <w:rPr>
          <w:rFonts w:ascii="Times New Roman" w:hAnsi="Times New Roman"/>
          <w:sz w:val="24"/>
          <w:szCs w:val="24"/>
        </w:rPr>
        <w:t xml:space="preserve">, </w:t>
      </w:r>
      <w:r w:rsidR="00CE35F2" w:rsidRPr="0054131B">
        <w:rPr>
          <w:rFonts w:ascii="Times New Roman" w:hAnsi="Times New Roman"/>
          <w:sz w:val="24"/>
          <w:szCs w:val="24"/>
        </w:rPr>
        <w:t>fue asesinado por ser un dirigente sindical del sector minero que alertó</w:t>
      </w:r>
      <w:r w:rsidR="00674B4B" w:rsidRPr="0054131B">
        <w:rPr>
          <w:rFonts w:ascii="Times New Roman" w:hAnsi="Times New Roman"/>
          <w:sz w:val="24"/>
          <w:szCs w:val="24"/>
        </w:rPr>
        <w:t xml:space="preserve"> los vínculos existentes entre las empresas mineras de Santa Clara y los asesinatos de líderes sindicales</w:t>
      </w:r>
      <w:r w:rsidR="00F82431" w:rsidRPr="0054131B">
        <w:rPr>
          <w:rStyle w:val="FootnoteReference"/>
          <w:rFonts w:ascii="Times New Roman" w:hAnsi="Times New Roman"/>
          <w:sz w:val="24"/>
          <w:szCs w:val="24"/>
        </w:rPr>
        <w:footnoteReference w:id="78"/>
      </w:r>
      <w:r w:rsidR="00674B4B" w:rsidRPr="0054131B">
        <w:rPr>
          <w:rFonts w:ascii="Times New Roman" w:hAnsi="Times New Roman"/>
          <w:sz w:val="24"/>
          <w:szCs w:val="24"/>
        </w:rPr>
        <w:t xml:space="preserve">. Esto </w:t>
      </w:r>
      <w:r w:rsidR="00796FE3" w:rsidRPr="0054131B">
        <w:rPr>
          <w:rFonts w:ascii="Times New Roman" w:hAnsi="Times New Roman"/>
          <w:sz w:val="24"/>
          <w:szCs w:val="24"/>
        </w:rPr>
        <w:t>permite</w:t>
      </w:r>
      <w:r w:rsidR="00674B4B" w:rsidRPr="0054131B">
        <w:rPr>
          <w:rFonts w:ascii="Times New Roman" w:hAnsi="Times New Roman"/>
          <w:sz w:val="24"/>
          <w:szCs w:val="24"/>
        </w:rPr>
        <w:t xml:space="preserve"> deducir</w:t>
      </w:r>
      <w:r w:rsidR="00073639" w:rsidRPr="0054131B">
        <w:rPr>
          <w:rFonts w:ascii="Times New Roman" w:hAnsi="Times New Roman"/>
          <w:sz w:val="24"/>
          <w:szCs w:val="24"/>
        </w:rPr>
        <w:t xml:space="preserve"> </w:t>
      </w:r>
      <w:r w:rsidR="00F82431" w:rsidRPr="0054131B">
        <w:rPr>
          <w:rFonts w:ascii="Times New Roman" w:hAnsi="Times New Roman"/>
          <w:sz w:val="24"/>
          <w:szCs w:val="24"/>
        </w:rPr>
        <w:t xml:space="preserve">que Santa Clara, </w:t>
      </w:r>
      <w:r w:rsidR="00796FE3" w:rsidRPr="0054131B">
        <w:rPr>
          <w:rFonts w:ascii="Times New Roman" w:hAnsi="Times New Roman"/>
          <w:sz w:val="24"/>
          <w:szCs w:val="24"/>
        </w:rPr>
        <w:t xml:space="preserve">Estado </w:t>
      </w:r>
      <w:r w:rsidR="00F82431" w:rsidRPr="0054131B">
        <w:rPr>
          <w:rFonts w:ascii="Times New Roman" w:hAnsi="Times New Roman"/>
          <w:sz w:val="24"/>
          <w:szCs w:val="24"/>
        </w:rPr>
        <w:t xml:space="preserve">que ejerce un </w:t>
      </w:r>
      <w:r w:rsidR="00DF4C36" w:rsidRPr="0054131B">
        <w:rPr>
          <w:rFonts w:ascii="Times New Roman" w:hAnsi="Times New Roman"/>
          <w:sz w:val="24"/>
          <w:szCs w:val="24"/>
        </w:rPr>
        <w:t xml:space="preserve">importante </w:t>
      </w:r>
      <w:r w:rsidR="00F82431" w:rsidRPr="0054131B">
        <w:rPr>
          <w:rFonts w:ascii="Times New Roman" w:hAnsi="Times New Roman"/>
          <w:sz w:val="24"/>
          <w:szCs w:val="24"/>
        </w:rPr>
        <w:t>control político y económico sobre Madruga</w:t>
      </w:r>
      <w:r w:rsidR="00CE35F2" w:rsidRPr="0054131B">
        <w:rPr>
          <w:rFonts w:ascii="Times New Roman" w:hAnsi="Times New Roman"/>
          <w:sz w:val="24"/>
          <w:szCs w:val="24"/>
        </w:rPr>
        <w:t xml:space="preserve"> </w:t>
      </w:r>
      <w:r w:rsidR="00A83E7A" w:rsidRPr="0054131B">
        <w:rPr>
          <w:rFonts w:ascii="Times New Roman" w:hAnsi="Times New Roman"/>
          <w:sz w:val="24"/>
          <w:szCs w:val="24"/>
        </w:rPr>
        <w:t xml:space="preserve">y </w:t>
      </w:r>
      <w:r w:rsidR="00693788" w:rsidRPr="0054131B">
        <w:rPr>
          <w:rFonts w:ascii="Times New Roman" w:hAnsi="Times New Roman"/>
          <w:sz w:val="24"/>
          <w:szCs w:val="24"/>
        </w:rPr>
        <w:t xml:space="preserve">tiene </w:t>
      </w:r>
      <w:r w:rsidR="00A83E7A" w:rsidRPr="0054131B">
        <w:rPr>
          <w:rFonts w:ascii="Times New Roman" w:hAnsi="Times New Roman"/>
          <w:sz w:val="24"/>
          <w:szCs w:val="24"/>
        </w:rPr>
        <w:t xml:space="preserve">una política obsesiva </w:t>
      </w:r>
      <w:r w:rsidR="00F82431" w:rsidRPr="0054131B">
        <w:rPr>
          <w:rFonts w:ascii="Times New Roman" w:hAnsi="Times New Roman"/>
          <w:sz w:val="24"/>
          <w:szCs w:val="24"/>
        </w:rPr>
        <w:t xml:space="preserve">de favorecimiento </w:t>
      </w:r>
      <w:r w:rsidR="00674B4B" w:rsidRPr="0054131B">
        <w:rPr>
          <w:rFonts w:ascii="Times New Roman" w:hAnsi="Times New Roman"/>
          <w:sz w:val="24"/>
          <w:szCs w:val="24"/>
        </w:rPr>
        <w:t xml:space="preserve">económico </w:t>
      </w:r>
      <w:r w:rsidR="00F82431" w:rsidRPr="0054131B">
        <w:rPr>
          <w:rFonts w:ascii="Times New Roman" w:hAnsi="Times New Roman"/>
          <w:sz w:val="24"/>
          <w:szCs w:val="24"/>
        </w:rPr>
        <w:t>a las empresas extractivas</w:t>
      </w:r>
      <w:r w:rsidR="00F82431" w:rsidRPr="0054131B">
        <w:rPr>
          <w:rStyle w:val="FootnoteReference"/>
          <w:rFonts w:ascii="Times New Roman" w:hAnsi="Times New Roman"/>
          <w:sz w:val="24"/>
          <w:szCs w:val="24"/>
        </w:rPr>
        <w:footnoteReference w:id="79"/>
      </w:r>
      <w:r w:rsidR="00F82431" w:rsidRPr="0054131B">
        <w:rPr>
          <w:rFonts w:ascii="Times New Roman" w:hAnsi="Times New Roman"/>
          <w:sz w:val="24"/>
          <w:szCs w:val="24"/>
        </w:rPr>
        <w:t xml:space="preserve">, está desalentando </w:t>
      </w:r>
      <w:r w:rsidR="00827F53" w:rsidRPr="0054131B">
        <w:rPr>
          <w:rFonts w:ascii="Times New Roman" w:hAnsi="Times New Roman"/>
          <w:sz w:val="24"/>
          <w:szCs w:val="24"/>
        </w:rPr>
        <w:t>la sindica</w:t>
      </w:r>
      <w:r w:rsidR="00F82431" w:rsidRPr="0054131B">
        <w:rPr>
          <w:rFonts w:ascii="Times New Roman" w:hAnsi="Times New Roman"/>
          <w:sz w:val="24"/>
          <w:szCs w:val="24"/>
        </w:rPr>
        <w:t>ción del sector minero en Madruga en beneficio de empresas extractivas privadas, mediante el favorecimiento de la impunidad de personas implicadas en asesinatos de líderes sociales y sindicales</w:t>
      </w:r>
      <w:r w:rsidR="00CE35F2" w:rsidRPr="0054131B">
        <w:rPr>
          <w:rFonts w:ascii="Times New Roman" w:hAnsi="Times New Roman"/>
          <w:sz w:val="24"/>
          <w:szCs w:val="24"/>
        </w:rPr>
        <w:t>,</w:t>
      </w:r>
      <w:r w:rsidR="00F82431" w:rsidRPr="0054131B">
        <w:rPr>
          <w:rFonts w:ascii="Times New Roman" w:hAnsi="Times New Roman"/>
          <w:sz w:val="24"/>
          <w:szCs w:val="24"/>
        </w:rPr>
        <w:t xml:space="preserve"> como las víctimas</w:t>
      </w:r>
      <w:r w:rsidR="00B9621A" w:rsidRPr="0054131B">
        <w:rPr>
          <w:rFonts w:ascii="Times New Roman" w:hAnsi="Times New Roman"/>
          <w:sz w:val="24"/>
          <w:szCs w:val="24"/>
        </w:rPr>
        <w:t xml:space="preserve"> del presente caso. Esta deducción debe ser valorada por este Tribunal</w:t>
      </w:r>
      <w:r w:rsidR="00F82431" w:rsidRPr="0054131B">
        <w:rPr>
          <w:rFonts w:ascii="Times New Roman" w:hAnsi="Times New Roman"/>
          <w:sz w:val="24"/>
          <w:szCs w:val="24"/>
        </w:rPr>
        <w:t>,</w:t>
      </w:r>
      <w:r w:rsidR="00B9621A" w:rsidRPr="0054131B">
        <w:rPr>
          <w:rFonts w:ascii="Times New Roman" w:hAnsi="Times New Roman"/>
          <w:sz w:val="24"/>
          <w:szCs w:val="24"/>
        </w:rPr>
        <w:t xml:space="preserve"> </w:t>
      </w:r>
      <w:r w:rsidR="00556413" w:rsidRPr="0054131B">
        <w:rPr>
          <w:rFonts w:ascii="Times New Roman" w:hAnsi="Times New Roman"/>
          <w:sz w:val="24"/>
          <w:szCs w:val="24"/>
        </w:rPr>
        <w:t xml:space="preserve">aunando </w:t>
      </w:r>
      <w:r w:rsidR="00B9621A" w:rsidRPr="0054131B">
        <w:rPr>
          <w:rFonts w:ascii="Times New Roman" w:hAnsi="Times New Roman"/>
          <w:sz w:val="24"/>
          <w:szCs w:val="24"/>
        </w:rPr>
        <w:t>sea lo señalado por</w:t>
      </w:r>
      <w:r w:rsidR="00F82431" w:rsidRPr="0054131B">
        <w:rPr>
          <w:rFonts w:ascii="Times New Roman" w:hAnsi="Times New Roman"/>
          <w:sz w:val="24"/>
          <w:szCs w:val="24"/>
        </w:rPr>
        <w:t xml:space="preserve"> la CIDH</w:t>
      </w:r>
      <w:r w:rsidR="00B9621A" w:rsidRPr="0054131B">
        <w:rPr>
          <w:rFonts w:ascii="Times New Roman" w:hAnsi="Times New Roman"/>
          <w:sz w:val="24"/>
          <w:szCs w:val="24"/>
        </w:rPr>
        <w:t>,</w:t>
      </w:r>
      <w:r w:rsidR="00CE35F2" w:rsidRPr="0054131B">
        <w:rPr>
          <w:rFonts w:ascii="Times New Roman" w:hAnsi="Times New Roman"/>
          <w:sz w:val="24"/>
          <w:szCs w:val="24"/>
        </w:rPr>
        <w:t xml:space="preserve"> </w:t>
      </w:r>
      <w:r w:rsidR="00B9621A" w:rsidRPr="0054131B">
        <w:rPr>
          <w:rFonts w:ascii="Times New Roman" w:hAnsi="Times New Roman"/>
          <w:sz w:val="24"/>
          <w:szCs w:val="24"/>
        </w:rPr>
        <w:t>que ha considerado</w:t>
      </w:r>
      <w:r w:rsidR="00F82431" w:rsidRPr="0054131B">
        <w:rPr>
          <w:rFonts w:ascii="Times New Roman" w:hAnsi="Times New Roman"/>
          <w:sz w:val="24"/>
          <w:szCs w:val="24"/>
        </w:rPr>
        <w:t xml:space="preserve"> que ante un escenario de violencia masiva contra líderes sociales, el Estado debe efectuar un diagnóstico de las posibles causas </w:t>
      </w:r>
      <w:r w:rsidR="00A83E7A" w:rsidRPr="0054131B">
        <w:rPr>
          <w:rFonts w:ascii="Times New Roman" w:hAnsi="Times New Roman"/>
          <w:sz w:val="24"/>
          <w:szCs w:val="24"/>
        </w:rPr>
        <w:t>de</w:t>
      </w:r>
      <w:r w:rsidR="00F82431" w:rsidRPr="0054131B">
        <w:rPr>
          <w:rFonts w:ascii="Times New Roman" w:hAnsi="Times New Roman"/>
          <w:sz w:val="24"/>
          <w:szCs w:val="24"/>
        </w:rPr>
        <w:t xml:space="preserve"> esta violencia</w:t>
      </w:r>
      <w:r w:rsidR="00F82431" w:rsidRPr="0054131B">
        <w:rPr>
          <w:rStyle w:val="FootnoteReference"/>
          <w:rFonts w:ascii="Times New Roman" w:hAnsi="Times New Roman"/>
          <w:sz w:val="24"/>
          <w:szCs w:val="24"/>
        </w:rPr>
        <w:footnoteReference w:id="80"/>
      </w:r>
      <w:r w:rsidR="00F82431" w:rsidRPr="0054131B">
        <w:rPr>
          <w:rFonts w:ascii="Times New Roman" w:hAnsi="Times New Roman"/>
          <w:sz w:val="24"/>
          <w:szCs w:val="24"/>
        </w:rPr>
        <w:t xml:space="preserve">. </w:t>
      </w:r>
    </w:p>
    <w:p w:rsidR="00F82431" w:rsidRPr="0054131B" w:rsidRDefault="00B24983" w:rsidP="003B1275">
      <w:pPr>
        <w:pStyle w:val="NoSpacing"/>
        <w:spacing w:line="480" w:lineRule="auto"/>
        <w:jc w:val="both"/>
        <w:outlineLvl w:val="2"/>
        <w:rPr>
          <w:rFonts w:ascii="Times New Roman" w:hAnsi="Times New Roman"/>
          <w:sz w:val="24"/>
          <w:szCs w:val="24"/>
        </w:rPr>
      </w:pPr>
      <w:bookmarkStart w:id="48" w:name="_Toc446715476"/>
      <w:bookmarkStart w:id="49" w:name="_Toc446716099"/>
      <w:bookmarkStart w:id="50" w:name="_Toc446716830"/>
      <w:bookmarkStart w:id="51" w:name="_Toc446717041"/>
      <w:bookmarkStart w:id="52" w:name="_Toc446776784"/>
      <w:r w:rsidRPr="0054131B">
        <w:rPr>
          <w:rFonts w:ascii="Times New Roman" w:hAnsi="Times New Roman"/>
          <w:b/>
          <w:sz w:val="24"/>
          <w:szCs w:val="24"/>
        </w:rPr>
        <w:t>B</w:t>
      </w:r>
      <w:r w:rsidR="00375665" w:rsidRPr="0054131B">
        <w:rPr>
          <w:rFonts w:ascii="Times New Roman" w:hAnsi="Times New Roman"/>
          <w:b/>
          <w:sz w:val="24"/>
          <w:szCs w:val="24"/>
        </w:rPr>
        <w:t>.3.3</w:t>
      </w:r>
      <w:r w:rsidR="00DC643D" w:rsidRPr="0054131B">
        <w:rPr>
          <w:rFonts w:ascii="Times New Roman" w:hAnsi="Times New Roman"/>
          <w:b/>
          <w:sz w:val="24"/>
          <w:szCs w:val="24"/>
        </w:rPr>
        <w:t xml:space="preserve"> Violación de</w:t>
      </w:r>
      <w:r w:rsidR="00C77017" w:rsidRPr="0054131B">
        <w:rPr>
          <w:rFonts w:ascii="Times New Roman" w:hAnsi="Times New Roman"/>
          <w:b/>
          <w:sz w:val="24"/>
          <w:szCs w:val="24"/>
        </w:rPr>
        <w:t xml:space="preserve"> los</w:t>
      </w:r>
      <w:r w:rsidR="00D17905" w:rsidRPr="0054131B">
        <w:rPr>
          <w:rFonts w:ascii="Times New Roman" w:hAnsi="Times New Roman"/>
          <w:b/>
          <w:sz w:val="24"/>
          <w:szCs w:val="24"/>
        </w:rPr>
        <w:t xml:space="preserve"> art</w:t>
      </w:r>
      <w:r w:rsidR="00F82431" w:rsidRPr="0054131B">
        <w:rPr>
          <w:rFonts w:ascii="Times New Roman" w:hAnsi="Times New Roman"/>
          <w:b/>
          <w:sz w:val="24"/>
          <w:szCs w:val="24"/>
        </w:rPr>
        <w:t>s</w:t>
      </w:r>
      <w:r w:rsidR="00D17905" w:rsidRPr="0054131B">
        <w:rPr>
          <w:rFonts w:ascii="Times New Roman" w:hAnsi="Times New Roman"/>
          <w:b/>
          <w:sz w:val="24"/>
          <w:szCs w:val="24"/>
        </w:rPr>
        <w:t>.</w:t>
      </w:r>
      <w:r w:rsidR="00F82431" w:rsidRPr="0054131B">
        <w:rPr>
          <w:rFonts w:ascii="Times New Roman" w:hAnsi="Times New Roman"/>
          <w:b/>
          <w:sz w:val="24"/>
          <w:szCs w:val="24"/>
        </w:rPr>
        <w:t xml:space="preserve"> 5 y 17 de la CADH en perjuicio de Lucía Camana y sus abuelos</w:t>
      </w:r>
      <w:bookmarkEnd w:id="48"/>
      <w:bookmarkEnd w:id="49"/>
      <w:bookmarkEnd w:id="50"/>
      <w:bookmarkEnd w:id="51"/>
      <w:bookmarkEnd w:id="52"/>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46</w:t>
      </w:r>
      <w:r w:rsidR="00DC643D" w:rsidRPr="0054131B">
        <w:rPr>
          <w:rFonts w:ascii="Times New Roman" w:hAnsi="Times New Roman"/>
          <w:sz w:val="24"/>
          <w:szCs w:val="24"/>
        </w:rPr>
        <w:t xml:space="preserve">. </w:t>
      </w:r>
      <w:r w:rsidR="00F82431" w:rsidRPr="0054131B">
        <w:rPr>
          <w:rFonts w:ascii="Times New Roman" w:hAnsi="Times New Roman"/>
          <w:sz w:val="24"/>
          <w:szCs w:val="24"/>
        </w:rPr>
        <w:t>La Corte IDH en numerosos casos,</w:t>
      </w:r>
      <w:r w:rsidR="002F3865" w:rsidRPr="0054131B">
        <w:rPr>
          <w:rFonts w:ascii="Times New Roman" w:hAnsi="Times New Roman"/>
          <w:sz w:val="24"/>
          <w:szCs w:val="24"/>
        </w:rPr>
        <w:t xml:space="preserve"> ha considerado</w:t>
      </w:r>
      <w:r w:rsidR="00F82431" w:rsidRPr="0054131B">
        <w:rPr>
          <w:rFonts w:ascii="Times New Roman" w:hAnsi="Times New Roman"/>
          <w:sz w:val="24"/>
          <w:szCs w:val="24"/>
        </w:rPr>
        <w:t xml:space="preserve"> que los familiares de las víctimas de violaciones de los </w:t>
      </w:r>
      <w:r w:rsidR="00363EAA" w:rsidRPr="0054131B">
        <w:rPr>
          <w:rFonts w:ascii="Times New Roman" w:hAnsi="Times New Roman"/>
          <w:sz w:val="24"/>
          <w:szCs w:val="24"/>
        </w:rPr>
        <w:t>DDHH</w:t>
      </w:r>
      <w:r w:rsidR="00F82431" w:rsidRPr="0054131B">
        <w:rPr>
          <w:rFonts w:ascii="Times New Roman" w:hAnsi="Times New Roman"/>
          <w:sz w:val="24"/>
          <w:szCs w:val="24"/>
        </w:rPr>
        <w:t xml:space="preserve"> pueden</w:t>
      </w:r>
      <w:r w:rsidR="00CE35F2" w:rsidRPr="0054131B">
        <w:rPr>
          <w:rFonts w:ascii="Times New Roman" w:hAnsi="Times New Roman"/>
          <w:sz w:val="24"/>
          <w:szCs w:val="24"/>
        </w:rPr>
        <w:t>, a su vez,</w:t>
      </w:r>
      <w:r w:rsidR="00F82431" w:rsidRPr="0054131B">
        <w:rPr>
          <w:rFonts w:ascii="Times New Roman" w:hAnsi="Times New Roman"/>
          <w:sz w:val="24"/>
          <w:szCs w:val="24"/>
        </w:rPr>
        <w:t xml:space="preserve"> ser víctimas</w:t>
      </w:r>
      <w:r w:rsidR="00F82431" w:rsidRPr="0054131B">
        <w:rPr>
          <w:rStyle w:val="FootnoteReference"/>
          <w:rFonts w:ascii="Times New Roman" w:hAnsi="Times New Roman"/>
          <w:sz w:val="24"/>
          <w:szCs w:val="24"/>
        </w:rPr>
        <w:footnoteReference w:id="81"/>
      </w:r>
      <w:r w:rsidR="00F82431" w:rsidRPr="0054131B">
        <w:rPr>
          <w:rFonts w:ascii="Times New Roman" w:hAnsi="Times New Roman"/>
          <w:sz w:val="24"/>
          <w:szCs w:val="24"/>
        </w:rPr>
        <w:t xml:space="preserve"> debido al sufrimiento, angustia, frustración e impotencia</w:t>
      </w:r>
      <w:r w:rsidR="00F82431" w:rsidRPr="0054131B">
        <w:rPr>
          <w:rStyle w:val="FootnoteReference"/>
          <w:rFonts w:ascii="Times New Roman" w:hAnsi="Times New Roman"/>
          <w:sz w:val="24"/>
          <w:szCs w:val="24"/>
        </w:rPr>
        <w:footnoteReference w:id="82"/>
      </w:r>
      <w:r w:rsidR="00F82431" w:rsidRPr="0054131B">
        <w:rPr>
          <w:rFonts w:ascii="Times New Roman" w:hAnsi="Times New Roman"/>
          <w:sz w:val="24"/>
          <w:szCs w:val="24"/>
        </w:rPr>
        <w:t xml:space="preserve"> que producen las violaciones cometidas contra sus seres queridos</w:t>
      </w:r>
      <w:r w:rsidR="00F82431" w:rsidRPr="0054131B">
        <w:rPr>
          <w:rStyle w:val="FootnoteReference"/>
          <w:rFonts w:ascii="Times New Roman" w:hAnsi="Times New Roman"/>
          <w:sz w:val="24"/>
          <w:szCs w:val="24"/>
        </w:rPr>
        <w:footnoteReference w:id="83"/>
      </w:r>
      <w:r w:rsidR="00CE35F2" w:rsidRPr="0054131B">
        <w:rPr>
          <w:rFonts w:ascii="Times New Roman" w:hAnsi="Times New Roman"/>
          <w:sz w:val="24"/>
          <w:szCs w:val="24"/>
        </w:rPr>
        <w:t>; lo que viola el art.</w:t>
      </w:r>
      <w:r w:rsidR="00DF4AB9" w:rsidRPr="0054131B">
        <w:rPr>
          <w:rFonts w:ascii="Times New Roman" w:hAnsi="Times New Roman"/>
          <w:sz w:val="24"/>
          <w:szCs w:val="24"/>
        </w:rPr>
        <w:t xml:space="preserve"> 5.1 de la CADH</w:t>
      </w:r>
      <w:r w:rsidR="00DF4AB9" w:rsidRPr="0054131B">
        <w:rPr>
          <w:rStyle w:val="FootnoteReference"/>
          <w:rFonts w:ascii="Times New Roman" w:hAnsi="Times New Roman"/>
          <w:sz w:val="24"/>
          <w:szCs w:val="24"/>
        </w:rPr>
        <w:footnoteReference w:id="84"/>
      </w:r>
      <w:r w:rsidR="00DF4AB9" w:rsidRPr="0054131B">
        <w:rPr>
          <w:rFonts w:ascii="Times New Roman" w:hAnsi="Times New Roman"/>
          <w:sz w:val="24"/>
          <w:szCs w:val="24"/>
        </w:rPr>
        <w:t xml:space="preserve"> que consagra el derecho de integridad psíquica y moral.</w:t>
      </w:r>
    </w:p>
    <w:p w:rsidR="00F82431" w:rsidRPr="0054131B" w:rsidRDefault="00D74870" w:rsidP="003B1275">
      <w:pPr>
        <w:pStyle w:val="NoSpacing"/>
        <w:spacing w:line="480" w:lineRule="auto"/>
        <w:jc w:val="both"/>
        <w:rPr>
          <w:rFonts w:ascii="Times New Roman" w:hAnsi="Times New Roman"/>
          <w:sz w:val="24"/>
          <w:szCs w:val="24"/>
        </w:rPr>
      </w:pPr>
      <w:r w:rsidRPr="0054131B">
        <w:rPr>
          <w:rFonts w:ascii="Times New Roman" w:hAnsi="Times New Roman"/>
          <w:sz w:val="24"/>
          <w:szCs w:val="24"/>
        </w:rPr>
        <w:t>47</w:t>
      </w:r>
      <w:r w:rsidR="00DF4AB9" w:rsidRPr="0054131B">
        <w:rPr>
          <w:rFonts w:ascii="Times New Roman" w:hAnsi="Times New Roman"/>
          <w:sz w:val="24"/>
          <w:szCs w:val="24"/>
        </w:rPr>
        <w:t xml:space="preserve">. </w:t>
      </w:r>
      <w:r w:rsidR="00E96AD1" w:rsidRPr="0054131B">
        <w:rPr>
          <w:rFonts w:ascii="Times New Roman" w:hAnsi="Times New Roman"/>
          <w:sz w:val="24"/>
          <w:szCs w:val="24"/>
        </w:rPr>
        <w:t>La Corte IDH</w:t>
      </w:r>
      <w:r w:rsidR="00F82431" w:rsidRPr="0054131B">
        <w:rPr>
          <w:rFonts w:ascii="Times New Roman" w:hAnsi="Times New Roman"/>
          <w:sz w:val="24"/>
          <w:szCs w:val="24"/>
        </w:rPr>
        <w:t xml:space="preserve"> ha determinado que no se presume la violación a la integridad personal de los familiares en todo tipo de casos</w:t>
      </w:r>
      <w:r w:rsidR="00F82431" w:rsidRPr="0054131B">
        <w:rPr>
          <w:rStyle w:val="FootnoteReference"/>
          <w:rFonts w:ascii="Times New Roman" w:hAnsi="Times New Roman"/>
          <w:sz w:val="24"/>
          <w:szCs w:val="24"/>
        </w:rPr>
        <w:footnoteReference w:id="85"/>
      </w:r>
      <w:r w:rsidR="00DF4AB9" w:rsidRPr="0054131B">
        <w:rPr>
          <w:rFonts w:ascii="Times New Roman" w:hAnsi="Times New Roman"/>
          <w:sz w:val="24"/>
          <w:szCs w:val="24"/>
        </w:rPr>
        <w:t>;</w:t>
      </w:r>
      <w:r w:rsidR="00F82431" w:rsidRPr="0054131B">
        <w:rPr>
          <w:rFonts w:ascii="Times New Roman" w:hAnsi="Times New Roman"/>
          <w:sz w:val="24"/>
          <w:szCs w:val="24"/>
        </w:rPr>
        <w:t xml:space="preserve"> sin embargo, existe una presunción </w:t>
      </w:r>
      <w:r w:rsidR="00F82431" w:rsidRPr="0054131B">
        <w:rPr>
          <w:rFonts w:ascii="Times New Roman" w:hAnsi="Times New Roman"/>
          <w:i/>
          <w:sz w:val="24"/>
          <w:szCs w:val="24"/>
        </w:rPr>
        <w:t>iuris tantum</w:t>
      </w:r>
      <w:r w:rsidR="00F82431" w:rsidRPr="0054131B">
        <w:rPr>
          <w:rFonts w:ascii="Times New Roman" w:hAnsi="Times New Roman"/>
          <w:sz w:val="24"/>
          <w:szCs w:val="24"/>
        </w:rPr>
        <w:t xml:space="preserve"> respecto a </w:t>
      </w:r>
      <w:r w:rsidR="00CE35F2" w:rsidRPr="0054131B">
        <w:rPr>
          <w:rFonts w:ascii="Times New Roman" w:hAnsi="Times New Roman"/>
          <w:sz w:val="24"/>
          <w:szCs w:val="24"/>
        </w:rPr>
        <w:t xml:space="preserve">los </w:t>
      </w:r>
      <w:r w:rsidR="00CE35F2" w:rsidRPr="0054131B">
        <w:rPr>
          <w:rFonts w:ascii="Times New Roman" w:hAnsi="Times New Roman"/>
          <w:sz w:val="24"/>
          <w:szCs w:val="24"/>
        </w:rPr>
        <w:lastRenderedPageBreak/>
        <w:t>familiares directos en situaciones</w:t>
      </w:r>
      <w:r w:rsidR="00F82431" w:rsidRPr="0054131B">
        <w:rPr>
          <w:rFonts w:ascii="Times New Roman" w:hAnsi="Times New Roman"/>
          <w:sz w:val="24"/>
          <w:szCs w:val="24"/>
        </w:rPr>
        <w:t xml:space="preserve"> donde se compromete el derecho a la vida</w:t>
      </w:r>
      <w:r w:rsidR="00F82431" w:rsidRPr="0054131B">
        <w:rPr>
          <w:rStyle w:val="FootnoteReference"/>
          <w:rFonts w:ascii="Times New Roman" w:hAnsi="Times New Roman"/>
          <w:sz w:val="24"/>
          <w:szCs w:val="24"/>
        </w:rPr>
        <w:footnoteReference w:id="86"/>
      </w:r>
      <w:r w:rsidR="00F82431" w:rsidRPr="0054131B">
        <w:rPr>
          <w:rFonts w:ascii="Times New Roman" w:hAnsi="Times New Roman"/>
          <w:sz w:val="24"/>
          <w:szCs w:val="24"/>
        </w:rPr>
        <w:t xml:space="preserve">. En </w:t>
      </w:r>
      <w:r w:rsidR="001953C6" w:rsidRPr="0054131B">
        <w:rPr>
          <w:rFonts w:ascii="Times New Roman" w:hAnsi="Times New Roman"/>
          <w:sz w:val="24"/>
          <w:szCs w:val="24"/>
        </w:rPr>
        <w:t>este sentido</w:t>
      </w:r>
      <w:r w:rsidR="00F82431" w:rsidRPr="0054131B">
        <w:rPr>
          <w:rFonts w:ascii="Times New Roman" w:hAnsi="Times New Roman"/>
          <w:sz w:val="24"/>
          <w:szCs w:val="24"/>
        </w:rPr>
        <w:t>,</w:t>
      </w:r>
      <w:r w:rsidR="001953C6" w:rsidRPr="0054131B">
        <w:rPr>
          <w:rFonts w:ascii="Times New Roman" w:hAnsi="Times New Roman"/>
          <w:sz w:val="24"/>
          <w:szCs w:val="24"/>
        </w:rPr>
        <w:t xml:space="preserve"> se</w:t>
      </w:r>
      <w:r w:rsidR="00F82431" w:rsidRPr="0054131B">
        <w:rPr>
          <w:rFonts w:ascii="Times New Roman" w:hAnsi="Times New Roman"/>
          <w:sz w:val="24"/>
          <w:szCs w:val="24"/>
        </w:rPr>
        <w:t xml:space="preserve"> ha establecido que la ausencia de una investigación completa y efectiva sobre los hechos</w:t>
      </w:r>
      <w:r w:rsidR="00CE35F2" w:rsidRPr="0054131B">
        <w:rPr>
          <w:rFonts w:ascii="Times New Roman" w:hAnsi="Times New Roman"/>
          <w:sz w:val="24"/>
          <w:szCs w:val="24"/>
        </w:rPr>
        <w:t>,</w:t>
      </w:r>
      <w:r w:rsidR="00F82431" w:rsidRPr="0054131B">
        <w:rPr>
          <w:rFonts w:ascii="Times New Roman" w:hAnsi="Times New Roman"/>
          <w:sz w:val="24"/>
          <w:szCs w:val="24"/>
        </w:rPr>
        <w:t xml:space="preserve"> constituye una fuente de sufrimiento y angustia adicional para </w:t>
      </w:r>
      <w:r w:rsidR="001953C6" w:rsidRPr="0054131B">
        <w:rPr>
          <w:rFonts w:ascii="Times New Roman" w:hAnsi="Times New Roman"/>
          <w:sz w:val="24"/>
          <w:szCs w:val="24"/>
        </w:rPr>
        <w:t xml:space="preserve">las víctimas, quienes tienen </w:t>
      </w:r>
      <w:r w:rsidR="00F82431" w:rsidRPr="0054131B">
        <w:rPr>
          <w:rFonts w:ascii="Times New Roman" w:hAnsi="Times New Roman"/>
          <w:sz w:val="24"/>
          <w:szCs w:val="24"/>
        </w:rPr>
        <w:t>derecho a conocer la verdad de lo ocurrido</w:t>
      </w:r>
      <w:r w:rsidR="00F82431" w:rsidRPr="0054131B">
        <w:rPr>
          <w:rStyle w:val="FootnoteReference"/>
          <w:rFonts w:ascii="Times New Roman" w:hAnsi="Times New Roman"/>
          <w:sz w:val="24"/>
          <w:szCs w:val="24"/>
        </w:rPr>
        <w:footnoteReference w:id="87"/>
      </w:r>
      <w:r w:rsidR="00F82431" w:rsidRPr="0054131B">
        <w:rPr>
          <w:rFonts w:ascii="Times New Roman" w:hAnsi="Times New Roman"/>
          <w:sz w:val="24"/>
          <w:szCs w:val="24"/>
        </w:rPr>
        <w:t>.</w:t>
      </w:r>
    </w:p>
    <w:p w:rsidR="00F82431"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48</w:t>
      </w:r>
      <w:r w:rsidR="0034272C" w:rsidRPr="0054131B">
        <w:rPr>
          <w:rFonts w:ascii="Times New Roman" w:hAnsi="Times New Roman"/>
          <w:sz w:val="24"/>
          <w:szCs w:val="24"/>
        </w:rPr>
        <w:t xml:space="preserve">. </w:t>
      </w:r>
      <w:r w:rsidR="00F82431" w:rsidRPr="0054131B">
        <w:rPr>
          <w:rFonts w:ascii="Times New Roman" w:hAnsi="Times New Roman"/>
          <w:sz w:val="24"/>
          <w:szCs w:val="24"/>
        </w:rPr>
        <w:t>En el análisis de la afectación a la integridad psicológica de los familiares debe valorarse la participación del familiar en la investigación</w:t>
      </w:r>
      <w:r w:rsidR="00F82431" w:rsidRPr="0054131B">
        <w:rPr>
          <w:rStyle w:val="FootnoteReference"/>
          <w:rFonts w:ascii="Times New Roman" w:hAnsi="Times New Roman"/>
          <w:sz w:val="24"/>
          <w:szCs w:val="24"/>
        </w:rPr>
        <w:footnoteReference w:id="88"/>
      </w:r>
      <w:r w:rsidR="00F82431" w:rsidRPr="0054131B">
        <w:rPr>
          <w:rFonts w:ascii="Times New Roman" w:hAnsi="Times New Roman"/>
          <w:sz w:val="24"/>
          <w:szCs w:val="24"/>
        </w:rPr>
        <w:t xml:space="preserve">. </w:t>
      </w:r>
      <w:r w:rsidR="00046401" w:rsidRPr="0054131B">
        <w:rPr>
          <w:rFonts w:ascii="Times New Roman" w:hAnsi="Times New Roman"/>
          <w:sz w:val="24"/>
          <w:szCs w:val="24"/>
        </w:rPr>
        <w:t>Lucía Camana</w:t>
      </w:r>
      <w:r w:rsidR="0069465F" w:rsidRPr="0054131B">
        <w:rPr>
          <w:rFonts w:ascii="Times New Roman" w:hAnsi="Times New Roman"/>
          <w:sz w:val="24"/>
          <w:szCs w:val="24"/>
        </w:rPr>
        <w:t xml:space="preserve"> y sus abuelos</w:t>
      </w:r>
      <w:r w:rsidR="00046401" w:rsidRPr="0054131B">
        <w:rPr>
          <w:rFonts w:ascii="Times New Roman" w:hAnsi="Times New Roman"/>
          <w:sz w:val="24"/>
          <w:szCs w:val="24"/>
        </w:rPr>
        <w:t>, ha</w:t>
      </w:r>
      <w:r w:rsidR="0069465F" w:rsidRPr="0054131B">
        <w:rPr>
          <w:rFonts w:ascii="Times New Roman" w:hAnsi="Times New Roman"/>
          <w:sz w:val="24"/>
          <w:szCs w:val="24"/>
        </w:rPr>
        <w:t>n</w:t>
      </w:r>
      <w:r w:rsidR="00046401" w:rsidRPr="0054131B">
        <w:rPr>
          <w:rFonts w:ascii="Times New Roman" w:hAnsi="Times New Roman"/>
          <w:sz w:val="24"/>
          <w:szCs w:val="24"/>
        </w:rPr>
        <w:t xml:space="preserve"> participado intensamente en la investigación de</w:t>
      </w:r>
      <w:r w:rsidR="00F82431" w:rsidRPr="0054131B">
        <w:rPr>
          <w:rFonts w:ascii="Times New Roman" w:hAnsi="Times New Roman"/>
          <w:sz w:val="24"/>
          <w:szCs w:val="24"/>
        </w:rPr>
        <w:t xml:space="preserve"> la muerte </w:t>
      </w:r>
      <w:r w:rsidR="00CE35F2" w:rsidRPr="0054131B">
        <w:rPr>
          <w:rFonts w:ascii="Times New Roman" w:hAnsi="Times New Roman"/>
          <w:sz w:val="24"/>
          <w:szCs w:val="24"/>
        </w:rPr>
        <w:t>de sus familiares;</w:t>
      </w:r>
      <w:r w:rsidR="0069465F" w:rsidRPr="0054131B">
        <w:rPr>
          <w:rFonts w:ascii="Times New Roman" w:hAnsi="Times New Roman"/>
          <w:sz w:val="24"/>
          <w:szCs w:val="24"/>
        </w:rPr>
        <w:t xml:space="preserve"> Lucía </w:t>
      </w:r>
      <w:r w:rsidR="00F82431" w:rsidRPr="0054131B">
        <w:rPr>
          <w:rFonts w:ascii="Times New Roman" w:hAnsi="Times New Roman"/>
          <w:sz w:val="24"/>
          <w:szCs w:val="24"/>
        </w:rPr>
        <w:t>se unió como una de las principales voceras al Movimiento Nacional contra la Impunidad en Madruga;</w:t>
      </w:r>
      <w:r w:rsidR="0069465F" w:rsidRPr="0054131B">
        <w:rPr>
          <w:rFonts w:ascii="Times New Roman" w:hAnsi="Times New Roman"/>
          <w:sz w:val="24"/>
          <w:szCs w:val="24"/>
        </w:rPr>
        <w:t xml:space="preserve"> y</w:t>
      </w:r>
      <w:r w:rsidR="00F82431" w:rsidRPr="0054131B">
        <w:rPr>
          <w:rFonts w:ascii="Times New Roman" w:hAnsi="Times New Roman"/>
          <w:sz w:val="24"/>
          <w:szCs w:val="24"/>
        </w:rPr>
        <w:t xml:space="preserve"> sus abuelos han interpuesto más de veinte solicitudes de pericias y pruebas testimoniales</w:t>
      </w:r>
      <w:r w:rsidR="0034272C" w:rsidRPr="0054131B">
        <w:rPr>
          <w:rFonts w:ascii="Times New Roman" w:hAnsi="Times New Roman"/>
          <w:sz w:val="24"/>
          <w:szCs w:val="24"/>
        </w:rPr>
        <w:t>,</w:t>
      </w:r>
      <w:r w:rsidR="00CE35F2" w:rsidRPr="0054131B">
        <w:rPr>
          <w:rFonts w:ascii="Times New Roman" w:hAnsi="Times New Roman"/>
          <w:sz w:val="24"/>
          <w:szCs w:val="24"/>
        </w:rPr>
        <w:t xml:space="preserve"> </w:t>
      </w:r>
      <w:r w:rsidR="002F3865" w:rsidRPr="0054131B">
        <w:rPr>
          <w:rFonts w:ascii="Times New Roman" w:hAnsi="Times New Roman"/>
          <w:sz w:val="24"/>
          <w:szCs w:val="24"/>
        </w:rPr>
        <w:t>todas ellas infructuosas</w:t>
      </w:r>
      <w:r w:rsidR="00F82431" w:rsidRPr="0054131B">
        <w:rPr>
          <w:rStyle w:val="FootnoteReference"/>
          <w:rFonts w:ascii="Times New Roman" w:hAnsi="Times New Roman"/>
          <w:sz w:val="24"/>
          <w:szCs w:val="24"/>
        </w:rPr>
        <w:footnoteReference w:id="89"/>
      </w:r>
      <w:r w:rsidR="00F82431" w:rsidRPr="0054131B">
        <w:rPr>
          <w:rFonts w:ascii="Times New Roman" w:hAnsi="Times New Roman"/>
          <w:sz w:val="24"/>
          <w:szCs w:val="24"/>
        </w:rPr>
        <w:t xml:space="preserve">. Por tanto, ante la impunidad que fomenta Santa Clara, </w:t>
      </w:r>
      <w:r w:rsidR="00A943FF" w:rsidRPr="0054131B">
        <w:rPr>
          <w:rFonts w:ascii="Times New Roman" w:hAnsi="Times New Roman"/>
          <w:sz w:val="24"/>
          <w:szCs w:val="24"/>
        </w:rPr>
        <w:t xml:space="preserve">se afectó la </w:t>
      </w:r>
      <w:r w:rsidR="00F82431" w:rsidRPr="0054131B">
        <w:rPr>
          <w:rFonts w:ascii="Times New Roman" w:hAnsi="Times New Roman"/>
          <w:sz w:val="24"/>
          <w:szCs w:val="24"/>
        </w:rPr>
        <w:t xml:space="preserve">integridad psíquica y </w:t>
      </w:r>
      <w:r w:rsidR="00046401" w:rsidRPr="0054131B">
        <w:rPr>
          <w:rFonts w:ascii="Times New Roman" w:hAnsi="Times New Roman"/>
          <w:sz w:val="24"/>
          <w:szCs w:val="24"/>
        </w:rPr>
        <w:t xml:space="preserve">moral </w:t>
      </w:r>
      <w:r w:rsidR="00A943FF" w:rsidRPr="0054131B">
        <w:rPr>
          <w:rFonts w:ascii="Times New Roman" w:hAnsi="Times New Roman"/>
          <w:sz w:val="24"/>
          <w:szCs w:val="24"/>
        </w:rPr>
        <w:t xml:space="preserve">de Lucía Camana y sus abuelos, reconocida </w:t>
      </w:r>
      <w:r w:rsidR="00046401" w:rsidRPr="0054131B">
        <w:rPr>
          <w:rFonts w:ascii="Times New Roman" w:hAnsi="Times New Roman"/>
          <w:sz w:val="24"/>
          <w:szCs w:val="24"/>
        </w:rPr>
        <w:t xml:space="preserve">en </w:t>
      </w:r>
      <w:r w:rsidR="00A943FF" w:rsidRPr="0054131B">
        <w:rPr>
          <w:rFonts w:ascii="Times New Roman" w:hAnsi="Times New Roman"/>
          <w:sz w:val="24"/>
          <w:szCs w:val="24"/>
        </w:rPr>
        <w:t>el</w:t>
      </w:r>
      <w:r w:rsidR="00046401" w:rsidRPr="0054131B">
        <w:rPr>
          <w:rFonts w:ascii="Times New Roman" w:hAnsi="Times New Roman"/>
          <w:sz w:val="24"/>
          <w:szCs w:val="24"/>
        </w:rPr>
        <w:t xml:space="preserve"> art.</w:t>
      </w:r>
      <w:r w:rsidR="00F82431" w:rsidRPr="0054131B">
        <w:rPr>
          <w:rFonts w:ascii="Times New Roman" w:hAnsi="Times New Roman"/>
          <w:sz w:val="24"/>
          <w:szCs w:val="24"/>
        </w:rPr>
        <w:t xml:space="preserve"> 5.1 de la CADH.</w:t>
      </w:r>
    </w:p>
    <w:p w:rsidR="003C720A"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49</w:t>
      </w:r>
      <w:r w:rsidR="00227DED" w:rsidRPr="0054131B">
        <w:rPr>
          <w:rFonts w:ascii="Times New Roman" w:hAnsi="Times New Roman"/>
          <w:sz w:val="24"/>
          <w:szCs w:val="24"/>
        </w:rPr>
        <w:t xml:space="preserve">. </w:t>
      </w:r>
      <w:r w:rsidR="00F82431" w:rsidRPr="0054131B">
        <w:rPr>
          <w:rFonts w:ascii="Times New Roman" w:hAnsi="Times New Roman"/>
          <w:sz w:val="24"/>
          <w:szCs w:val="24"/>
        </w:rPr>
        <w:t>Por otro lado, Lucía Camana tenía 17 años de edad cuando su familia fue asesinada, por lo que jurídicamente era una niña</w:t>
      </w:r>
      <w:r w:rsidR="00F82431" w:rsidRPr="0054131B">
        <w:rPr>
          <w:rStyle w:val="FootnoteReference"/>
          <w:rFonts w:ascii="Times New Roman" w:hAnsi="Times New Roman"/>
          <w:sz w:val="24"/>
          <w:szCs w:val="24"/>
        </w:rPr>
        <w:footnoteReference w:id="90"/>
      </w:r>
      <w:r w:rsidR="00F82431" w:rsidRPr="0054131B">
        <w:rPr>
          <w:rFonts w:ascii="Times New Roman" w:hAnsi="Times New Roman"/>
          <w:sz w:val="24"/>
          <w:szCs w:val="24"/>
        </w:rPr>
        <w:t xml:space="preserve">. En el reciente caso Ruano Torres vs. El Salvador, </w:t>
      </w:r>
      <w:r w:rsidR="00222420" w:rsidRPr="0054131B">
        <w:rPr>
          <w:rFonts w:ascii="Times New Roman" w:hAnsi="Times New Roman"/>
          <w:sz w:val="24"/>
          <w:szCs w:val="24"/>
        </w:rPr>
        <w:t>la Corte IDH</w:t>
      </w:r>
      <w:r w:rsidR="003C720A" w:rsidRPr="0054131B">
        <w:rPr>
          <w:rFonts w:ascii="Times New Roman" w:hAnsi="Times New Roman"/>
          <w:sz w:val="24"/>
          <w:szCs w:val="24"/>
        </w:rPr>
        <w:t xml:space="preserve"> </w:t>
      </w:r>
      <w:r w:rsidR="00F82431" w:rsidRPr="0054131B">
        <w:rPr>
          <w:rFonts w:ascii="Times New Roman" w:hAnsi="Times New Roman"/>
          <w:sz w:val="24"/>
          <w:szCs w:val="24"/>
        </w:rPr>
        <w:t>determinó que la privación arbitraria de la libertad de la víctima causó un detrimento en el desarrollo personal de sus hijos</w:t>
      </w:r>
      <w:r w:rsidR="00222420" w:rsidRPr="0054131B">
        <w:rPr>
          <w:rFonts w:ascii="Times New Roman" w:hAnsi="Times New Roman"/>
          <w:sz w:val="24"/>
          <w:szCs w:val="24"/>
        </w:rPr>
        <w:t xml:space="preserve"> al carecer</w:t>
      </w:r>
      <w:r w:rsidR="00F82431" w:rsidRPr="0054131B">
        <w:rPr>
          <w:rFonts w:ascii="Times New Roman" w:hAnsi="Times New Roman"/>
          <w:sz w:val="24"/>
          <w:szCs w:val="24"/>
        </w:rPr>
        <w:t xml:space="preserve"> de una figura paterna</w:t>
      </w:r>
      <w:r w:rsidR="00F82431" w:rsidRPr="0054131B">
        <w:rPr>
          <w:rStyle w:val="FootnoteReference"/>
          <w:rFonts w:ascii="Times New Roman" w:hAnsi="Times New Roman"/>
          <w:sz w:val="24"/>
          <w:szCs w:val="24"/>
        </w:rPr>
        <w:footnoteReference w:id="91"/>
      </w:r>
      <w:r w:rsidR="00775C72" w:rsidRPr="0054131B">
        <w:rPr>
          <w:rFonts w:ascii="Times New Roman" w:hAnsi="Times New Roman"/>
          <w:sz w:val="24"/>
          <w:szCs w:val="24"/>
        </w:rPr>
        <w:t>. Asimismo, según el art.</w:t>
      </w:r>
      <w:r w:rsidR="00F82431" w:rsidRPr="0054131B">
        <w:rPr>
          <w:rFonts w:ascii="Times New Roman" w:hAnsi="Times New Roman"/>
          <w:sz w:val="24"/>
          <w:szCs w:val="24"/>
        </w:rPr>
        <w:t xml:space="preserve"> 8.2 de la Convención sobre los Derechos del Niño, el derecho a la familia es parte del derecho de identidad del niño</w:t>
      </w:r>
      <w:r w:rsidR="00F82431" w:rsidRPr="0054131B">
        <w:rPr>
          <w:rStyle w:val="FootnoteReference"/>
          <w:rFonts w:ascii="Times New Roman" w:hAnsi="Times New Roman"/>
          <w:sz w:val="24"/>
          <w:szCs w:val="24"/>
        </w:rPr>
        <w:footnoteReference w:id="92"/>
      </w:r>
      <w:r w:rsidR="00BA7721" w:rsidRPr="0054131B">
        <w:rPr>
          <w:rFonts w:ascii="Times New Roman" w:hAnsi="Times New Roman"/>
          <w:sz w:val="24"/>
          <w:szCs w:val="24"/>
        </w:rPr>
        <w:t>. En tal sentido,</w:t>
      </w:r>
      <w:r w:rsidR="003C720A" w:rsidRPr="0054131B">
        <w:rPr>
          <w:rFonts w:ascii="Times New Roman" w:hAnsi="Times New Roman"/>
          <w:sz w:val="24"/>
          <w:szCs w:val="24"/>
        </w:rPr>
        <w:t xml:space="preserve"> Santa Clara al favorecer el asesinato de la familia de Lucía Camana, perjudicó su desarrollo personal y violó su derecho a gozar de protección familiar como </w:t>
      </w:r>
      <w:r w:rsidR="003C720A" w:rsidRPr="0054131B">
        <w:rPr>
          <w:rFonts w:ascii="Times New Roman" w:hAnsi="Times New Roman"/>
          <w:sz w:val="24"/>
          <w:szCs w:val="24"/>
        </w:rPr>
        <w:lastRenderedPageBreak/>
        <w:t>niña, reconocido en el art. 17 de la CADH.</w:t>
      </w:r>
      <w:r w:rsidR="00BA7721" w:rsidRPr="0054131B">
        <w:rPr>
          <w:rFonts w:ascii="Times New Roman" w:hAnsi="Times New Roman"/>
          <w:sz w:val="24"/>
          <w:szCs w:val="24"/>
        </w:rPr>
        <w:t xml:space="preserve"> </w:t>
      </w:r>
    </w:p>
    <w:p w:rsidR="00DE3F14" w:rsidRPr="0054131B" w:rsidRDefault="00B24983" w:rsidP="003B1275">
      <w:pPr>
        <w:pStyle w:val="NoSpacing"/>
        <w:widowControl w:val="0"/>
        <w:spacing w:line="480" w:lineRule="auto"/>
        <w:jc w:val="both"/>
        <w:outlineLvl w:val="2"/>
        <w:rPr>
          <w:rFonts w:ascii="Times New Roman" w:hAnsi="Times New Roman"/>
          <w:b/>
          <w:sz w:val="24"/>
          <w:szCs w:val="24"/>
          <w:lang w:val="es-US"/>
        </w:rPr>
      </w:pPr>
      <w:bookmarkStart w:id="53" w:name="_Toc446776785"/>
      <w:r w:rsidRPr="0054131B">
        <w:rPr>
          <w:rFonts w:ascii="Times New Roman" w:hAnsi="Times New Roman"/>
          <w:b/>
          <w:sz w:val="24"/>
          <w:szCs w:val="24"/>
          <w:lang w:val="es-US"/>
        </w:rPr>
        <w:t>B</w:t>
      </w:r>
      <w:r w:rsidR="00BE1854" w:rsidRPr="0054131B">
        <w:rPr>
          <w:rFonts w:ascii="Times New Roman" w:hAnsi="Times New Roman"/>
          <w:b/>
          <w:sz w:val="24"/>
          <w:szCs w:val="24"/>
          <w:lang w:val="es-US"/>
        </w:rPr>
        <w:t>.</w:t>
      </w:r>
      <w:r w:rsidR="00EB2E88" w:rsidRPr="0054131B">
        <w:rPr>
          <w:rFonts w:ascii="Times New Roman" w:hAnsi="Times New Roman"/>
          <w:b/>
          <w:sz w:val="24"/>
          <w:szCs w:val="24"/>
          <w:lang w:val="es-US"/>
        </w:rPr>
        <w:t>4</w:t>
      </w:r>
      <w:r w:rsidR="003C720A" w:rsidRPr="0054131B">
        <w:rPr>
          <w:rFonts w:ascii="Times New Roman" w:hAnsi="Times New Roman"/>
          <w:b/>
          <w:sz w:val="24"/>
          <w:szCs w:val="24"/>
          <w:lang w:val="es-US"/>
        </w:rPr>
        <w:t xml:space="preserve"> </w:t>
      </w:r>
      <w:r w:rsidR="009B3E28" w:rsidRPr="0054131B">
        <w:rPr>
          <w:rFonts w:ascii="Times New Roman" w:hAnsi="Times New Roman"/>
          <w:b/>
          <w:sz w:val="24"/>
          <w:szCs w:val="24"/>
        </w:rPr>
        <w:t xml:space="preserve">Sobre las violaciones de </w:t>
      </w:r>
      <w:r w:rsidR="002E2709">
        <w:rPr>
          <w:rFonts w:ascii="Times New Roman" w:hAnsi="Times New Roman"/>
          <w:b/>
          <w:sz w:val="24"/>
          <w:szCs w:val="24"/>
        </w:rPr>
        <w:t>Derechos Humanos</w:t>
      </w:r>
      <w:r w:rsidR="009B3E28" w:rsidRPr="0054131B">
        <w:rPr>
          <w:rFonts w:ascii="Times New Roman" w:hAnsi="Times New Roman"/>
          <w:b/>
          <w:sz w:val="24"/>
          <w:szCs w:val="24"/>
        </w:rPr>
        <w:t xml:space="preserve"> en perjuicio del Pueblo Pichicha</w:t>
      </w:r>
      <w:bookmarkEnd w:id="53"/>
    </w:p>
    <w:p w:rsidR="00016AA5" w:rsidRPr="0054131B" w:rsidRDefault="00B24983" w:rsidP="003B1275">
      <w:pPr>
        <w:pStyle w:val="NoSpacing"/>
        <w:widowControl w:val="0"/>
        <w:spacing w:line="480" w:lineRule="auto"/>
        <w:jc w:val="both"/>
        <w:outlineLvl w:val="2"/>
        <w:rPr>
          <w:rFonts w:ascii="Times New Roman" w:hAnsi="Times New Roman"/>
          <w:b/>
          <w:sz w:val="24"/>
          <w:szCs w:val="24"/>
          <w:lang w:val="es-US"/>
        </w:rPr>
      </w:pPr>
      <w:bookmarkStart w:id="54" w:name="_Toc446715478"/>
      <w:bookmarkStart w:id="55" w:name="_Toc446716101"/>
      <w:bookmarkStart w:id="56" w:name="_Toc446716832"/>
      <w:bookmarkStart w:id="57" w:name="_Toc446717043"/>
      <w:bookmarkStart w:id="58" w:name="_Toc446776786"/>
      <w:r w:rsidRPr="0054131B">
        <w:rPr>
          <w:rFonts w:ascii="Times New Roman" w:hAnsi="Times New Roman"/>
          <w:b/>
          <w:sz w:val="24"/>
          <w:szCs w:val="24"/>
          <w:lang w:val="es-US"/>
        </w:rPr>
        <w:t>B</w:t>
      </w:r>
      <w:r w:rsidR="00F92CAB" w:rsidRPr="0054131B">
        <w:rPr>
          <w:rFonts w:ascii="Times New Roman" w:hAnsi="Times New Roman"/>
          <w:b/>
          <w:sz w:val="24"/>
          <w:szCs w:val="24"/>
          <w:lang w:val="es-US"/>
        </w:rPr>
        <w:t xml:space="preserve">.4.1 </w:t>
      </w:r>
      <w:r w:rsidR="007D3049" w:rsidRPr="0054131B">
        <w:rPr>
          <w:rFonts w:ascii="Times New Roman" w:hAnsi="Times New Roman"/>
          <w:b/>
          <w:sz w:val="24"/>
          <w:szCs w:val="24"/>
          <w:lang w:val="es-US"/>
        </w:rPr>
        <w:t>Violación de</w:t>
      </w:r>
      <w:r w:rsidR="00900B29" w:rsidRPr="0054131B">
        <w:rPr>
          <w:rFonts w:ascii="Times New Roman" w:hAnsi="Times New Roman"/>
          <w:b/>
          <w:sz w:val="24"/>
          <w:szCs w:val="24"/>
          <w:lang w:val="es-US"/>
        </w:rPr>
        <w:t xml:space="preserve"> los arts. 8 y 25 de la CADH</w:t>
      </w:r>
      <w:r w:rsidR="00900B29" w:rsidRPr="0054131B">
        <w:rPr>
          <w:rFonts w:ascii="Times New Roman" w:hAnsi="Times New Roman"/>
          <w:b/>
          <w:sz w:val="24"/>
          <w:szCs w:val="24"/>
        </w:rPr>
        <w:t xml:space="preserve"> en perjuicio del Pueblo Pichicha</w:t>
      </w:r>
      <w:bookmarkEnd w:id="54"/>
      <w:bookmarkEnd w:id="55"/>
      <w:bookmarkEnd w:id="56"/>
      <w:bookmarkEnd w:id="57"/>
      <w:bookmarkEnd w:id="58"/>
    </w:p>
    <w:p w:rsidR="000A0837" w:rsidRPr="0054131B" w:rsidRDefault="00105F6B" w:rsidP="003B1275">
      <w:pPr>
        <w:pStyle w:val="NoSpacing"/>
        <w:widowControl w:val="0"/>
        <w:spacing w:line="480" w:lineRule="auto"/>
        <w:jc w:val="both"/>
        <w:rPr>
          <w:rFonts w:ascii="Times New Roman" w:hAnsi="Times New Roman"/>
          <w:sz w:val="24"/>
          <w:szCs w:val="24"/>
          <w:lang w:val="es-US"/>
        </w:rPr>
      </w:pPr>
      <w:r w:rsidRPr="0054131B">
        <w:rPr>
          <w:rFonts w:ascii="Times New Roman" w:hAnsi="Times New Roman"/>
          <w:sz w:val="24"/>
          <w:szCs w:val="24"/>
          <w:lang w:val="es-US"/>
        </w:rPr>
        <w:t>5</w:t>
      </w:r>
      <w:r w:rsidR="00D74870" w:rsidRPr="0054131B">
        <w:rPr>
          <w:rFonts w:ascii="Times New Roman" w:hAnsi="Times New Roman"/>
          <w:sz w:val="24"/>
          <w:szCs w:val="24"/>
          <w:lang w:val="es-US"/>
        </w:rPr>
        <w:t>0</w:t>
      </w:r>
      <w:r w:rsidRPr="0054131B">
        <w:rPr>
          <w:rFonts w:ascii="Times New Roman" w:hAnsi="Times New Roman"/>
          <w:sz w:val="24"/>
          <w:szCs w:val="24"/>
          <w:lang w:val="es-US"/>
        </w:rPr>
        <w:t xml:space="preserve">. </w:t>
      </w:r>
      <w:r w:rsidR="00016AA5" w:rsidRPr="0054131B">
        <w:rPr>
          <w:rFonts w:ascii="Times New Roman" w:hAnsi="Times New Roman"/>
          <w:sz w:val="24"/>
          <w:szCs w:val="24"/>
          <w:lang w:val="es-US"/>
        </w:rPr>
        <w:t>El art. 25 de la CADH establece el derecho de toda persona</w:t>
      </w:r>
      <w:r w:rsidRPr="0054131B">
        <w:rPr>
          <w:rFonts w:ascii="Times New Roman" w:hAnsi="Times New Roman"/>
          <w:sz w:val="24"/>
          <w:szCs w:val="24"/>
          <w:lang w:val="es-US"/>
        </w:rPr>
        <w:t xml:space="preserve"> a gozar de un recurso efectivo</w:t>
      </w:r>
      <w:r w:rsidR="00016AA5" w:rsidRPr="0054131B">
        <w:rPr>
          <w:rStyle w:val="FootnoteReference"/>
          <w:rFonts w:ascii="Times New Roman" w:hAnsi="Times New Roman"/>
          <w:sz w:val="24"/>
          <w:szCs w:val="24"/>
          <w:lang w:val="es-US"/>
        </w:rPr>
        <w:footnoteReference w:id="93"/>
      </w:r>
      <w:r w:rsidR="00973FD7" w:rsidRPr="0054131B">
        <w:rPr>
          <w:rFonts w:ascii="Times New Roman" w:hAnsi="Times New Roman"/>
          <w:sz w:val="24"/>
          <w:szCs w:val="24"/>
          <w:lang w:val="es-US"/>
        </w:rPr>
        <w:t xml:space="preserve"> </w:t>
      </w:r>
      <w:r w:rsidR="00B97D6E" w:rsidRPr="0054131B">
        <w:rPr>
          <w:rFonts w:ascii="Times New Roman" w:hAnsi="Times New Roman"/>
          <w:sz w:val="24"/>
          <w:szCs w:val="24"/>
          <w:lang w:val="es-US"/>
        </w:rPr>
        <w:t xml:space="preserve">que dé </w:t>
      </w:r>
      <w:r w:rsidR="00D85FD1" w:rsidRPr="0054131B">
        <w:rPr>
          <w:rFonts w:ascii="Times New Roman" w:hAnsi="Times New Roman"/>
          <w:sz w:val="24"/>
          <w:szCs w:val="24"/>
          <w:lang w:val="es-US"/>
        </w:rPr>
        <w:t xml:space="preserve">respuesta a </w:t>
      </w:r>
      <w:r w:rsidR="00B97D6E" w:rsidRPr="0054131B">
        <w:rPr>
          <w:rFonts w:ascii="Times New Roman" w:hAnsi="Times New Roman"/>
          <w:sz w:val="24"/>
          <w:szCs w:val="24"/>
          <w:lang w:val="es-US"/>
        </w:rPr>
        <w:t xml:space="preserve">las </w:t>
      </w:r>
      <w:r w:rsidR="00D85FD1" w:rsidRPr="0054131B">
        <w:rPr>
          <w:rFonts w:ascii="Times New Roman" w:hAnsi="Times New Roman"/>
          <w:sz w:val="24"/>
          <w:szCs w:val="24"/>
          <w:lang w:val="es-US"/>
        </w:rPr>
        <w:t xml:space="preserve">violaciones de </w:t>
      </w:r>
      <w:r w:rsidR="00363EAA" w:rsidRPr="0054131B">
        <w:rPr>
          <w:rFonts w:ascii="Times New Roman" w:hAnsi="Times New Roman"/>
          <w:sz w:val="24"/>
          <w:szCs w:val="24"/>
          <w:lang w:val="es-US"/>
        </w:rPr>
        <w:t>DDHH</w:t>
      </w:r>
      <w:r w:rsidR="00B97D6E" w:rsidRPr="0054131B">
        <w:rPr>
          <w:rFonts w:ascii="Times New Roman" w:hAnsi="Times New Roman"/>
          <w:sz w:val="24"/>
          <w:szCs w:val="24"/>
          <w:lang w:val="es-US"/>
        </w:rPr>
        <w:t xml:space="preserve"> alegadas</w:t>
      </w:r>
      <w:r w:rsidR="00D85FD1" w:rsidRPr="0054131B">
        <w:rPr>
          <w:rStyle w:val="FootnoteReference"/>
          <w:rFonts w:ascii="Times New Roman" w:hAnsi="Times New Roman"/>
          <w:sz w:val="24"/>
          <w:szCs w:val="24"/>
          <w:lang w:val="es-US"/>
        </w:rPr>
        <w:footnoteReference w:id="94"/>
      </w:r>
      <w:r w:rsidR="00032C21" w:rsidRPr="0054131B">
        <w:rPr>
          <w:rFonts w:ascii="Times New Roman" w:hAnsi="Times New Roman"/>
          <w:sz w:val="24"/>
          <w:szCs w:val="24"/>
          <w:lang w:val="es-US"/>
        </w:rPr>
        <w:t xml:space="preserve"> </w:t>
      </w:r>
      <w:r w:rsidRPr="0054131B">
        <w:rPr>
          <w:rFonts w:ascii="Times New Roman" w:hAnsi="Times New Roman"/>
          <w:sz w:val="24"/>
          <w:szCs w:val="24"/>
          <w:lang w:val="es-US"/>
        </w:rPr>
        <w:t xml:space="preserve">a través de un pronunciamiento </w:t>
      </w:r>
      <w:r w:rsidR="00B97D6E" w:rsidRPr="0054131B">
        <w:rPr>
          <w:rFonts w:ascii="Times New Roman" w:hAnsi="Times New Roman"/>
          <w:sz w:val="24"/>
          <w:szCs w:val="24"/>
          <w:lang w:val="es-US"/>
        </w:rPr>
        <w:t xml:space="preserve">debidamente </w:t>
      </w:r>
      <w:r w:rsidRPr="0054131B">
        <w:rPr>
          <w:rFonts w:ascii="Times New Roman" w:hAnsi="Times New Roman"/>
          <w:sz w:val="24"/>
          <w:szCs w:val="24"/>
          <w:lang w:val="es-US"/>
        </w:rPr>
        <w:t>motivado</w:t>
      </w:r>
      <w:r w:rsidR="00B97D6E" w:rsidRPr="0054131B">
        <w:rPr>
          <w:rFonts w:ascii="Times New Roman" w:hAnsi="Times New Roman"/>
          <w:sz w:val="24"/>
          <w:szCs w:val="24"/>
          <w:lang w:val="es-US"/>
        </w:rPr>
        <w:t>. El deber de motivación judicial está</w:t>
      </w:r>
      <w:r w:rsidR="00016AA5" w:rsidRPr="0054131B">
        <w:rPr>
          <w:rFonts w:ascii="Times New Roman" w:hAnsi="Times New Roman"/>
          <w:sz w:val="24"/>
          <w:szCs w:val="24"/>
          <w:lang w:val="es-US"/>
        </w:rPr>
        <w:t xml:space="preserve"> consagrado implícitamente mediante el derecho a ser oído</w:t>
      </w:r>
      <w:r w:rsidR="00B97D6E" w:rsidRPr="0054131B">
        <w:rPr>
          <w:rFonts w:ascii="Times New Roman" w:hAnsi="Times New Roman"/>
          <w:sz w:val="24"/>
          <w:szCs w:val="24"/>
          <w:lang w:val="es-US"/>
        </w:rPr>
        <w:t xml:space="preserve"> del art. 8.1 de la CADH</w:t>
      </w:r>
      <w:r w:rsidR="00016AA5" w:rsidRPr="0054131B">
        <w:rPr>
          <w:rStyle w:val="FootnoteReference"/>
          <w:rFonts w:ascii="Times New Roman" w:hAnsi="Times New Roman"/>
          <w:sz w:val="24"/>
          <w:szCs w:val="24"/>
          <w:lang w:val="es-US"/>
        </w:rPr>
        <w:footnoteReference w:id="95"/>
      </w:r>
      <w:r w:rsidR="00A35630" w:rsidRPr="0054131B">
        <w:rPr>
          <w:rFonts w:ascii="Times New Roman" w:hAnsi="Times New Roman"/>
          <w:sz w:val="24"/>
          <w:szCs w:val="24"/>
          <w:lang w:val="es-US"/>
        </w:rPr>
        <w:t xml:space="preserve">. </w:t>
      </w:r>
      <w:r w:rsidR="00016AA5" w:rsidRPr="0054131B">
        <w:rPr>
          <w:rFonts w:ascii="Times New Roman" w:hAnsi="Times New Roman"/>
          <w:sz w:val="24"/>
          <w:szCs w:val="24"/>
          <w:lang w:val="es-US"/>
        </w:rPr>
        <w:t>La motivación de la decisión judicial es una condición para garantizar el derecho de defensa; en efecto, la argumentación ofrecida por el juez debe mostrar claramente que han sido debidamente tomados en cuen</w:t>
      </w:r>
      <w:r w:rsidR="00A35630" w:rsidRPr="0054131B">
        <w:rPr>
          <w:rFonts w:ascii="Times New Roman" w:hAnsi="Times New Roman"/>
          <w:sz w:val="24"/>
          <w:szCs w:val="24"/>
          <w:lang w:val="es-US"/>
        </w:rPr>
        <w:t>ta los argumentos de las partes</w:t>
      </w:r>
      <w:r w:rsidR="00016AA5" w:rsidRPr="0054131B">
        <w:rPr>
          <w:rStyle w:val="FootnoteReference"/>
          <w:rFonts w:ascii="Times New Roman" w:hAnsi="Times New Roman"/>
          <w:sz w:val="24"/>
          <w:szCs w:val="24"/>
          <w:lang w:val="es-US"/>
        </w:rPr>
        <w:footnoteReference w:id="96"/>
      </w:r>
      <w:r w:rsidR="00A35630" w:rsidRPr="0054131B">
        <w:rPr>
          <w:rFonts w:ascii="Times New Roman" w:hAnsi="Times New Roman"/>
          <w:sz w:val="24"/>
          <w:szCs w:val="24"/>
          <w:lang w:val="es-US"/>
        </w:rPr>
        <w:t>.</w:t>
      </w:r>
      <w:r w:rsidR="00032C21" w:rsidRPr="0054131B">
        <w:rPr>
          <w:rFonts w:ascii="Times New Roman" w:hAnsi="Times New Roman"/>
          <w:sz w:val="24"/>
          <w:szCs w:val="24"/>
          <w:lang w:val="es-US"/>
        </w:rPr>
        <w:t xml:space="preserve"> </w:t>
      </w:r>
      <w:r w:rsidR="00674B4B" w:rsidRPr="0054131B">
        <w:rPr>
          <w:rFonts w:ascii="Times New Roman" w:hAnsi="Times New Roman"/>
          <w:sz w:val="24"/>
          <w:szCs w:val="24"/>
          <w:lang w:val="es-US"/>
        </w:rPr>
        <w:t>Sin embargo</w:t>
      </w:r>
      <w:r w:rsidR="00016AA5" w:rsidRPr="0054131B">
        <w:rPr>
          <w:rFonts w:ascii="Times New Roman" w:hAnsi="Times New Roman"/>
          <w:sz w:val="24"/>
          <w:szCs w:val="24"/>
          <w:lang w:val="es-US"/>
        </w:rPr>
        <w:t>, la Corte Suprema de</w:t>
      </w:r>
      <w:r w:rsidR="00676273" w:rsidRPr="0054131B">
        <w:rPr>
          <w:rFonts w:ascii="Times New Roman" w:hAnsi="Times New Roman"/>
          <w:sz w:val="24"/>
          <w:szCs w:val="24"/>
          <w:lang w:val="es-US"/>
        </w:rPr>
        <w:t xml:space="preserve"> Justicia de Santa Clara declaró</w:t>
      </w:r>
      <w:r w:rsidR="00016AA5" w:rsidRPr="0054131B">
        <w:rPr>
          <w:rFonts w:ascii="Times New Roman" w:hAnsi="Times New Roman"/>
          <w:sz w:val="24"/>
          <w:szCs w:val="24"/>
          <w:lang w:val="es-US"/>
        </w:rPr>
        <w:t xml:space="preserve"> improcedente el recurso de agrav</w:t>
      </w:r>
      <w:r w:rsidR="00F07F3A" w:rsidRPr="0054131B">
        <w:rPr>
          <w:rFonts w:ascii="Times New Roman" w:hAnsi="Times New Roman"/>
          <w:sz w:val="24"/>
          <w:szCs w:val="24"/>
          <w:lang w:val="es-US"/>
        </w:rPr>
        <w:t xml:space="preserve">io constitucional interpuesto </w:t>
      </w:r>
      <w:r w:rsidR="002672EE" w:rsidRPr="0054131B">
        <w:rPr>
          <w:rFonts w:ascii="Times New Roman" w:hAnsi="Times New Roman"/>
          <w:sz w:val="24"/>
          <w:szCs w:val="24"/>
          <w:lang w:val="es-US"/>
        </w:rPr>
        <w:t xml:space="preserve">por </w:t>
      </w:r>
      <w:r w:rsidR="00F07F3A" w:rsidRPr="0054131B">
        <w:rPr>
          <w:rFonts w:ascii="Times New Roman" w:hAnsi="Times New Roman"/>
          <w:sz w:val="24"/>
          <w:szCs w:val="24"/>
          <w:lang w:val="es-US"/>
        </w:rPr>
        <w:t>el se</w:t>
      </w:r>
      <w:r w:rsidR="00676273" w:rsidRPr="0054131B">
        <w:rPr>
          <w:rFonts w:ascii="Times New Roman" w:hAnsi="Times New Roman"/>
          <w:sz w:val="24"/>
          <w:szCs w:val="24"/>
          <w:lang w:val="es-US"/>
        </w:rPr>
        <w:t>ñor Ricardo Manuín (líder del Pueblo</w:t>
      </w:r>
      <w:r w:rsidR="00F07F3A" w:rsidRPr="0054131B">
        <w:rPr>
          <w:rFonts w:ascii="Times New Roman" w:hAnsi="Times New Roman"/>
          <w:sz w:val="24"/>
          <w:szCs w:val="24"/>
          <w:lang w:val="es-US"/>
        </w:rPr>
        <w:t xml:space="preserve"> Pichic</w:t>
      </w:r>
      <w:r w:rsidR="00584769" w:rsidRPr="0054131B">
        <w:rPr>
          <w:rFonts w:ascii="Times New Roman" w:hAnsi="Times New Roman"/>
          <w:sz w:val="24"/>
          <w:szCs w:val="24"/>
          <w:lang w:val="es-US"/>
        </w:rPr>
        <w:t>h</w:t>
      </w:r>
      <w:r w:rsidR="00F07F3A" w:rsidRPr="0054131B">
        <w:rPr>
          <w:rFonts w:ascii="Times New Roman" w:hAnsi="Times New Roman"/>
          <w:sz w:val="24"/>
          <w:szCs w:val="24"/>
          <w:lang w:val="es-US"/>
        </w:rPr>
        <w:t>a)</w:t>
      </w:r>
      <w:r w:rsidR="00016AA5" w:rsidRPr="0054131B">
        <w:rPr>
          <w:rFonts w:ascii="Times New Roman" w:hAnsi="Times New Roman"/>
          <w:sz w:val="24"/>
          <w:szCs w:val="24"/>
          <w:lang w:val="es-US"/>
        </w:rPr>
        <w:t>, motivando únicamente que la acción de amparo no</w:t>
      </w:r>
      <w:r w:rsidR="00A35630" w:rsidRPr="0054131B">
        <w:rPr>
          <w:rFonts w:ascii="Times New Roman" w:hAnsi="Times New Roman"/>
          <w:sz w:val="24"/>
          <w:szCs w:val="24"/>
          <w:lang w:val="es-US"/>
        </w:rPr>
        <w:t xml:space="preserve"> tiene un carácter resarcitorio</w:t>
      </w:r>
      <w:r w:rsidR="00016AA5" w:rsidRPr="0054131B">
        <w:rPr>
          <w:rStyle w:val="FootnoteReference"/>
          <w:rFonts w:ascii="Times New Roman" w:hAnsi="Times New Roman"/>
          <w:sz w:val="24"/>
          <w:szCs w:val="24"/>
          <w:lang w:val="es-US"/>
        </w:rPr>
        <w:footnoteReference w:id="97"/>
      </w:r>
      <w:r w:rsidR="00A35630" w:rsidRPr="0054131B">
        <w:rPr>
          <w:rFonts w:ascii="Times New Roman" w:hAnsi="Times New Roman"/>
          <w:sz w:val="24"/>
          <w:szCs w:val="24"/>
          <w:lang w:val="es-US"/>
        </w:rPr>
        <w:t>.</w:t>
      </w:r>
    </w:p>
    <w:p w:rsidR="00A35630" w:rsidRPr="0054131B" w:rsidRDefault="000A0837" w:rsidP="003B1275">
      <w:pPr>
        <w:pStyle w:val="NoSpacing"/>
        <w:widowControl w:val="0"/>
        <w:spacing w:line="480" w:lineRule="auto"/>
        <w:jc w:val="both"/>
        <w:rPr>
          <w:rFonts w:ascii="Times New Roman" w:hAnsi="Times New Roman"/>
          <w:sz w:val="24"/>
          <w:szCs w:val="24"/>
          <w:lang w:val="es-US"/>
        </w:rPr>
      </w:pPr>
      <w:r w:rsidRPr="0054131B">
        <w:rPr>
          <w:rFonts w:ascii="Times New Roman" w:hAnsi="Times New Roman"/>
          <w:sz w:val="24"/>
          <w:szCs w:val="24"/>
          <w:lang w:val="es-US"/>
        </w:rPr>
        <w:t>5</w:t>
      </w:r>
      <w:r w:rsidR="00D74870" w:rsidRPr="0054131B">
        <w:rPr>
          <w:rFonts w:ascii="Times New Roman" w:hAnsi="Times New Roman"/>
          <w:sz w:val="24"/>
          <w:szCs w:val="24"/>
          <w:lang w:val="es-US"/>
        </w:rPr>
        <w:t>1</w:t>
      </w:r>
      <w:r w:rsidRPr="0054131B">
        <w:rPr>
          <w:rFonts w:ascii="Times New Roman" w:hAnsi="Times New Roman"/>
          <w:sz w:val="24"/>
          <w:szCs w:val="24"/>
          <w:lang w:val="es-US"/>
        </w:rPr>
        <w:t xml:space="preserve">. </w:t>
      </w:r>
      <w:r w:rsidR="00016AA5" w:rsidRPr="0054131B">
        <w:rPr>
          <w:rFonts w:ascii="Times New Roman" w:hAnsi="Times New Roman"/>
          <w:sz w:val="24"/>
          <w:szCs w:val="24"/>
          <w:lang w:val="es-US"/>
        </w:rPr>
        <w:t xml:space="preserve">Este hecho </w:t>
      </w:r>
      <w:r w:rsidR="00674B4B" w:rsidRPr="0054131B">
        <w:rPr>
          <w:rFonts w:ascii="Times New Roman" w:hAnsi="Times New Roman"/>
          <w:sz w:val="24"/>
          <w:szCs w:val="24"/>
          <w:lang w:val="es-US"/>
        </w:rPr>
        <w:t xml:space="preserve">vulnera los </w:t>
      </w:r>
      <w:r w:rsidR="00016AA5" w:rsidRPr="0054131B">
        <w:rPr>
          <w:rFonts w:ascii="Times New Roman" w:hAnsi="Times New Roman"/>
          <w:sz w:val="24"/>
          <w:szCs w:val="24"/>
          <w:lang w:val="es-US"/>
        </w:rPr>
        <w:t xml:space="preserve">arts. 8 y 25 de la CADH, en tanto </w:t>
      </w:r>
      <w:r w:rsidR="00F07F3A" w:rsidRPr="0054131B">
        <w:rPr>
          <w:rFonts w:ascii="Times New Roman" w:hAnsi="Times New Roman"/>
          <w:sz w:val="24"/>
          <w:szCs w:val="24"/>
          <w:lang w:val="es-US"/>
        </w:rPr>
        <w:t>el señor Manuín no sólo requirió</w:t>
      </w:r>
      <w:r w:rsidR="00016AA5" w:rsidRPr="0054131B">
        <w:rPr>
          <w:rFonts w:ascii="Times New Roman" w:hAnsi="Times New Roman"/>
          <w:sz w:val="24"/>
          <w:szCs w:val="24"/>
          <w:lang w:val="es-US"/>
        </w:rPr>
        <w:t xml:space="preserve"> la fijación de un monto indemnizatorio, sino también, </w:t>
      </w:r>
      <w:r w:rsidR="00F07F3A" w:rsidRPr="0054131B">
        <w:rPr>
          <w:rFonts w:ascii="Times New Roman" w:hAnsi="Times New Roman"/>
          <w:sz w:val="24"/>
          <w:szCs w:val="24"/>
          <w:lang w:val="es-US"/>
        </w:rPr>
        <w:t>alegó</w:t>
      </w:r>
      <w:r w:rsidR="00032C21" w:rsidRPr="0054131B">
        <w:rPr>
          <w:rFonts w:ascii="Times New Roman" w:hAnsi="Times New Roman"/>
          <w:sz w:val="24"/>
          <w:szCs w:val="24"/>
          <w:lang w:val="es-US"/>
        </w:rPr>
        <w:t xml:space="preserve"> </w:t>
      </w:r>
      <w:r w:rsidR="00D70E3F" w:rsidRPr="0054131B">
        <w:rPr>
          <w:rFonts w:ascii="Times New Roman" w:hAnsi="Times New Roman"/>
          <w:sz w:val="24"/>
          <w:szCs w:val="24"/>
          <w:lang w:val="es-US"/>
        </w:rPr>
        <w:t xml:space="preserve">la violación de </w:t>
      </w:r>
      <w:r w:rsidR="00F07F3A" w:rsidRPr="0054131B">
        <w:rPr>
          <w:rFonts w:ascii="Times New Roman" w:hAnsi="Times New Roman"/>
          <w:sz w:val="24"/>
          <w:szCs w:val="24"/>
          <w:lang w:val="es-US"/>
        </w:rPr>
        <w:t xml:space="preserve">los </w:t>
      </w:r>
      <w:r w:rsidR="00D70E3F" w:rsidRPr="0054131B">
        <w:rPr>
          <w:rFonts w:ascii="Times New Roman" w:hAnsi="Times New Roman"/>
          <w:sz w:val="24"/>
          <w:szCs w:val="24"/>
          <w:lang w:val="es-US"/>
        </w:rPr>
        <w:t>derechos fundamentales</w:t>
      </w:r>
      <w:r w:rsidRPr="0054131B">
        <w:rPr>
          <w:rFonts w:ascii="Times New Roman" w:hAnsi="Times New Roman"/>
          <w:sz w:val="24"/>
          <w:szCs w:val="24"/>
          <w:lang w:val="es-US"/>
        </w:rPr>
        <w:t xml:space="preserve"> del Pueblo</w:t>
      </w:r>
      <w:r w:rsidR="00F07F3A" w:rsidRPr="0054131B">
        <w:rPr>
          <w:rFonts w:ascii="Times New Roman" w:hAnsi="Times New Roman"/>
          <w:sz w:val="24"/>
          <w:szCs w:val="24"/>
          <w:lang w:val="es-US"/>
        </w:rPr>
        <w:t xml:space="preserve"> Pichicha</w:t>
      </w:r>
      <w:r w:rsidR="00D70E3F" w:rsidRPr="0054131B">
        <w:rPr>
          <w:rFonts w:ascii="Times New Roman" w:hAnsi="Times New Roman"/>
          <w:sz w:val="24"/>
          <w:szCs w:val="24"/>
          <w:lang w:val="es-US"/>
        </w:rPr>
        <w:t xml:space="preserve"> por </w:t>
      </w:r>
      <w:r w:rsidR="00016AA5" w:rsidRPr="0054131B">
        <w:rPr>
          <w:rFonts w:ascii="Times New Roman" w:hAnsi="Times New Roman"/>
          <w:sz w:val="24"/>
          <w:szCs w:val="24"/>
          <w:lang w:val="es-US"/>
        </w:rPr>
        <w:t xml:space="preserve">el incumplimiento </w:t>
      </w:r>
      <w:r w:rsidR="00A35630" w:rsidRPr="0054131B">
        <w:rPr>
          <w:rFonts w:ascii="Times New Roman" w:hAnsi="Times New Roman"/>
          <w:sz w:val="24"/>
          <w:szCs w:val="24"/>
          <w:lang w:val="es-US"/>
        </w:rPr>
        <w:t xml:space="preserve">de los compromisos asumidos por </w:t>
      </w:r>
      <w:r w:rsidR="00016AA5" w:rsidRPr="0054131B">
        <w:rPr>
          <w:rFonts w:ascii="Times New Roman" w:hAnsi="Times New Roman"/>
          <w:sz w:val="24"/>
          <w:szCs w:val="24"/>
          <w:lang w:val="es-US"/>
        </w:rPr>
        <w:t xml:space="preserve">Santa Clara durante </w:t>
      </w:r>
      <w:r w:rsidR="00D70E3F" w:rsidRPr="0054131B">
        <w:rPr>
          <w:rFonts w:ascii="Times New Roman" w:hAnsi="Times New Roman"/>
          <w:sz w:val="24"/>
          <w:szCs w:val="24"/>
          <w:lang w:val="es-US"/>
        </w:rPr>
        <w:t>el proceso de</w:t>
      </w:r>
      <w:r w:rsidR="00016AA5" w:rsidRPr="0054131B">
        <w:rPr>
          <w:rFonts w:ascii="Times New Roman" w:hAnsi="Times New Roman"/>
          <w:sz w:val="24"/>
          <w:szCs w:val="24"/>
          <w:lang w:val="es-US"/>
        </w:rPr>
        <w:t xml:space="preserve"> consulta previa</w:t>
      </w:r>
      <w:r w:rsidR="00D70E3F" w:rsidRPr="0054131B">
        <w:rPr>
          <w:rFonts w:ascii="Times New Roman" w:hAnsi="Times New Roman"/>
          <w:sz w:val="24"/>
          <w:szCs w:val="24"/>
          <w:lang w:val="es-US"/>
        </w:rPr>
        <w:t xml:space="preserve"> del proyecto </w:t>
      </w:r>
      <w:r w:rsidR="00D17905" w:rsidRPr="0054131B">
        <w:rPr>
          <w:rFonts w:ascii="Times New Roman" w:hAnsi="Times New Roman"/>
          <w:sz w:val="24"/>
          <w:szCs w:val="24"/>
          <w:lang w:val="es-US"/>
        </w:rPr>
        <w:t>Wirikuya</w:t>
      </w:r>
      <w:r w:rsidR="00016AA5" w:rsidRPr="0054131B">
        <w:rPr>
          <w:rStyle w:val="FootnoteReference"/>
          <w:rFonts w:ascii="Times New Roman" w:hAnsi="Times New Roman"/>
          <w:sz w:val="24"/>
          <w:szCs w:val="24"/>
          <w:lang w:val="es-US"/>
        </w:rPr>
        <w:footnoteReference w:id="98"/>
      </w:r>
      <w:r w:rsidRPr="0054131B">
        <w:rPr>
          <w:rFonts w:ascii="Times New Roman" w:hAnsi="Times New Roman"/>
          <w:sz w:val="24"/>
          <w:szCs w:val="24"/>
          <w:lang w:val="es-US"/>
        </w:rPr>
        <w:t>. Este</w:t>
      </w:r>
      <w:r w:rsidR="00A35630" w:rsidRPr="0054131B">
        <w:rPr>
          <w:rFonts w:ascii="Times New Roman" w:hAnsi="Times New Roman"/>
          <w:sz w:val="24"/>
          <w:szCs w:val="24"/>
          <w:lang w:val="es-US"/>
        </w:rPr>
        <w:t xml:space="preserve"> alegato no fue valorado</w:t>
      </w:r>
      <w:r w:rsidR="00016AA5" w:rsidRPr="0054131B">
        <w:rPr>
          <w:rFonts w:ascii="Times New Roman" w:hAnsi="Times New Roman"/>
          <w:sz w:val="24"/>
          <w:szCs w:val="24"/>
          <w:lang w:val="es-US"/>
        </w:rPr>
        <w:t xml:space="preserve"> a pesar </w:t>
      </w:r>
      <w:r w:rsidRPr="0054131B">
        <w:rPr>
          <w:rFonts w:ascii="Times New Roman" w:hAnsi="Times New Roman"/>
          <w:sz w:val="24"/>
          <w:szCs w:val="24"/>
          <w:lang w:val="es-US"/>
        </w:rPr>
        <w:t>de</w:t>
      </w:r>
      <w:r w:rsidR="00A35630" w:rsidRPr="0054131B">
        <w:rPr>
          <w:rFonts w:ascii="Times New Roman" w:hAnsi="Times New Roman"/>
          <w:sz w:val="24"/>
          <w:szCs w:val="24"/>
          <w:lang w:val="es-US"/>
        </w:rPr>
        <w:t>:</w:t>
      </w:r>
      <w:r w:rsidR="00032C21" w:rsidRPr="0054131B">
        <w:rPr>
          <w:rFonts w:ascii="Times New Roman" w:hAnsi="Times New Roman"/>
          <w:sz w:val="24"/>
          <w:szCs w:val="24"/>
          <w:lang w:val="es-US"/>
        </w:rPr>
        <w:t xml:space="preserve"> </w:t>
      </w:r>
      <w:r w:rsidR="00A35630" w:rsidRPr="0054131B">
        <w:rPr>
          <w:rFonts w:ascii="Times New Roman" w:hAnsi="Times New Roman"/>
          <w:sz w:val="24"/>
          <w:szCs w:val="24"/>
          <w:lang w:val="es-US"/>
        </w:rPr>
        <w:t>(i)</w:t>
      </w:r>
      <w:r w:rsidR="00D70E3F" w:rsidRPr="0054131B">
        <w:rPr>
          <w:rFonts w:ascii="Times New Roman" w:hAnsi="Times New Roman"/>
          <w:sz w:val="24"/>
          <w:szCs w:val="24"/>
          <w:lang w:val="es-US"/>
        </w:rPr>
        <w:t xml:space="preserve"> la </w:t>
      </w:r>
      <w:r w:rsidRPr="0054131B">
        <w:rPr>
          <w:rFonts w:ascii="Times New Roman" w:hAnsi="Times New Roman"/>
          <w:sz w:val="24"/>
          <w:szCs w:val="24"/>
          <w:lang w:val="es-US"/>
        </w:rPr>
        <w:t>idoneidad de la acción de amparo</w:t>
      </w:r>
      <w:r w:rsidR="00032C21" w:rsidRPr="0054131B">
        <w:rPr>
          <w:rFonts w:ascii="Times New Roman" w:hAnsi="Times New Roman"/>
          <w:sz w:val="24"/>
          <w:szCs w:val="24"/>
          <w:lang w:val="es-US"/>
        </w:rPr>
        <w:t xml:space="preserve"> </w:t>
      </w:r>
      <w:r w:rsidR="00A35630" w:rsidRPr="0054131B">
        <w:rPr>
          <w:rFonts w:ascii="Times New Roman" w:hAnsi="Times New Roman"/>
          <w:sz w:val="24"/>
          <w:szCs w:val="24"/>
          <w:lang w:val="es-US"/>
        </w:rPr>
        <w:t xml:space="preserve">para conocer violaciones de </w:t>
      </w:r>
      <w:r w:rsidR="00363EAA" w:rsidRPr="0054131B">
        <w:rPr>
          <w:rFonts w:ascii="Times New Roman" w:hAnsi="Times New Roman"/>
          <w:sz w:val="24"/>
          <w:szCs w:val="24"/>
          <w:lang w:val="es-US"/>
        </w:rPr>
        <w:t>DDHH</w:t>
      </w:r>
      <w:r w:rsidR="00D70E3F" w:rsidRPr="0054131B">
        <w:rPr>
          <w:rStyle w:val="FootnoteReference"/>
          <w:rFonts w:ascii="Times New Roman" w:hAnsi="Times New Roman"/>
          <w:sz w:val="24"/>
          <w:szCs w:val="24"/>
          <w:lang w:val="es-US"/>
        </w:rPr>
        <w:footnoteReference w:id="99"/>
      </w:r>
      <w:r w:rsidR="00A35630" w:rsidRPr="0054131B">
        <w:rPr>
          <w:rFonts w:ascii="Times New Roman" w:hAnsi="Times New Roman"/>
          <w:sz w:val="24"/>
          <w:szCs w:val="24"/>
          <w:lang w:val="es-US"/>
        </w:rPr>
        <w:t xml:space="preserve">, (ii) </w:t>
      </w:r>
      <w:r w:rsidR="00DC4AB9" w:rsidRPr="0054131B">
        <w:rPr>
          <w:rFonts w:ascii="Times New Roman" w:hAnsi="Times New Roman"/>
          <w:sz w:val="24"/>
          <w:szCs w:val="24"/>
          <w:lang w:val="es-US"/>
        </w:rPr>
        <w:t xml:space="preserve">la obligación de </w:t>
      </w:r>
      <w:r w:rsidR="00016AA5" w:rsidRPr="0054131B">
        <w:rPr>
          <w:rFonts w:ascii="Times New Roman" w:hAnsi="Times New Roman"/>
          <w:sz w:val="24"/>
          <w:szCs w:val="24"/>
          <w:lang w:val="es-US"/>
        </w:rPr>
        <w:t>los operadores jurídicos</w:t>
      </w:r>
      <w:r w:rsidR="00DC4AB9" w:rsidRPr="0054131B">
        <w:rPr>
          <w:rFonts w:ascii="Times New Roman" w:hAnsi="Times New Roman"/>
          <w:sz w:val="24"/>
          <w:szCs w:val="24"/>
          <w:lang w:val="es-US"/>
        </w:rPr>
        <w:t xml:space="preserve"> de </w:t>
      </w:r>
      <w:r w:rsidR="007B76D8" w:rsidRPr="0054131B">
        <w:rPr>
          <w:rFonts w:ascii="Times New Roman" w:hAnsi="Times New Roman"/>
          <w:sz w:val="24"/>
          <w:szCs w:val="24"/>
          <w:lang w:val="es-US"/>
        </w:rPr>
        <w:t xml:space="preserve">realizar un control de </w:t>
      </w:r>
      <w:r w:rsidR="007B76D8" w:rsidRPr="0054131B">
        <w:rPr>
          <w:rFonts w:ascii="Times New Roman" w:hAnsi="Times New Roman"/>
          <w:sz w:val="24"/>
          <w:szCs w:val="24"/>
          <w:lang w:val="es-US"/>
        </w:rPr>
        <w:lastRenderedPageBreak/>
        <w:t>convencionalidad</w:t>
      </w:r>
      <w:r w:rsidR="007B76D8" w:rsidRPr="0054131B">
        <w:rPr>
          <w:rStyle w:val="FootnoteReference"/>
          <w:rFonts w:ascii="Times New Roman" w:hAnsi="Times New Roman"/>
          <w:sz w:val="24"/>
          <w:szCs w:val="24"/>
          <w:lang w:val="es-US"/>
        </w:rPr>
        <w:footnoteReference w:id="100"/>
      </w:r>
      <w:r w:rsidR="002672EE" w:rsidRPr="0054131B">
        <w:rPr>
          <w:rFonts w:ascii="Times New Roman" w:hAnsi="Times New Roman"/>
          <w:sz w:val="24"/>
          <w:szCs w:val="24"/>
          <w:lang w:val="es-US"/>
        </w:rPr>
        <w:t>,</w:t>
      </w:r>
      <w:r w:rsidR="00032C21" w:rsidRPr="0054131B">
        <w:rPr>
          <w:rFonts w:ascii="Times New Roman" w:hAnsi="Times New Roman"/>
          <w:sz w:val="24"/>
          <w:szCs w:val="24"/>
          <w:lang w:val="es-US"/>
        </w:rPr>
        <w:t xml:space="preserve"> por la cual</w:t>
      </w:r>
      <w:r w:rsidR="007B76D8" w:rsidRPr="0054131B">
        <w:rPr>
          <w:rFonts w:ascii="Times New Roman" w:hAnsi="Times New Roman"/>
          <w:sz w:val="24"/>
          <w:szCs w:val="24"/>
          <w:lang w:val="es-US"/>
        </w:rPr>
        <w:t xml:space="preserve"> </w:t>
      </w:r>
      <w:r w:rsidR="00A35630" w:rsidRPr="0054131B">
        <w:rPr>
          <w:rFonts w:ascii="Times New Roman" w:hAnsi="Times New Roman"/>
          <w:sz w:val="24"/>
          <w:szCs w:val="24"/>
          <w:lang w:val="es-US"/>
        </w:rPr>
        <w:t xml:space="preserve">la Corte Suprema de Justicia de Santa Clara, </w:t>
      </w:r>
      <w:r w:rsidR="007B76D8" w:rsidRPr="0054131B">
        <w:rPr>
          <w:rFonts w:ascii="Times New Roman" w:hAnsi="Times New Roman"/>
          <w:sz w:val="24"/>
          <w:szCs w:val="24"/>
          <w:lang w:val="es-US"/>
        </w:rPr>
        <w:t xml:space="preserve">en base a la jurisprudencia de </w:t>
      </w:r>
      <w:r w:rsidR="00E96AD1" w:rsidRPr="0054131B">
        <w:rPr>
          <w:rFonts w:ascii="Times New Roman" w:hAnsi="Times New Roman"/>
          <w:sz w:val="24"/>
          <w:szCs w:val="24"/>
          <w:lang w:val="es-US"/>
        </w:rPr>
        <w:t>la Corte IDH</w:t>
      </w:r>
      <w:r w:rsidR="007B76D8" w:rsidRPr="0054131B">
        <w:rPr>
          <w:rFonts w:ascii="Times New Roman" w:hAnsi="Times New Roman"/>
          <w:sz w:val="24"/>
          <w:szCs w:val="24"/>
          <w:lang w:val="es-US"/>
        </w:rPr>
        <w:t>, debió declarar violados los derechos de propiedad, agua, identidad cult</w:t>
      </w:r>
      <w:r w:rsidR="00DC4AB9" w:rsidRPr="0054131B">
        <w:rPr>
          <w:rFonts w:ascii="Times New Roman" w:hAnsi="Times New Roman"/>
          <w:sz w:val="24"/>
          <w:szCs w:val="24"/>
          <w:lang w:val="es-US"/>
        </w:rPr>
        <w:t>ural e integridad del Pueblo</w:t>
      </w:r>
      <w:r w:rsidR="007B76D8" w:rsidRPr="0054131B">
        <w:rPr>
          <w:rFonts w:ascii="Times New Roman" w:hAnsi="Times New Roman"/>
          <w:sz w:val="24"/>
          <w:szCs w:val="24"/>
          <w:lang w:val="es-US"/>
        </w:rPr>
        <w:t xml:space="preserve"> Pichicha, inaplicando </w:t>
      </w:r>
      <w:r w:rsidR="002672EE" w:rsidRPr="0054131B">
        <w:rPr>
          <w:rFonts w:ascii="Times New Roman" w:hAnsi="Times New Roman"/>
          <w:sz w:val="24"/>
          <w:szCs w:val="24"/>
          <w:lang w:val="es-US"/>
        </w:rPr>
        <w:t>toda disposición legal que impida su conocimiento del caso, teniendo en cuenta que</w:t>
      </w:r>
      <w:r w:rsidR="00D605DA" w:rsidRPr="0054131B">
        <w:rPr>
          <w:rFonts w:ascii="Times New Roman" w:hAnsi="Times New Roman"/>
          <w:sz w:val="24"/>
          <w:szCs w:val="24"/>
          <w:lang w:val="es-US"/>
        </w:rPr>
        <w:t xml:space="preserve"> </w:t>
      </w:r>
      <w:r w:rsidR="00A35630" w:rsidRPr="0054131B">
        <w:rPr>
          <w:rFonts w:ascii="Times New Roman" w:hAnsi="Times New Roman"/>
          <w:sz w:val="24"/>
          <w:szCs w:val="24"/>
          <w:lang w:val="es-US"/>
        </w:rPr>
        <w:t xml:space="preserve">(iii) una </w:t>
      </w:r>
      <w:r w:rsidR="00016AA5" w:rsidRPr="0054131B">
        <w:rPr>
          <w:rFonts w:ascii="Times New Roman" w:hAnsi="Times New Roman"/>
          <w:sz w:val="24"/>
          <w:szCs w:val="24"/>
          <w:lang w:val="es-US"/>
        </w:rPr>
        <w:t xml:space="preserve">sentencia es una forma de reparación </w:t>
      </w:r>
      <w:r w:rsidR="00016AA5" w:rsidRPr="0054131B">
        <w:rPr>
          <w:rFonts w:ascii="Times New Roman" w:hAnsi="Times New Roman"/>
          <w:i/>
          <w:sz w:val="24"/>
          <w:szCs w:val="24"/>
          <w:lang w:val="es-US"/>
        </w:rPr>
        <w:t>per se</w:t>
      </w:r>
      <w:r w:rsidR="00016AA5" w:rsidRPr="0054131B">
        <w:rPr>
          <w:rStyle w:val="FootnoteReference"/>
          <w:rFonts w:ascii="Times New Roman" w:hAnsi="Times New Roman"/>
          <w:sz w:val="24"/>
          <w:szCs w:val="24"/>
          <w:lang w:val="es-US"/>
        </w:rPr>
        <w:footnoteReference w:id="101"/>
      </w:r>
      <w:r w:rsidR="008B754A" w:rsidRPr="0054131B">
        <w:rPr>
          <w:rFonts w:ascii="Times New Roman" w:hAnsi="Times New Roman"/>
          <w:sz w:val="24"/>
          <w:szCs w:val="24"/>
          <w:lang w:val="es-US"/>
        </w:rPr>
        <w:t xml:space="preserve"> y por tanto, el hecho que una de las pretensio</w:t>
      </w:r>
      <w:r w:rsidR="002672EE" w:rsidRPr="0054131B">
        <w:rPr>
          <w:rFonts w:ascii="Times New Roman" w:hAnsi="Times New Roman"/>
          <w:sz w:val="24"/>
          <w:szCs w:val="24"/>
          <w:lang w:val="es-US"/>
        </w:rPr>
        <w:t>n</w:t>
      </w:r>
      <w:r w:rsidR="008B754A" w:rsidRPr="0054131B">
        <w:rPr>
          <w:rFonts w:ascii="Times New Roman" w:hAnsi="Times New Roman"/>
          <w:sz w:val="24"/>
          <w:szCs w:val="24"/>
          <w:lang w:val="es-US"/>
        </w:rPr>
        <w:t>es alegadas</w:t>
      </w:r>
      <w:r w:rsidR="002672EE" w:rsidRPr="0054131B">
        <w:rPr>
          <w:rFonts w:ascii="Times New Roman" w:hAnsi="Times New Roman"/>
          <w:sz w:val="24"/>
          <w:szCs w:val="24"/>
          <w:lang w:val="es-US"/>
        </w:rPr>
        <w:t xml:space="preserve"> quede sin materia, no debe significar que el máximo tribunal de justicia de Santa Clara, desconozca silenciosamente </w:t>
      </w:r>
      <w:r w:rsidR="008B754A" w:rsidRPr="0054131B">
        <w:rPr>
          <w:rFonts w:ascii="Times New Roman" w:hAnsi="Times New Roman"/>
          <w:sz w:val="24"/>
          <w:szCs w:val="24"/>
          <w:lang w:val="es-US"/>
        </w:rPr>
        <w:t>el resto de</w:t>
      </w:r>
      <w:r w:rsidR="00D605DA" w:rsidRPr="0054131B">
        <w:rPr>
          <w:rFonts w:ascii="Times New Roman" w:hAnsi="Times New Roman"/>
          <w:sz w:val="24"/>
          <w:szCs w:val="24"/>
          <w:lang w:val="es-US"/>
        </w:rPr>
        <w:t xml:space="preserve"> pretensiones formuladas, más aún</w:t>
      </w:r>
      <w:r w:rsidR="008B754A" w:rsidRPr="0054131B">
        <w:rPr>
          <w:rFonts w:ascii="Times New Roman" w:hAnsi="Times New Roman"/>
          <w:sz w:val="24"/>
          <w:szCs w:val="24"/>
          <w:lang w:val="es-US"/>
        </w:rPr>
        <w:t xml:space="preserve"> si</w:t>
      </w:r>
      <w:r w:rsidR="00D605DA" w:rsidRPr="0054131B">
        <w:rPr>
          <w:rFonts w:ascii="Times New Roman" w:hAnsi="Times New Roman"/>
          <w:sz w:val="24"/>
          <w:szCs w:val="24"/>
          <w:lang w:val="es-US"/>
        </w:rPr>
        <w:t xml:space="preserve"> se busca</w:t>
      </w:r>
      <w:r w:rsidR="008B754A" w:rsidRPr="0054131B">
        <w:rPr>
          <w:rFonts w:ascii="Times New Roman" w:hAnsi="Times New Roman"/>
          <w:sz w:val="24"/>
          <w:szCs w:val="24"/>
          <w:lang w:val="es-US"/>
        </w:rPr>
        <w:t xml:space="preserve"> el reconocimiento de </w:t>
      </w:r>
      <w:r w:rsidR="002672EE" w:rsidRPr="0054131B">
        <w:rPr>
          <w:rFonts w:ascii="Times New Roman" w:hAnsi="Times New Roman"/>
          <w:sz w:val="24"/>
          <w:szCs w:val="24"/>
          <w:lang w:val="es-US"/>
        </w:rPr>
        <w:t xml:space="preserve">las violaciones </w:t>
      </w:r>
      <w:r w:rsidR="008B754A" w:rsidRPr="0054131B">
        <w:rPr>
          <w:rFonts w:ascii="Times New Roman" w:hAnsi="Times New Roman"/>
          <w:sz w:val="24"/>
          <w:szCs w:val="24"/>
          <w:lang w:val="es-US"/>
        </w:rPr>
        <w:t>de los derechos fundamentales de las víctimas</w:t>
      </w:r>
      <w:r w:rsidR="00B33B0D" w:rsidRPr="0054131B">
        <w:rPr>
          <w:rFonts w:ascii="Times New Roman" w:hAnsi="Times New Roman"/>
          <w:sz w:val="24"/>
          <w:szCs w:val="24"/>
          <w:lang w:val="es-US"/>
        </w:rPr>
        <w:t>.</w:t>
      </w:r>
      <w:r w:rsidR="00D605DA" w:rsidRPr="0054131B">
        <w:rPr>
          <w:rFonts w:ascii="Times New Roman" w:hAnsi="Times New Roman"/>
          <w:sz w:val="24"/>
          <w:szCs w:val="24"/>
          <w:lang w:val="es-US"/>
        </w:rPr>
        <w:t xml:space="preserve"> </w:t>
      </w:r>
      <w:r w:rsidR="00B33B0D" w:rsidRPr="0054131B">
        <w:rPr>
          <w:rFonts w:ascii="Times New Roman" w:hAnsi="Times New Roman"/>
          <w:sz w:val="24"/>
          <w:szCs w:val="24"/>
          <w:lang w:val="es-US"/>
        </w:rPr>
        <w:t>P</w:t>
      </w:r>
      <w:r w:rsidR="008B754A" w:rsidRPr="0054131B">
        <w:rPr>
          <w:rFonts w:ascii="Times New Roman" w:hAnsi="Times New Roman"/>
          <w:sz w:val="24"/>
          <w:szCs w:val="24"/>
          <w:lang w:val="es-US"/>
        </w:rPr>
        <w:t>recisamente</w:t>
      </w:r>
      <w:r w:rsidR="00B33B0D" w:rsidRPr="0054131B">
        <w:rPr>
          <w:rFonts w:ascii="Times New Roman" w:hAnsi="Times New Roman"/>
          <w:sz w:val="24"/>
          <w:szCs w:val="24"/>
          <w:lang w:val="es-US"/>
        </w:rPr>
        <w:t>,</w:t>
      </w:r>
      <w:r w:rsidR="008B754A" w:rsidRPr="0054131B">
        <w:rPr>
          <w:rFonts w:ascii="Times New Roman" w:hAnsi="Times New Roman"/>
          <w:sz w:val="24"/>
          <w:szCs w:val="24"/>
          <w:lang w:val="es-US"/>
        </w:rPr>
        <w:t xml:space="preserve"> (iv)</w:t>
      </w:r>
      <w:r w:rsidR="00F858C8" w:rsidRPr="0054131B">
        <w:rPr>
          <w:rFonts w:ascii="Times New Roman" w:hAnsi="Times New Roman"/>
          <w:sz w:val="24"/>
          <w:szCs w:val="24"/>
          <w:lang w:val="es-US"/>
        </w:rPr>
        <w:t xml:space="preserve"> por el principio de congruencia</w:t>
      </w:r>
      <w:r w:rsidR="00B84897" w:rsidRPr="0054131B">
        <w:rPr>
          <w:rFonts w:ascii="Times New Roman" w:hAnsi="Times New Roman"/>
          <w:sz w:val="24"/>
          <w:szCs w:val="24"/>
          <w:lang w:val="es-US"/>
        </w:rPr>
        <w:t>,</w:t>
      </w:r>
      <w:r w:rsidR="00F858C8" w:rsidRPr="0054131B">
        <w:rPr>
          <w:rFonts w:ascii="Times New Roman" w:hAnsi="Times New Roman"/>
          <w:sz w:val="24"/>
          <w:szCs w:val="24"/>
          <w:lang w:val="es-US"/>
        </w:rPr>
        <w:t xml:space="preserve"> reconocido por este Tribunal</w:t>
      </w:r>
      <w:r w:rsidR="00F858C8" w:rsidRPr="0054131B">
        <w:rPr>
          <w:rStyle w:val="FootnoteReference"/>
          <w:rFonts w:ascii="Times New Roman" w:hAnsi="Times New Roman"/>
          <w:sz w:val="24"/>
          <w:szCs w:val="24"/>
          <w:lang w:val="es-US"/>
        </w:rPr>
        <w:footnoteReference w:id="102"/>
      </w:r>
      <w:r w:rsidR="008B754A" w:rsidRPr="0054131B">
        <w:rPr>
          <w:rFonts w:ascii="Times New Roman" w:hAnsi="Times New Roman"/>
          <w:sz w:val="24"/>
          <w:szCs w:val="24"/>
          <w:lang w:val="es-US"/>
        </w:rPr>
        <w:t xml:space="preserve">, </w:t>
      </w:r>
      <w:r w:rsidR="00B33B0D" w:rsidRPr="0054131B">
        <w:rPr>
          <w:rFonts w:ascii="Times New Roman" w:hAnsi="Times New Roman"/>
          <w:sz w:val="24"/>
          <w:szCs w:val="24"/>
          <w:lang w:val="es-US"/>
        </w:rPr>
        <w:t>los tribunales de alzada deben pronunciarse sobre todas las pretensiones formuladas por quien acciona el recurso impugnatorio</w:t>
      </w:r>
      <w:r w:rsidR="00F858C8" w:rsidRPr="0054131B">
        <w:rPr>
          <w:rStyle w:val="FootnoteReference"/>
          <w:rFonts w:ascii="Times New Roman" w:hAnsi="Times New Roman"/>
          <w:sz w:val="24"/>
          <w:szCs w:val="24"/>
          <w:lang w:val="es-US"/>
        </w:rPr>
        <w:footnoteReference w:id="103"/>
      </w:r>
      <w:r w:rsidR="00B33B0D" w:rsidRPr="0054131B">
        <w:rPr>
          <w:rFonts w:ascii="Times New Roman" w:hAnsi="Times New Roman"/>
          <w:sz w:val="24"/>
          <w:szCs w:val="24"/>
          <w:lang w:val="es-US"/>
        </w:rPr>
        <w:t>.</w:t>
      </w:r>
    </w:p>
    <w:p w:rsidR="00D17905" w:rsidRPr="0054131B" w:rsidRDefault="007E645A" w:rsidP="003B1275">
      <w:pPr>
        <w:pStyle w:val="NoSpacing"/>
        <w:widowControl w:val="0"/>
        <w:spacing w:line="480" w:lineRule="auto"/>
        <w:jc w:val="both"/>
        <w:rPr>
          <w:rFonts w:ascii="Times New Roman" w:hAnsi="Times New Roman"/>
          <w:sz w:val="24"/>
          <w:szCs w:val="24"/>
          <w:lang w:val="es-AR"/>
        </w:rPr>
      </w:pPr>
      <w:r w:rsidRPr="0054131B">
        <w:rPr>
          <w:rFonts w:ascii="Times New Roman" w:hAnsi="Times New Roman"/>
          <w:sz w:val="24"/>
          <w:szCs w:val="24"/>
          <w:lang w:val="es-US"/>
        </w:rPr>
        <w:t>5</w:t>
      </w:r>
      <w:r w:rsidR="00D74870" w:rsidRPr="0054131B">
        <w:rPr>
          <w:rFonts w:ascii="Times New Roman" w:hAnsi="Times New Roman"/>
          <w:sz w:val="24"/>
          <w:szCs w:val="24"/>
          <w:lang w:val="es-US"/>
        </w:rPr>
        <w:t>2</w:t>
      </w:r>
      <w:r w:rsidRPr="0054131B">
        <w:rPr>
          <w:rFonts w:ascii="Times New Roman" w:hAnsi="Times New Roman"/>
          <w:sz w:val="24"/>
          <w:szCs w:val="24"/>
          <w:lang w:val="es-US"/>
        </w:rPr>
        <w:t xml:space="preserve">. </w:t>
      </w:r>
      <w:r w:rsidR="009135F0" w:rsidRPr="0054131B">
        <w:rPr>
          <w:rFonts w:ascii="Times New Roman" w:hAnsi="Times New Roman"/>
          <w:sz w:val="24"/>
          <w:szCs w:val="24"/>
          <w:lang w:val="es-AR"/>
        </w:rPr>
        <w:t>Debido a esta ausencia de motivación judicial, el Estado de</w:t>
      </w:r>
      <w:r w:rsidR="00A35630" w:rsidRPr="0054131B">
        <w:rPr>
          <w:rFonts w:ascii="Times New Roman" w:hAnsi="Times New Roman"/>
          <w:sz w:val="24"/>
          <w:szCs w:val="24"/>
          <w:lang w:val="es-AR"/>
        </w:rPr>
        <w:t xml:space="preserve"> Santa Clara ha violado los artículos 8 y</w:t>
      </w:r>
      <w:r w:rsidR="00DC4AB9" w:rsidRPr="0054131B">
        <w:rPr>
          <w:rFonts w:ascii="Times New Roman" w:hAnsi="Times New Roman"/>
          <w:sz w:val="24"/>
          <w:szCs w:val="24"/>
          <w:lang w:val="es-AR"/>
        </w:rPr>
        <w:t xml:space="preserve"> 25 de la CADH en perjuicio del Pueblo</w:t>
      </w:r>
      <w:r w:rsidR="00A35630" w:rsidRPr="0054131B">
        <w:rPr>
          <w:rFonts w:ascii="Times New Roman" w:hAnsi="Times New Roman"/>
          <w:sz w:val="24"/>
          <w:szCs w:val="24"/>
          <w:lang w:val="es-AR"/>
        </w:rPr>
        <w:t xml:space="preserve"> Pichicha.</w:t>
      </w:r>
    </w:p>
    <w:p w:rsidR="00B84897" w:rsidRPr="0054131B" w:rsidRDefault="00B24983" w:rsidP="003B1275">
      <w:pPr>
        <w:pStyle w:val="NoSpacing"/>
        <w:widowControl w:val="0"/>
        <w:spacing w:line="480" w:lineRule="auto"/>
        <w:jc w:val="both"/>
        <w:outlineLvl w:val="2"/>
        <w:rPr>
          <w:rFonts w:ascii="Times New Roman" w:hAnsi="Times New Roman"/>
          <w:b/>
          <w:sz w:val="24"/>
          <w:szCs w:val="24"/>
        </w:rPr>
      </w:pPr>
      <w:bookmarkStart w:id="59" w:name="_Toc446715479"/>
      <w:bookmarkStart w:id="60" w:name="_Toc446716102"/>
      <w:bookmarkStart w:id="61" w:name="_Toc446716833"/>
      <w:bookmarkStart w:id="62" w:name="_Toc446717044"/>
      <w:bookmarkStart w:id="63" w:name="_Toc446776787"/>
      <w:r w:rsidRPr="0054131B">
        <w:rPr>
          <w:rFonts w:ascii="Times New Roman" w:hAnsi="Times New Roman"/>
          <w:b/>
          <w:sz w:val="24"/>
          <w:szCs w:val="24"/>
        </w:rPr>
        <w:t>B</w:t>
      </w:r>
      <w:r w:rsidR="00900B29" w:rsidRPr="0054131B">
        <w:rPr>
          <w:rFonts w:ascii="Times New Roman" w:hAnsi="Times New Roman"/>
          <w:b/>
          <w:sz w:val="24"/>
          <w:szCs w:val="24"/>
        </w:rPr>
        <w:t xml:space="preserve">.4.2 </w:t>
      </w:r>
      <w:r w:rsidR="00597895" w:rsidRPr="0054131B">
        <w:rPr>
          <w:rFonts w:ascii="Times New Roman" w:hAnsi="Times New Roman"/>
          <w:b/>
          <w:sz w:val="24"/>
          <w:szCs w:val="24"/>
        </w:rPr>
        <w:t xml:space="preserve">Violación </w:t>
      </w:r>
      <w:r w:rsidR="00900B29" w:rsidRPr="0054131B">
        <w:rPr>
          <w:rFonts w:ascii="Times New Roman" w:hAnsi="Times New Roman"/>
          <w:b/>
          <w:sz w:val="24"/>
          <w:szCs w:val="24"/>
        </w:rPr>
        <w:t>d</w:t>
      </w:r>
      <w:r w:rsidR="00DE2D0A" w:rsidRPr="0054131B">
        <w:rPr>
          <w:rFonts w:ascii="Times New Roman" w:hAnsi="Times New Roman"/>
          <w:b/>
          <w:sz w:val="24"/>
          <w:szCs w:val="24"/>
        </w:rPr>
        <w:t xml:space="preserve">el art. 21 </w:t>
      </w:r>
      <w:r w:rsidR="00900B29" w:rsidRPr="0054131B">
        <w:rPr>
          <w:rFonts w:ascii="Times New Roman" w:hAnsi="Times New Roman"/>
          <w:b/>
          <w:sz w:val="24"/>
          <w:szCs w:val="24"/>
          <w:lang w:val="es-US"/>
        </w:rPr>
        <w:t>de la CADH</w:t>
      </w:r>
      <w:r w:rsidR="00900B29" w:rsidRPr="0054131B">
        <w:rPr>
          <w:rFonts w:ascii="Times New Roman" w:hAnsi="Times New Roman"/>
          <w:b/>
          <w:sz w:val="24"/>
          <w:szCs w:val="24"/>
        </w:rPr>
        <w:t xml:space="preserve"> en perjuicio del Pueblo Pichicha</w:t>
      </w:r>
      <w:bookmarkEnd w:id="59"/>
      <w:bookmarkEnd w:id="60"/>
      <w:bookmarkEnd w:id="61"/>
      <w:bookmarkEnd w:id="62"/>
      <w:bookmarkEnd w:id="63"/>
    </w:p>
    <w:p w:rsidR="00597895" w:rsidRPr="0054131B" w:rsidRDefault="00D7487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53</w:t>
      </w:r>
      <w:r w:rsidR="00DC3907" w:rsidRPr="0054131B">
        <w:rPr>
          <w:rFonts w:ascii="Times New Roman" w:hAnsi="Times New Roman"/>
          <w:sz w:val="24"/>
          <w:szCs w:val="24"/>
        </w:rPr>
        <w:t xml:space="preserve">. </w:t>
      </w:r>
      <w:r w:rsidR="008D5E74" w:rsidRPr="0054131B">
        <w:rPr>
          <w:rFonts w:ascii="Times New Roman" w:hAnsi="Times New Roman"/>
          <w:sz w:val="24"/>
          <w:szCs w:val="24"/>
        </w:rPr>
        <w:t xml:space="preserve">En </w:t>
      </w:r>
      <w:r w:rsidR="00597895" w:rsidRPr="0054131B">
        <w:rPr>
          <w:rFonts w:ascii="Times New Roman" w:hAnsi="Times New Roman"/>
          <w:sz w:val="24"/>
          <w:szCs w:val="24"/>
        </w:rPr>
        <w:t>el caso de los pueblos indígenas, l</w:t>
      </w:r>
      <w:r w:rsidR="004C3804" w:rsidRPr="0054131B">
        <w:rPr>
          <w:rFonts w:ascii="Times New Roman" w:hAnsi="Times New Roman"/>
          <w:sz w:val="24"/>
          <w:szCs w:val="24"/>
        </w:rPr>
        <w:t>as nociones de dominio y</w:t>
      </w:r>
      <w:r w:rsidR="00DE2D0A" w:rsidRPr="0054131B">
        <w:rPr>
          <w:rFonts w:ascii="Times New Roman" w:hAnsi="Times New Roman"/>
          <w:sz w:val="24"/>
          <w:szCs w:val="24"/>
        </w:rPr>
        <w:t xml:space="preserve"> posesión sobre las tierras no </w:t>
      </w:r>
      <w:r w:rsidR="00597895" w:rsidRPr="0054131B">
        <w:rPr>
          <w:rFonts w:ascii="Times New Roman" w:hAnsi="Times New Roman"/>
          <w:sz w:val="24"/>
          <w:szCs w:val="24"/>
        </w:rPr>
        <w:t xml:space="preserve">necesariamente corresponden a la </w:t>
      </w:r>
      <w:r w:rsidR="003555A7" w:rsidRPr="0054131B">
        <w:rPr>
          <w:rFonts w:ascii="Times New Roman" w:hAnsi="Times New Roman"/>
          <w:sz w:val="24"/>
          <w:szCs w:val="24"/>
        </w:rPr>
        <w:t>concepción clásica de propiedad</w:t>
      </w:r>
      <w:r w:rsidR="00610450" w:rsidRPr="0054131B">
        <w:rPr>
          <w:rFonts w:ascii="Times New Roman" w:hAnsi="Times New Roman"/>
          <w:sz w:val="24"/>
          <w:szCs w:val="24"/>
        </w:rPr>
        <w:t>;</w:t>
      </w:r>
      <w:r w:rsidR="00C241BC" w:rsidRPr="0054131B">
        <w:rPr>
          <w:rFonts w:ascii="Times New Roman" w:hAnsi="Times New Roman"/>
          <w:sz w:val="24"/>
          <w:szCs w:val="24"/>
        </w:rPr>
        <w:t xml:space="preserve"> sin embargo</w:t>
      </w:r>
      <w:r w:rsidR="00597895" w:rsidRPr="0054131B">
        <w:rPr>
          <w:rFonts w:ascii="Times New Roman" w:hAnsi="Times New Roman"/>
          <w:sz w:val="24"/>
          <w:szCs w:val="24"/>
        </w:rPr>
        <w:t xml:space="preserve"> merecen igual protección</w:t>
      </w:r>
      <w:r w:rsidR="00597895" w:rsidRPr="0054131B">
        <w:rPr>
          <w:rStyle w:val="FootnoteReference"/>
          <w:rFonts w:ascii="Times New Roman" w:hAnsi="Times New Roman"/>
          <w:sz w:val="24"/>
          <w:szCs w:val="24"/>
        </w:rPr>
        <w:footnoteReference w:id="104"/>
      </w:r>
      <w:r w:rsidR="00597895" w:rsidRPr="0054131B">
        <w:rPr>
          <w:rFonts w:ascii="Times New Roman" w:hAnsi="Times New Roman"/>
          <w:sz w:val="24"/>
          <w:szCs w:val="24"/>
        </w:rPr>
        <w:t xml:space="preserve">. </w:t>
      </w:r>
      <w:r w:rsidR="002B229D" w:rsidRPr="0054131B">
        <w:rPr>
          <w:rFonts w:ascii="Times New Roman" w:hAnsi="Times New Roman"/>
          <w:sz w:val="24"/>
          <w:szCs w:val="24"/>
        </w:rPr>
        <w:t>En</w:t>
      </w:r>
      <w:r w:rsidR="00597895" w:rsidRPr="0054131B">
        <w:rPr>
          <w:rFonts w:ascii="Times New Roman" w:hAnsi="Times New Roman"/>
          <w:sz w:val="24"/>
          <w:szCs w:val="24"/>
        </w:rPr>
        <w:t xml:space="preserve"> los pueblos indígenas existe una tradición comunitaria</w:t>
      </w:r>
      <w:r w:rsidR="004C3804" w:rsidRPr="0054131B">
        <w:rPr>
          <w:rFonts w:ascii="Times New Roman" w:hAnsi="Times New Roman"/>
          <w:sz w:val="24"/>
          <w:szCs w:val="24"/>
        </w:rPr>
        <w:t xml:space="preserve"> sobre una forma comunal de</w:t>
      </w:r>
      <w:r w:rsidR="00597895" w:rsidRPr="0054131B">
        <w:rPr>
          <w:rFonts w:ascii="Times New Roman" w:hAnsi="Times New Roman"/>
          <w:sz w:val="24"/>
          <w:szCs w:val="24"/>
        </w:rPr>
        <w:t xml:space="preserve"> propiedad colectiva de la tierra, en el sentido de que la pertenencia de ésta no se </w:t>
      </w:r>
      <w:r w:rsidR="00597895" w:rsidRPr="0054131B">
        <w:rPr>
          <w:rFonts w:ascii="Times New Roman" w:hAnsi="Times New Roman"/>
          <w:sz w:val="24"/>
          <w:szCs w:val="24"/>
        </w:rPr>
        <w:lastRenderedPageBreak/>
        <w:t>centra en un individuo sino en el grupo y su comunidad</w:t>
      </w:r>
      <w:r w:rsidR="00597895" w:rsidRPr="0054131B">
        <w:rPr>
          <w:rStyle w:val="FootnoteReference"/>
          <w:rFonts w:ascii="Times New Roman" w:hAnsi="Times New Roman"/>
          <w:sz w:val="24"/>
          <w:szCs w:val="24"/>
        </w:rPr>
        <w:footnoteReference w:id="105"/>
      </w:r>
      <w:r w:rsidR="00597895" w:rsidRPr="0054131B">
        <w:rPr>
          <w:rFonts w:ascii="Times New Roman" w:hAnsi="Times New Roman"/>
          <w:sz w:val="24"/>
          <w:szCs w:val="24"/>
        </w:rPr>
        <w:t>.</w:t>
      </w:r>
      <w:r w:rsidR="004C3804" w:rsidRPr="0054131B">
        <w:rPr>
          <w:rFonts w:ascii="Times New Roman" w:hAnsi="Times New Roman"/>
          <w:sz w:val="24"/>
          <w:szCs w:val="24"/>
        </w:rPr>
        <w:t xml:space="preserve"> El Pueblo Pichicha mantiene una estrecha relación con la tierra, la cual debe de ser reconocida y comprendida como la base fundamental de su cultura, su vida espiritual, su integridad y su sistema económico</w:t>
      </w:r>
      <w:r w:rsidR="004C3804" w:rsidRPr="0054131B">
        <w:rPr>
          <w:rStyle w:val="FootnoteReference"/>
          <w:rFonts w:ascii="Times New Roman" w:hAnsi="Times New Roman"/>
          <w:sz w:val="24"/>
          <w:szCs w:val="24"/>
        </w:rPr>
        <w:footnoteReference w:id="106"/>
      </w:r>
      <w:r w:rsidR="004C3804" w:rsidRPr="0054131B">
        <w:rPr>
          <w:rFonts w:ascii="Times New Roman" w:hAnsi="Times New Roman"/>
          <w:sz w:val="24"/>
          <w:szCs w:val="24"/>
        </w:rPr>
        <w:t>.</w:t>
      </w:r>
      <w:r w:rsidR="00D605DA" w:rsidRPr="0054131B">
        <w:rPr>
          <w:rFonts w:ascii="Times New Roman" w:hAnsi="Times New Roman"/>
          <w:sz w:val="24"/>
          <w:szCs w:val="24"/>
        </w:rPr>
        <w:t xml:space="preserve"> </w:t>
      </w:r>
      <w:r w:rsidR="004C3804" w:rsidRPr="0054131B">
        <w:rPr>
          <w:rFonts w:ascii="Times New Roman" w:hAnsi="Times New Roman"/>
          <w:sz w:val="24"/>
          <w:szCs w:val="24"/>
        </w:rPr>
        <w:t xml:space="preserve">Bajo esta premisa, </w:t>
      </w:r>
      <w:r w:rsidR="00597895" w:rsidRPr="0054131B">
        <w:rPr>
          <w:rFonts w:ascii="Times New Roman" w:hAnsi="Times New Roman"/>
          <w:sz w:val="24"/>
          <w:szCs w:val="24"/>
        </w:rPr>
        <w:t xml:space="preserve">se demostrará la vulneración del derecho de propiedad colectiva </w:t>
      </w:r>
      <w:r w:rsidR="003555A7" w:rsidRPr="0054131B">
        <w:rPr>
          <w:rFonts w:ascii="Times New Roman" w:hAnsi="Times New Roman"/>
          <w:sz w:val="24"/>
          <w:szCs w:val="24"/>
        </w:rPr>
        <w:t>del Pueblo Pichicha.</w:t>
      </w:r>
    </w:p>
    <w:p w:rsidR="00351B57" w:rsidRPr="0054131B" w:rsidRDefault="00D74870" w:rsidP="003B1275">
      <w:pPr>
        <w:keepNext/>
        <w:widowControl w:val="0"/>
        <w:spacing w:after="0" w:line="480" w:lineRule="auto"/>
        <w:jc w:val="both"/>
        <w:rPr>
          <w:rFonts w:ascii="Times New Roman" w:hAnsi="Times New Roman"/>
          <w:sz w:val="24"/>
          <w:szCs w:val="24"/>
        </w:rPr>
      </w:pPr>
      <w:r w:rsidRPr="0054131B">
        <w:rPr>
          <w:rFonts w:ascii="Times New Roman" w:hAnsi="Times New Roman"/>
          <w:sz w:val="24"/>
          <w:szCs w:val="24"/>
        </w:rPr>
        <w:t>54</w:t>
      </w:r>
      <w:r w:rsidR="00C241BC" w:rsidRPr="0054131B">
        <w:rPr>
          <w:rFonts w:ascii="Times New Roman" w:hAnsi="Times New Roman"/>
          <w:sz w:val="24"/>
          <w:szCs w:val="24"/>
        </w:rPr>
        <w:t xml:space="preserve">. </w:t>
      </w:r>
      <w:r w:rsidR="00597895" w:rsidRPr="0054131B">
        <w:rPr>
          <w:rFonts w:ascii="Times New Roman" w:hAnsi="Times New Roman"/>
          <w:sz w:val="24"/>
          <w:szCs w:val="24"/>
        </w:rPr>
        <w:t>La Corte IDH</w:t>
      </w:r>
      <w:r w:rsidR="00C241BC" w:rsidRPr="0054131B">
        <w:rPr>
          <w:rFonts w:ascii="Times New Roman" w:hAnsi="Times New Roman"/>
          <w:sz w:val="24"/>
          <w:szCs w:val="24"/>
        </w:rPr>
        <w:t>, teniendo en cuenta las características particulares de los pueblos indígenas</w:t>
      </w:r>
      <w:r w:rsidR="00C241BC" w:rsidRPr="0054131B">
        <w:rPr>
          <w:rStyle w:val="FootnoteReference"/>
          <w:rFonts w:ascii="Times New Roman" w:hAnsi="Times New Roman"/>
          <w:sz w:val="24"/>
          <w:szCs w:val="24"/>
        </w:rPr>
        <w:footnoteReference w:id="107"/>
      </w:r>
      <w:r w:rsidR="00C241BC" w:rsidRPr="0054131B">
        <w:rPr>
          <w:rFonts w:ascii="Times New Roman" w:hAnsi="Times New Roman"/>
          <w:sz w:val="24"/>
          <w:szCs w:val="24"/>
        </w:rPr>
        <w:t>,</w:t>
      </w:r>
      <w:r w:rsidR="00597895" w:rsidRPr="0054131B">
        <w:rPr>
          <w:rFonts w:ascii="Times New Roman" w:hAnsi="Times New Roman"/>
          <w:sz w:val="24"/>
          <w:szCs w:val="24"/>
        </w:rPr>
        <w:t xml:space="preserve"> ha </w:t>
      </w:r>
      <w:r w:rsidR="001F25B2" w:rsidRPr="0054131B">
        <w:rPr>
          <w:rFonts w:ascii="Times New Roman" w:hAnsi="Times New Roman"/>
          <w:sz w:val="24"/>
          <w:szCs w:val="24"/>
        </w:rPr>
        <w:t>utilizado</w:t>
      </w:r>
      <w:r w:rsidR="00597895" w:rsidRPr="0054131B">
        <w:rPr>
          <w:rFonts w:ascii="Times New Roman" w:hAnsi="Times New Roman"/>
          <w:sz w:val="24"/>
          <w:szCs w:val="24"/>
        </w:rPr>
        <w:t xml:space="preserve"> el Convenio 169 y la </w:t>
      </w:r>
      <w:r w:rsidR="00AF0196" w:rsidRPr="0054131B">
        <w:rPr>
          <w:rFonts w:ascii="Times New Roman" w:hAnsi="Times New Roman"/>
          <w:sz w:val="24"/>
          <w:szCs w:val="24"/>
        </w:rPr>
        <w:t xml:space="preserve">Declaración de las Naciones Unidas sobre los Derechos de los Pueblos Indígenas </w:t>
      </w:r>
      <w:r w:rsidR="00597895" w:rsidRPr="0054131B">
        <w:rPr>
          <w:rFonts w:ascii="Times New Roman" w:hAnsi="Times New Roman"/>
          <w:sz w:val="24"/>
          <w:szCs w:val="24"/>
        </w:rPr>
        <w:t>para definir el deber de protección que</w:t>
      </w:r>
      <w:r w:rsidR="00D605DA" w:rsidRPr="0054131B">
        <w:rPr>
          <w:rFonts w:ascii="Times New Roman" w:hAnsi="Times New Roman"/>
          <w:sz w:val="24"/>
          <w:szCs w:val="24"/>
        </w:rPr>
        <w:t xml:space="preserve"> </w:t>
      </w:r>
      <w:r w:rsidR="00597895" w:rsidRPr="0054131B">
        <w:rPr>
          <w:rFonts w:ascii="Times New Roman" w:hAnsi="Times New Roman"/>
          <w:sz w:val="24"/>
          <w:szCs w:val="24"/>
        </w:rPr>
        <w:t>emana del art. 21 de la CADH. Estos instrumentos consagran el deber de los Estados de consultar a los pueblos indígenas antes de adoptar o aplicar medidas legislativas o administrativas</w:t>
      </w:r>
      <w:r w:rsidR="003555A7" w:rsidRPr="0054131B">
        <w:rPr>
          <w:rFonts w:ascii="Times New Roman" w:hAnsi="Times New Roman"/>
          <w:sz w:val="24"/>
          <w:szCs w:val="24"/>
        </w:rPr>
        <w:t>,</w:t>
      </w:r>
      <w:r w:rsidR="00AF0196" w:rsidRPr="0054131B">
        <w:rPr>
          <w:rFonts w:ascii="Times New Roman" w:hAnsi="Times New Roman"/>
          <w:sz w:val="24"/>
          <w:szCs w:val="24"/>
        </w:rPr>
        <w:t xml:space="preserve"> </w:t>
      </w:r>
      <w:r w:rsidR="003555A7" w:rsidRPr="0054131B">
        <w:rPr>
          <w:rFonts w:ascii="Times New Roman" w:hAnsi="Times New Roman"/>
          <w:sz w:val="24"/>
          <w:szCs w:val="24"/>
        </w:rPr>
        <w:t>que puedan</w:t>
      </w:r>
      <w:r w:rsidR="00597895" w:rsidRPr="0054131B">
        <w:rPr>
          <w:rFonts w:ascii="Times New Roman" w:hAnsi="Times New Roman"/>
          <w:sz w:val="24"/>
          <w:szCs w:val="24"/>
        </w:rPr>
        <w:t xml:space="preserve"> afectarles directamente, a fin de obtener su consentimiento libre, previo e informado</w:t>
      </w:r>
      <w:r w:rsidR="00597895" w:rsidRPr="0054131B">
        <w:rPr>
          <w:rStyle w:val="FootnoteReference"/>
          <w:rFonts w:ascii="Times New Roman" w:hAnsi="Times New Roman"/>
          <w:sz w:val="24"/>
          <w:szCs w:val="24"/>
        </w:rPr>
        <w:footnoteReference w:id="108"/>
      </w:r>
      <w:r w:rsidR="00597895" w:rsidRPr="0054131B">
        <w:rPr>
          <w:rFonts w:ascii="Times New Roman" w:hAnsi="Times New Roman"/>
          <w:sz w:val="24"/>
          <w:szCs w:val="24"/>
        </w:rPr>
        <w:t>.</w:t>
      </w:r>
      <w:r w:rsidR="00AF0196" w:rsidRPr="0054131B">
        <w:rPr>
          <w:rFonts w:ascii="Times New Roman" w:hAnsi="Times New Roman"/>
          <w:sz w:val="24"/>
          <w:szCs w:val="24"/>
        </w:rPr>
        <w:t xml:space="preserve"> </w:t>
      </w:r>
      <w:r w:rsidR="006E5725" w:rsidRPr="0054131B">
        <w:rPr>
          <w:rFonts w:ascii="Times New Roman" w:hAnsi="Times New Roman"/>
          <w:sz w:val="24"/>
          <w:szCs w:val="24"/>
        </w:rPr>
        <w:t>No está en controversia el</w:t>
      </w:r>
      <w:r w:rsidR="00597895" w:rsidRPr="0054131B">
        <w:rPr>
          <w:rFonts w:ascii="Times New Roman" w:hAnsi="Times New Roman"/>
          <w:sz w:val="24"/>
          <w:szCs w:val="24"/>
        </w:rPr>
        <w:t xml:space="preserve"> proceso de consulta</w:t>
      </w:r>
      <w:r w:rsidR="006E5725" w:rsidRPr="0054131B">
        <w:rPr>
          <w:rFonts w:ascii="Times New Roman" w:hAnsi="Times New Roman"/>
          <w:sz w:val="24"/>
          <w:szCs w:val="24"/>
        </w:rPr>
        <w:t xml:space="preserve"> previa realizado por Santa Clara</w:t>
      </w:r>
      <w:r w:rsidR="00AF0196" w:rsidRPr="0054131B">
        <w:rPr>
          <w:rFonts w:ascii="Times New Roman" w:hAnsi="Times New Roman"/>
          <w:sz w:val="24"/>
          <w:szCs w:val="24"/>
        </w:rPr>
        <w:t>, n</w:t>
      </w:r>
      <w:r w:rsidR="002A6E97" w:rsidRPr="0054131B">
        <w:rPr>
          <w:rFonts w:ascii="Times New Roman" w:hAnsi="Times New Roman"/>
          <w:sz w:val="24"/>
          <w:szCs w:val="24"/>
        </w:rPr>
        <w:t>o obstante, u</w:t>
      </w:r>
      <w:r w:rsidR="00EF5624" w:rsidRPr="0054131B">
        <w:rPr>
          <w:rFonts w:ascii="Times New Roman" w:hAnsi="Times New Roman"/>
          <w:sz w:val="24"/>
          <w:szCs w:val="24"/>
        </w:rPr>
        <w:t>na de las condiciones</w:t>
      </w:r>
      <w:r w:rsidR="002A6E97" w:rsidRPr="0054131B">
        <w:rPr>
          <w:rFonts w:ascii="Times New Roman" w:hAnsi="Times New Roman"/>
          <w:sz w:val="24"/>
          <w:szCs w:val="24"/>
        </w:rPr>
        <w:t>, que el Pueblo Pichicha estableció para aceptar</w:t>
      </w:r>
      <w:r w:rsidR="00AF0196" w:rsidRPr="0054131B">
        <w:rPr>
          <w:rFonts w:ascii="Times New Roman" w:hAnsi="Times New Roman"/>
          <w:sz w:val="24"/>
          <w:szCs w:val="24"/>
        </w:rPr>
        <w:t xml:space="preserve"> </w:t>
      </w:r>
      <w:r w:rsidR="002A6E97" w:rsidRPr="0054131B">
        <w:rPr>
          <w:rFonts w:ascii="Times New Roman" w:hAnsi="Times New Roman"/>
          <w:sz w:val="24"/>
          <w:szCs w:val="24"/>
        </w:rPr>
        <w:t xml:space="preserve">el proyecto minero Wirikuya, </w:t>
      </w:r>
      <w:r w:rsidR="007B1796" w:rsidRPr="0054131B">
        <w:rPr>
          <w:rFonts w:ascii="Times New Roman" w:hAnsi="Times New Roman"/>
          <w:sz w:val="24"/>
          <w:szCs w:val="24"/>
        </w:rPr>
        <w:t xml:space="preserve">fue </w:t>
      </w:r>
      <w:r w:rsidR="00AE067E" w:rsidRPr="0054131B">
        <w:rPr>
          <w:rFonts w:ascii="Times New Roman" w:hAnsi="Times New Roman"/>
          <w:sz w:val="24"/>
          <w:szCs w:val="24"/>
        </w:rPr>
        <w:t>la</w:t>
      </w:r>
      <w:r w:rsidR="00597895" w:rsidRPr="0054131B">
        <w:rPr>
          <w:rFonts w:ascii="Times New Roman" w:hAnsi="Times New Roman"/>
          <w:sz w:val="24"/>
          <w:szCs w:val="24"/>
        </w:rPr>
        <w:t xml:space="preserve"> prohibición expresa del ingreso a las adyacencias del Riachue</w:t>
      </w:r>
      <w:r w:rsidR="00AF0196" w:rsidRPr="0054131B">
        <w:rPr>
          <w:rFonts w:ascii="Times New Roman" w:hAnsi="Times New Roman"/>
          <w:sz w:val="24"/>
          <w:szCs w:val="24"/>
        </w:rPr>
        <w:t>lo de Mandí. Pese a la intangibilidad de esta fuente sagrada</w:t>
      </w:r>
      <w:r w:rsidR="008556AE" w:rsidRPr="0054131B">
        <w:rPr>
          <w:rFonts w:ascii="Times New Roman" w:hAnsi="Times New Roman"/>
          <w:sz w:val="24"/>
          <w:szCs w:val="24"/>
        </w:rPr>
        <w:t>, la</w:t>
      </w:r>
      <w:r w:rsidR="00AF0196" w:rsidRPr="0054131B">
        <w:rPr>
          <w:rFonts w:ascii="Times New Roman" w:hAnsi="Times New Roman"/>
          <w:sz w:val="24"/>
          <w:szCs w:val="24"/>
        </w:rPr>
        <w:t xml:space="preserve"> </w:t>
      </w:r>
      <w:r w:rsidR="008556AE" w:rsidRPr="0054131B">
        <w:rPr>
          <w:rFonts w:ascii="Times New Roman" w:hAnsi="Times New Roman"/>
          <w:sz w:val="24"/>
          <w:szCs w:val="24"/>
        </w:rPr>
        <w:t>SEFAH</w:t>
      </w:r>
      <w:r w:rsidR="00597895" w:rsidRPr="0054131B">
        <w:rPr>
          <w:rFonts w:ascii="Times New Roman" w:hAnsi="Times New Roman"/>
          <w:sz w:val="24"/>
          <w:szCs w:val="24"/>
        </w:rPr>
        <w:t xml:space="preserve"> dispuso</w:t>
      </w:r>
      <w:r w:rsidR="00AF0196" w:rsidRPr="0054131B">
        <w:rPr>
          <w:rFonts w:ascii="Times New Roman" w:hAnsi="Times New Roman"/>
          <w:sz w:val="24"/>
          <w:szCs w:val="24"/>
        </w:rPr>
        <w:t xml:space="preserve"> su </w:t>
      </w:r>
      <w:r w:rsidR="008556AE" w:rsidRPr="0054131B">
        <w:rPr>
          <w:rFonts w:ascii="Times New Roman" w:hAnsi="Times New Roman"/>
          <w:sz w:val="24"/>
          <w:szCs w:val="24"/>
        </w:rPr>
        <w:t>utilización</w:t>
      </w:r>
      <w:r w:rsidR="00597895" w:rsidRPr="0054131B">
        <w:rPr>
          <w:rFonts w:ascii="Times New Roman" w:hAnsi="Times New Roman"/>
          <w:sz w:val="24"/>
          <w:szCs w:val="24"/>
        </w:rPr>
        <w:t>, medida que ocasionó daños irreparables en s</w:t>
      </w:r>
      <w:r w:rsidR="000D40CE" w:rsidRPr="0054131B">
        <w:rPr>
          <w:rFonts w:ascii="Times New Roman" w:hAnsi="Times New Roman"/>
          <w:sz w:val="24"/>
          <w:szCs w:val="24"/>
        </w:rPr>
        <w:t xml:space="preserve">itios sagrados </w:t>
      </w:r>
      <w:r w:rsidR="001D1886" w:rsidRPr="0054131B">
        <w:rPr>
          <w:rFonts w:ascii="Times New Roman" w:hAnsi="Times New Roman"/>
          <w:sz w:val="24"/>
          <w:szCs w:val="24"/>
        </w:rPr>
        <w:t xml:space="preserve">cercanos a ésta </w:t>
      </w:r>
      <w:r w:rsidR="000D40CE" w:rsidRPr="0054131B">
        <w:rPr>
          <w:rFonts w:ascii="Times New Roman" w:hAnsi="Times New Roman"/>
          <w:sz w:val="24"/>
          <w:szCs w:val="24"/>
        </w:rPr>
        <w:t>y que vulneró</w:t>
      </w:r>
      <w:r w:rsidR="00AE41B7" w:rsidRPr="0054131B">
        <w:rPr>
          <w:rFonts w:ascii="Times New Roman" w:hAnsi="Times New Roman"/>
          <w:sz w:val="24"/>
          <w:szCs w:val="24"/>
        </w:rPr>
        <w:t xml:space="preserve"> e</w:t>
      </w:r>
      <w:r w:rsidR="00597895" w:rsidRPr="0054131B">
        <w:rPr>
          <w:rFonts w:ascii="Times New Roman" w:hAnsi="Times New Roman"/>
          <w:sz w:val="24"/>
          <w:szCs w:val="24"/>
        </w:rPr>
        <w:t>l derecho de propiedad colectiva.</w:t>
      </w:r>
    </w:p>
    <w:p w:rsidR="00B4086F" w:rsidRPr="0054131B" w:rsidRDefault="00D74870" w:rsidP="003B1275">
      <w:pPr>
        <w:widowControl w:val="0"/>
        <w:autoSpaceDE w:val="0"/>
        <w:autoSpaceDN w:val="0"/>
        <w:adjustRightInd w:val="0"/>
        <w:spacing w:after="0" w:line="480" w:lineRule="auto"/>
        <w:jc w:val="both"/>
        <w:rPr>
          <w:rFonts w:ascii="Times New Roman" w:hAnsi="Times New Roman"/>
          <w:iCs/>
          <w:sz w:val="24"/>
          <w:szCs w:val="24"/>
        </w:rPr>
      </w:pPr>
      <w:r w:rsidRPr="0054131B">
        <w:rPr>
          <w:rFonts w:ascii="Times New Roman" w:hAnsi="Times New Roman"/>
          <w:sz w:val="24"/>
          <w:szCs w:val="24"/>
          <w:lang w:val="es-US"/>
        </w:rPr>
        <w:t>55</w:t>
      </w:r>
      <w:r w:rsidR="00B4086F" w:rsidRPr="0054131B">
        <w:rPr>
          <w:rFonts w:ascii="Times New Roman" w:hAnsi="Times New Roman"/>
          <w:sz w:val="24"/>
          <w:szCs w:val="24"/>
          <w:lang w:val="es-US"/>
        </w:rPr>
        <w:t xml:space="preserve">. La Corte IDH ha señalado </w:t>
      </w:r>
      <w:r w:rsidR="00B4086F" w:rsidRPr="0054131B">
        <w:rPr>
          <w:rFonts w:ascii="Times New Roman" w:hAnsi="Times New Roman"/>
          <w:iCs/>
          <w:sz w:val="24"/>
          <w:szCs w:val="24"/>
        </w:rPr>
        <w:t>debe escogerse la medida que restrinja, en menor escala, el</w:t>
      </w:r>
      <w:r w:rsidR="00AF0196" w:rsidRPr="0054131B">
        <w:rPr>
          <w:rFonts w:ascii="Times New Roman" w:hAnsi="Times New Roman"/>
          <w:iCs/>
          <w:sz w:val="24"/>
          <w:szCs w:val="24"/>
        </w:rPr>
        <w:t xml:space="preserve"> </w:t>
      </w:r>
      <w:r w:rsidR="00B4086F" w:rsidRPr="0054131B">
        <w:rPr>
          <w:rFonts w:ascii="Times New Roman" w:hAnsi="Times New Roman"/>
          <w:iCs/>
          <w:sz w:val="24"/>
          <w:szCs w:val="24"/>
        </w:rPr>
        <w:t>derecho protegido</w:t>
      </w:r>
      <w:r w:rsidR="00B4086F" w:rsidRPr="0054131B">
        <w:rPr>
          <w:rStyle w:val="FootnoteReference"/>
          <w:rFonts w:ascii="Times New Roman" w:hAnsi="Times New Roman"/>
          <w:sz w:val="24"/>
          <w:szCs w:val="24"/>
        </w:rPr>
        <w:footnoteReference w:id="109"/>
      </w:r>
      <w:r w:rsidR="00B4086F" w:rsidRPr="0054131B">
        <w:rPr>
          <w:rFonts w:ascii="Times New Roman" w:hAnsi="Times New Roman"/>
          <w:sz w:val="24"/>
          <w:szCs w:val="24"/>
        </w:rPr>
        <w:t xml:space="preserve">. Sin embargo, el Estado escogió la medida más gravosa, pues ésta afectó la relación sagrada que tiene el Pueblo Pichicha con el Riachuelo de Mandí; relación necesaria para </w:t>
      </w:r>
      <w:r w:rsidR="00B4086F" w:rsidRPr="0054131B">
        <w:rPr>
          <w:rFonts w:ascii="Times New Roman" w:hAnsi="Times New Roman"/>
          <w:sz w:val="24"/>
          <w:szCs w:val="24"/>
        </w:rPr>
        <w:lastRenderedPageBreak/>
        <w:t>la continuidad de su cosmovisión y para su supervivencia física y cultural</w:t>
      </w:r>
      <w:r w:rsidR="00B4086F" w:rsidRPr="0054131B">
        <w:rPr>
          <w:rStyle w:val="FootnoteReference"/>
          <w:rFonts w:ascii="Times New Roman" w:hAnsi="Times New Roman"/>
          <w:sz w:val="24"/>
          <w:szCs w:val="24"/>
        </w:rPr>
        <w:footnoteReference w:id="110"/>
      </w:r>
      <w:r w:rsidR="00B4086F" w:rsidRPr="0054131B">
        <w:rPr>
          <w:rFonts w:ascii="Times New Roman" w:hAnsi="Times New Roman"/>
          <w:sz w:val="24"/>
          <w:szCs w:val="24"/>
        </w:rPr>
        <w:t xml:space="preserve">. Si bien el derecho de propiedad no es absoluto, </w:t>
      </w:r>
      <w:r w:rsidR="00E96AD1" w:rsidRPr="0054131B">
        <w:rPr>
          <w:rFonts w:ascii="Times New Roman" w:hAnsi="Times New Roman"/>
          <w:sz w:val="24"/>
          <w:szCs w:val="24"/>
        </w:rPr>
        <w:t>la Corte IDH</w:t>
      </w:r>
      <w:r w:rsidR="00B4086F" w:rsidRPr="0054131B">
        <w:rPr>
          <w:rFonts w:ascii="Times New Roman" w:hAnsi="Times New Roman"/>
          <w:sz w:val="24"/>
          <w:szCs w:val="24"/>
        </w:rPr>
        <w:t xml:space="preserve"> ha señalado que una limitación o restricción al goce y uso de las tierras y recursos naturales de los pueblos indígenas, no debe implicar una denegación a sus tradiciones y costumbres, de un modo que no se ponga en peligro su propia subsistencia y la de sus integrantes</w:t>
      </w:r>
      <w:r w:rsidR="00B4086F" w:rsidRPr="0054131B">
        <w:rPr>
          <w:rStyle w:val="FootnoteReference"/>
          <w:rFonts w:ascii="Times New Roman" w:hAnsi="Times New Roman"/>
          <w:sz w:val="24"/>
          <w:szCs w:val="24"/>
        </w:rPr>
        <w:footnoteReference w:id="111"/>
      </w:r>
      <w:r w:rsidR="00B4086F" w:rsidRPr="0054131B">
        <w:rPr>
          <w:rFonts w:ascii="Times New Roman" w:hAnsi="Times New Roman"/>
          <w:sz w:val="24"/>
          <w:szCs w:val="24"/>
        </w:rPr>
        <w:t>. La utilización del Riachuelo de Mandí, constituyó una restricción que afectó el ámbito más sagrado del pueblo.</w:t>
      </w:r>
    </w:p>
    <w:p w:rsidR="001718CE" w:rsidRPr="0054131B" w:rsidRDefault="00D74870" w:rsidP="003B1275">
      <w:pPr>
        <w:widowControl w:val="0"/>
        <w:autoSpaceDE w:val="0"/>
        <w:autoSpaceDN w:val="0"/>
        <w:adjustRightInd w:val="0"/>
        <w:spacing w:after="0" w:line="480" w:lineRule="auto"/>
        <w:jc w:val="both"/>
        <w:rPr>
          <w:rFonts w:ascii="Times New Roman" w:hAnsi="Times New Roman"/>
          <w:iCs/>
          <w:sz w:val="24"/>
          <w:szCs w:val="24"/>
        </w:rPr>
      </w:pPr>
      <w:r w:rsidRPr="0054131B">
        <w:rPr>
          <w:rFonts w:ascii="Times New Roman" w:hAnsi="Times New Roman"/>
          <w:sz w:val="24"/>
          <w:szCs w:val="24"/>
        </w:rPr>
        <w:t>56</w:t>
      </w:r>
      <w:r w:rsidR="001D1886" w:rsidRPr="0054131B">
        <w:rPr>
          <w:rFonts w:ascii="Times New Roman" w:hAnsi="Times New Roman"/>
          <w:sz w:val="24"/>
          <w:szCs w:val="24"/>
        </w:rPr>
        <w:t xml:space="preserve">. </w:t>
      </w:r>
      <w:r w:rsidR="003A0122" w:rsidRPr="0054131B">
        <w:rPr>
          <w:rFonts w:ascii="Times New Roman" w:hAnsi="Times New Roman"/>
          <w:sz w:val="24"/>
          <w:szCs w:val="24"/>
        </w:rPr>
        <w:t>En efecto, l</w:t>
      </w:r>
      <w:r w:rsidR="00597895" w:rsidRPr="0054131B">
        <w:rPr>
          <w:rFonts w:ascii="Times New Roman" w:hAnsi="Times New Roman"/>
          <w:sz w:val="24"/>
          <w:szCs w:val="24"/>
        </w:rPr>
        <w:t xml:space="preserve">as limitaciones o restricciones al ejercicio por parte de </w:t>
      </w:r>
      <w:r w:rsidR="004949D5" w:rsidRPr="0054131B">
        <w:rPr>
          <w:rFonts w:ascii="Times New Roman" w:hAnsi="Times New Roman"/>
          <w:sz w:val="24"/>
          <w:szCs w:val="24"/>
        </w:rPr>
        <w:t>los pueblos indígenas</w:t>
      </w:r>
      <w:r w:rsidR="00597895" w:rsidRPr="0054131B">
        <w:rPr>
          <w:rFonts w:ascii="Times New Roman" w:hAnsi="Times New Roman"/>
          <w:sz w:val="24"/>
          <w:szCs w:val="24"/>
        </w:rPr>
        <w:t xml:space="preserve"> a la propiedad sobre sus tierras, territorios y recursos n</w:t>
      </w:r>
      <w:r w:rsidR="00576ED1" w:rsidRPr="0054131B">
        <w:rPr>
          <w:rFonts w:ascii="Times New Roman" w:hAnsi="Times New Roman"/>
          <w:sz w:val="24"/>
          <w:szCs w:val="24"/>
        </w:rPr>
        <w:t>aturales, deben ser necesarias,</w:t>
      </w:r>
      <w:r w:rsidR="00597895" w:rsidRPr="0054131B">
        <w:rPr>
          <w:rFonts w:ascii="Times New Roman" w:hAnsi="Times New Roman"/>
          <w:sz w:val="24"/>
          <w:szCs w:val="24"/>
        </w:rPr>
        <w:t xml:space="preserve"> estar establecidas por ley y responder a un objetivo legí</w:t>
      </w:r>
      <w:r w:rsidR="004949D5" w:rsidRPr="0054131B">
        <w:rPr>
          <w:rFonts w:ascii="Times New Roman" w:hAnsi="Times New Roman"/>
          <w:sz w:val="24"/>
          <w:szCs w:val="24"/>
        </w:rPr>
        <w:t>timo</w:t>
      </w:r>
      <w:r w:rsidR="00597895" w:rsidRPr="0054131B">
        <w:rPr>
          <w:rStyle w:val="FootnoteReference"/>
          <w:rFonts w:ascii="Times New Roman" w:hAnsi="Times New Roman"/>
          <w:sz w:val="24"/>
          <w:szCs w:val="24"/>
        </w:rPr>
        <w:footnoteReference w:id="112"/>
      </w:r>
      <w:r w:rsidR="00597895" w:rsidRPr="0054131B">
        <w:rPr>
          <w:rFonts w:ascii="Times New Roman" w:hAnsi="Times New Roman"/>
          <w:sz w:val="24"/>
          <w:szCs w:val="24"/>
        </w:rPr>
        <w:t xml:space="preserve">. </w:t>
      </w:r>
      <w:r w:rsidR="00B93055" w:rsidRPr="0054131B">
        <w:rPr>
          <w:rFonts w:ascii="Times New Roman" w:hAnsi="Times New Roman"/>
          <w:sz w:val="24"/>
          <w:szCs w:val="24"/>
        </w:rPr>
        <w:t>Si bien</w:t>
      </w:r>
      <w:r w:rsidR="00597895" w:rsidRPr="0054131B">
        <w:rPr>
          <w:rFonts w:ascii="Times New Roman" w:hAnsi="Times New Roman"/>
          <w:sz w:val="24"/>
          <w:szCs w:val="24"/>
        </w:rPr>
        <w:t xml:space="preserve"> la situación de emergencia producida a raíz de la c</w:t>
      </w:r>
      <w:r w:rsidR="00FD29F4" w:rsidRPr="0054131B">
        <w:rPr>
          <w:rFonts w:ascii="Times New Roman" w:hAnsi="Times New Roman"/>
          <w:sz w:val="24"/>
          <w:szCs w:val="24"/>
        </w:rPr>
        <w:t>ontaminación de la laguna</w:t>
      </w:r>
      <w:r w:rsidR="00C022E5" w:rsidRPr="0054131B">
        <w:rPr>
          <w:rFonts w:ascii="Times New Roman" w:hAnsi="Times New Roman"/>
          <w:sz w:val="24"/>
          <w:szCs w:val="24"/>
        </w:rPr>
        <w:t xml:space="preserve"> </w:t>
      </w:r>
      <w:r w:rsidR="00B93055" w:rsidRPr="0054131B">
        <w:rPr>
          <w:rFonts w:ascii="Times New Roman" w:hAnsi="Times New Roman"/>
          <w:sz w:val="24"/>
          <w:szCs w:val="24"/>
        </w:rPr>
        <w:t>Pampulla</w:t>
      </w:r>
      <w:r w:rsidR="00597895" w:rsidRPr="0054131B">
        <w:rPr>
          <w:rFonts w:ascii="Times New Roman" w:hAnsi="Times New Roman"/>
          <w:sz w:val="24"/>
          <w:szCs w:val="24"/>
        </w:rPr>
        <w:t xml:space="preserve"> a</w:t>
      </w:r>
      <w:r w:rsidR="00B93055" w:rsidRPr="0054131B">
        <w:rPr>
          <w:rFonts w:ascii="Times New Roman" w:hAnsi="Times New Roman"/>
          <w:sz w:val="24"/>
          <w:szCs w:val="24"/>
        </w:rPr>
        <w:t>meritaba la captación de agua,</w:t>
      </w:r>
      <w:r w:rsidR="00C022E5" w:rsidRPr="0054131B">
        <w:rPr>
          <w:rFonts w:ascii="Times New Roman" w:hAnsi="Times New Roman"/>
          <w:sz w:val="24"/>
          <w:szCs w:val="24"/>
        </w:rPr>
        <w:t xml:space="preserve"> </w:t>
      </w:r>
      <w:r w:rsidR="00597895" w:rsidRPr="0054131B">
        <w:rPr>
          <w:rFonts w:ascii="Times New Roman" w:hAnsi="Times New Roman"/>
          <w:sz w:val="24"/>
          <w:szCs w:val="24"/>
        </w:rPr>
        <w:t>la uti</w:t>
      </w:r>
      <w:r w:rsidR="00B93055" w:rsidRPr="0054131B">
        <w:rPr>
          <w:rFonts w:ascii="Times New Roman" w:hAnsi="Times New Roman"/>
          <w:sz w:val="24"/>
          <w:szCs w:val="24"/>
        </w:rPr>
        <w:t>lización del Riachuelo de Mandí no estuvo establecida por una ley</w:t>
      </w:r>
      <w:r w:rsidR="00576ED1" w:rsidRPr="0054131B">
        <w:rPr>
          <w:rFonts w:ascii="Times New Roman" w:hAnsi="Times New Roman"/>
          <w:sz w:val="24"/>
          <w:szCs w:val="24"/>
        </w:rPr>
        <w:t xml:space="preserve"> y</w:t>
      </w:r>
      <w:r w:rsidR="00B93055" w:rsidRPr="0054131B">
        <w:rPr>
          <w:rFonts w:ascii="Times New Roman" w:hAnsi="Times New Roman"/>
          <w:sz w:val="24"/>
          <w:szCs w:val="24"/>
        </w:rPr>
        <w:t xml:space="preserve"> fue innecesaria</w:t>
      </w:r>
      <w:r w:rsidR="00597895" w:rsidRPr="0054131B">
        <w:rPr>
          <w:rFonts w:ascii="Times New Roman" w:hAnsi="Times New Roman"/>
          <w:sz w:val="24"/>
          <w:szCs w:val="24"/>
        </w:rPr>
        <w:t xml:space="preserve">. </w:t>
      </w:r>
    </w:p>
    <w:p w:rsidR="009A0AED" w:rsidRPr="0054131B" w:rsidRDefault="00D74870" w:rsidP="003B1275">
      <w:pPr>
        <w:widowControl w:val="0"/>
        <w:autoSpaceDE w:val="0"/>
        <w:autoSpaceDN w:val="0"/>
        <w:adjustRightInd w:val="0"/>
        <w:spacing w:after="0" w:line="480" w:lineRule="auto"/>
        <w:jc w:val="both"/>
        <w:rPr>
          <w:rFonts w:ascii="Times New Roman" w:hAnsi="Times New Roman"/>
          <w:iCs/>
          <w:sz w:val="24"/>
          <w:szCs w:val="24"/>
        </w:rPr>
      </w:pPr>
      <w:r w:rsidRPr="0054131B">
        <w:rPr>
          <w:rFonts w:ascii="Times New Roman" w:hAnsi="Times New Roman"/>
          <w:iCs/>
          <w:sz w:val="24"/>
          <w:szCs w:val="24"/>
        </w:rPr>
        <w:t>57</w:t>
      </w:r>
      <w:r w:rsidR="009A0AED" w:rsidRPr="0054131B">
        <w:rPr>
          <w:rFonts w:ascii="Times New Roman" w:hAnsi="Times New Roman"/>
          <w:iCs/>
          <w:sz w:val="24"/>
          <w:szCs w:val="24"/>
        </w:rPr>
        <w:t>. Los arts. 21 y 30 de la CADH señalan que el derecho de propiedad sólo puede ser restringido por una</w:t>
      </w:r>
      <w:r w:rsidR="00D03DEA" w:rsidRPr="0054131B">
        <w:rPr>
          <w:rFonts w:ascii="Times New Roman" w:hAnsi="Times New Roman"/>
          <w:iCs/>
          <w:sz w:val="24"/>
          <w:szCs w:val="24"/>
        </w:rPr>
        <w:t xml:space="preserve"> ley</w:t>
      </w:r>
      <w:r w:rsidR="00D14992" w:rsidRPr="0054131B">
        <w:rPr>
          <w:rFonts w:ascii="Times New Roman" w:hAnsi="Times New Roman"/>
          <w:iCs/>
          <w:sz w:val="24"/>
          <w:szCs w:val="24"/>
        </w:rPr>
        <w:t xml:space="preserve"> (norma</w:t>
      </w:r>
      <w:r w:rsidR="00D03DEA" w:rsidRPr="0054131B">
        <w:rPr>
          <w:rFonts w:ascii="Times New Roman" w:hAnsi="Times New Roman"/>
          <w:iCs/>
          <w:sz w:val="24"/>
          <w:szCs w:val="24"/>
        </w:rPr>
        <w:t xml:space="preserve"> emitida por el órgano constitucionalmente facultado para ello</w:t>
      </w:r>
      <w:r w:rsidR="00D03DEA" w:rsidRPr="0054131B">
        <w:rPr>
          <w:rStyle w:val="FootnoteReference"/>
          <w:rFonts w:ascii="Times New Roman" w:hAnsi="Times New Roman"/>
          <w:iCs/>
          <w:sz w:val="24"/>
          <w:szCs w:val="24"/>
        </w:rPr>
        <w:footnoteReference w:id="113"/>
      </w:r>
      <w:r w:rsidR="00D14992" w:rsidRPr="0054131B">
        <w:rPr>
          <w:rFonts w:ascii="Times New Roman" w:hAnsi="Times New Roman"/>
          <w:iCs/>
          <w:sz w:val="24"/>
          <w:szCs w:val="24"/>
        </w:rPr>
        <w:t>)</w:t>
      </w:r>
      <w:r w:rsidR="00D03DEA" w:rsidRPr="0054131B">
        <w:rPr>
          <w:rFonts w:ascii="Times New Roman" w:hAnsi="Times New Roman"/>
          <w:iCs/>
          <w:sz w:val="24"/>
          <w:szCs w:val="24"/>
        </w:rPr>
        <w:t>,  no por una resoluci</w:t>
      </w:r>
      <w:r w:rsidR="00D14992" w:rsidRPr="0054131B">
        <w:rPr>
          <w:rFonts w:ascii="Times New Roman" w:hAnsi="Times New Roman"/>
          <w:iCs/>
          <w:sz w:val="24"/>
          <w:szCs w:val="24"/>
        </w:rPr>
        <w:t>ón administrativa emitida por una secretaría federal.</w:t>
      </w:r>
    </w:p>
    <w:p w:rsidR="00B66BF4" w:rsidRPr="0054131B" w:rsidRDefault="00D74870" w:rsidP="003B1275">
      <w:pPr>
        <w:widowControl w:val="0"/>
        <w:autoSpaceDE w:val="0"/>
        <w:autoSpaceDN w:val="0"/>
        <w:adjustRightInd w:val="0"/>
        <w:spacing w:after="0" w:line="480" w:lineRule="auto"/>
        <w:jc w:val="both"/>
        <w:rPr>
          <w:rFonts w:ascii="Times New Roman" w:hAnsi="Times New Roman"/>
          <w:sz w:val="24"/>
          <w:szCs w:val="24"/>
          <w:lang w:val="es-US"/>
        </w:rPr>
      </w:pPr>
      <w:r w:rsidRPr="0054131B">
        <w:rPr>
          <w:rFonts w:ascii="Times New Roman" w:hAnsi="Times New Roman"/>
          <w:sz w:val="24"/>
          <w:szCs w:val="24"/>
        </w:rPr>
        <w:t>58</w:t>
      </w:r>
      <w:r w:rsidR="00B93055" w:rsidRPr="0054131B">
        <w:rPr>
          <w:rFonts w:ascii="Times New Roman" w:hAnsi="Times New Roman"/>
          <w:sz w:val="24"/>
          <w:szCs w:val="24"/>
        </w:rPr>
        <w:t>.</w:t>
      </w:r>
      <w:r w:rsidRPr="0054131B">
        <w:rPr>
          <w:rFonts w:ascii="Times New Roman" w:hAnsi="Times New Roman"/>
          <w:sz w:val="24"/>
          <w:szCs w:val="24"/>
        </w:rPr>
        <w:t xml:space="preserve"> </w:t>
      </w:r>
      <w:r w:rsidR="009375BB" w:rsidRPr="0054131B">
        <w:rPr>
          <w:rFonts w:ascii="Times New Roman" w:hAnsi="Times New Roman"/>
          <w:sz w:val="24"/>
          <w:szCs w:val="24"/>
        </w:rPr>
        <w:t xml:space="preserve">Respecto a la necesidad, el propio Estado admitió que </w:t>
      </w:r>
      <w:r w:rsidR="00576ED1" w:rsidRPr="0054131B">
        <w:rPr>
          <w:rFonts w:ascii="Times New Roman" w:hAnsi="Times New Roman"/>
          <w:sz w:val="24"/>
          <w:szCs w:val="24"/>
        </w:rPr>
        <w:t xml:space="preserve">existían otras fuentes de captación de agua, por lo que </w:t>
      </w:r>
      <w:r w:rsidR="003E35A0" w:rsidRPr="0054131B">
        <w:rPr>
          <w:rFonts w:ascii="Times New Roman" w:hAnsi="Times New Roman"/>
          <w:sz w:val="24"/>
          <w:szCs w:val="24"/>
        </w:rPr>
        <w:t>la</w:t>
      </w:r>
      <w:r w:rsidR="00597895" w:rsidRPr="0054131B">
        <w:rPr>
          <w:rFonts w:ascii="Times New Roman" w:hAnsi="Times New Roman"/>
          <w:sz w:val="24"/>
          <w:szCs w:val="24"/>
        </w:rPr>
        <w:t xml:space="preserve"> medida tomada por la SEFAH</w:t>
      </w:r>
      <w:r w:rsidR="00C022E5" w:rsidRPr="0054131B">
        <w:rPr>
          <w:rFonts w:ascii="Times New Roman" w:hAnsi="Times New Roman"/>
          <w:sz w:val="24"/>
          <w:szCs w:val="24"/>
        </w:rPr>
        <w:t xml:space="preserve"> </w:t>
      </w:r>
      <w:r w:rsidR="00576ED1" w:rsidRPr="0054131B">
        <w:rPr>
          <w:rFonts w:ascii="Times New Roman" w:hAnsi="Times New Roman"/>
          <w:sz w:val="24"/>
          <w:szCs w:val="24"/>
        </w:rPr>
        <w:t>fue innecesaria. Santa Clara podría alegar que</w:t>
      </w:r>
      <w:r w:rsidR="00C022E5" w:rsidRPr="0054131B">
        <w:rPr>
          <w:rFonts w:ascii="Times New Roman" w:hAnsi="Times New Roman"/>
          <w:sz w:val="24"/>
          <w:szCs w:val="24"/>
        </w:rPr>
        <w:t xml:space="preserve"> </w:t>
      </w:r>
      <w:r w:rsidR="00597895" w:rsidRPr="0054131B">
        <w:rPr>
          <w:rFonts w:ascii="Times New Roman" w:hAnsi="Times New Roman"/>
          <w:sz w:val="24"/>
          <w:szCs w:val="24"/>
        </w:rPr>
        <w:t xml:space="preserve">la </w:t>
      </w:r>
      <w:r w:rsidR="00597895" w:rsidRPr="0054131B">
        <w:rPr>
          <w:rFonts w:ascii="Times New Roman" w:hAnsi="Times New Roman"/>
          <w:sz w:val="24"/>
          <w:szCs w:val="24"/>
          <w:lang w:val="es-US"/>
        </w:rPr>
        <w:t>capt</w:t>
      </w:r>
      <w:r w:rsidR="003555A7" w:rsidRPr="0054131B">
        <w:rPr>
          <w:rFonts w:ascii="Times New Roman" w:hAnsi="Times New Roman"/>
          <w:sz w:val="24"/>
          <w:szCs w:val="24"/>
          <w:lang w:val="es-US"/>
        </w:rPr>
        <w:t>ación de otras fuentes tomaría cinco</w:t>
      </w:r>
      <w:r w:rsidR="00597895" w:rsidRPr="0054131B">
        <w:rPr>
          <w:rFonts w:ascii="Times New Roman" w:hAnsi="Times New Roman"/>
          <w:sz w:val="24"/>
          <w:szCs w:val="24"/>
          <w:lang w:val="es-US"/>
        </w:rPr>
        <w:t xml:space="preserve"> días </w:t>
      </w:r>
      <w:r w:rsidR="000601AE" w:rsidRPr="0054131B">
        <w:rPr>
          <w:rFonts w:ascii="Times New Roman" w:hAnsi="Times New Roman"/>
          <w:sz w:val="24"/>
          <w:szCs w:val="24"/>
          <w:lang w:val="es-US"/>
        </w:rPr>
        <w:t>adicionales</w:t>
      </w:r>
      <w:r w:rsidR="002521A9" w:rsidRPr="0054131B">
        <w:rPr>
          <w:rFonts w:ascii="Times New Roman" w:hAnsi="Times New Roman"/>
          <w:sz w:val="24"/>
          <w:szCs w:val="24"/>
          <w:lang w:val="es-US"/>
        </w:rPr>
        <w:t>, lo que implicaría el desabastecimiento de agua</w:t>
      </w:r>
      <w:r w:rsidR="002347F1" w:rsidRPr="0054131B">
        <w:rPr>
          <w:rFonts w:ascii="Times New Roman" w:hAnsi="Times New Roman"/>
          <w:sz w:val="24"/>
          <w:szCs w:val="24"/>
          <w:lang w:val="es-US"/>
        </w:rPr>
        <w:t>. S</w:t>
      </w:r>
      <w:r w:rsidR="002521A9" w:rsidRPr="0054131B">
        <w:rPr>
          <w:rFonts w:ascii="Times New Roman" w:hAnsi="Times New Roman"/>
          <w:sz w:val="24"/>
          <w:szCs w:val="24"/>
          <w:lang w:val="es-US"/>
        </w:rPr>
        <w:t>in embargo,</w:t>
      </w:r>
      <w:r w:rsidR="002347F1" w:rsidRPr="0054131B">
        <w:rPr>
          <w:rFonts w:ascii="Times New Roman" w:hAnsi="Times New Roman"/>
          <w:sz w:val="24"/>
          <w:szCs w:val="24"/>
          <w:lang w:val="es-US"/>
        </w:rPr>
        <w:t xml:space="preserve"> debido a la medida</w:t>
      </w:r>
      <w:r w:rsidR="003A0122" w:rsidRPr="0054131B">
        <w:rPr>
          <w:rFonts w:ascii="Times New Roman" w:hAnsi="Times New Roman"/>
          <w:sz w:val="24"/>
          <w:szCs w:val="24"/>
          <w:lang w:val="es-US"/>
        </w:rPr>
        <w:t xml:space="preserve"> cautelar otorgada el</w:t>
      </w:r>
      <w:r w:rsidR="002347F1" w:rsidRPr="0054131B">
        <w:rPr>
          <w:rFonts w:ascii="Times New Roman" w:hAnsi="Times New Roman"/>
          <w:sz w:val="24"/>
          <w:szCs w:val="24"/>
          <w:lang w:val="es-US"/>
        </w:rPr>
        <w:t xml:space="preserve"> 10 de agosto de 2011, no se captó agua del Riachuelo de Mand</w:t>
      </w:r>
      <w:r w:rsidR="003A0122" w:rsidRPr="0054131B">
        <w:rPr>
          <w:rFonts w:ascii="Times New Roman" w:hAnsi="Times New Roman"/>
          <w:sz w:val="24"/>
          <w:szCs w:val="24"/>
          <w:lang w:val="es-US"/>
        </w:rPr>
        <w:t>í</w:t>
      </w:r>
      <w:r w:rsidR="00C022E5" w:rsidRPr="0054131B">
        <w:rPr>
          <w:rFonts w:ascii="Times New Roman" w:hAnsi="Times New Roman"/>
          <w:sz w:val="24"/>
          <w:szCs w:val="24"/>
          <w:lang w:val="es-US"/>
        </w:rPr>
        <w:t xml:space="preserve"> </w:t>
      </w:r>
      <w:r w:rsidR="003A0122" w:rsidRPr="0054131B">
        <w:rPr>
          <w:rFonts w:ascii="Times New Roman" w:hAnsi="Times New Roman"/>
          <w:sz w:val="24"/>
          <w:szCs w:val="24"/>
          <w:lang w:val="es-US"/>
        </w:rPr>
        <w:t>(</w:t>
      </w:r>
      <w:r w:rsidR="002347F1" w:rsidRPr="0054131B">
        <w:rPr>
          <w:rFonts w:ascii="Times New Roman" w:hAnsi="Times New Roman"/>
          <w:sz w:val="24"/>
          <w:szCs w:val="24"/>
          <w:lang w:val="es-US"/>
        </w:rPr>
        <w:t>por cinco d</w:t>
      </w:r>
      <w:r w:rsidR="003A0122" w:rsidRPr="0054131B">
        <w:rPr>
          <w:rFonts w:ascii="Times New Roman" w:hAnsi="Times New Roman"/>
          <w:sz w:val="24"/>
          <w:szCs w:val="24"/>
          <w:lang w:val="es-US"/>
        </w:rPr>
        <w:t>ías)</w:t>
      </w:r>
      <w:r w:rsidR="006C6CA9" w:rsidRPr="0054131B">
        <w:rPr>
          <w:rFonts w:ascii="Times New Roman" w:hAnsi="Times New Roman"/>
          <w:sz w:val="24"/>
          <w:szCs w:val="24"/>
          <w:lang w:val="es-US"/>
        </w:rPr>
        <w:t>,</w:t>
      </w:r>
      <w:r w:rsidR="00C022E5" w:rsidRPr="0054131B">
        <w:rPr>
          <w:rFonts w:ascii="Times New Roman" w:hAnsi="Times New Roman"/>
          <w:sz w:val="24"/>
          <w:szCs w:val="24"/>
          <w:lang w:val="es-US"/>
        </w:rPr>
        <w:t xml:space="preserve"> </w:t>
      </w:r>
      <w:r w:rsidR="00B66BF4" w:rsidRPr="0054131B">
        <w:rPr>
          <w:rFonts w:ascii="Times New Roman" w:hAnsi="Times New Roman"/>
          <w:sz w:val="24"/>
          <w:szCs w:val="24"/>
          <w:lang w:val="es-US"/>
        </w:rPr>
        <w:t xml:space="preserve">sin </w:t>
      </w:r>
      <w:r w:rsidR="006C6CA9" w:rsidRPr="0054131B">
        <w:rPr>
          <w:rFonts w:ascii="Times New Roman" w:hAnsi="Times New Roman"/>
          <w:sz w:val="24"/>
          <w:szCs w:val="24"/>
          <w:lang w:val="es-US"/>
        </w:rPr>
        <w:t>que esto implique el</w:t>
      </w:r>
      <w:r w:rsidR="00B66BF4" w:rsidRPr="0054131B">
        <w:rPr>
          <w:rFonts w:ascii="Times New Roman" w:hAnsi="Times New Roman"/>
          <w:sz w:val="24"/>
          <w:szCs w:val="24"/>
          <w:lang w:val="es-US"/>
        </w:rPr>
        <w:t xml:space="preserve"> desabastecimiento</w:t>
      </w:r>
      <w:r w:rsidR="001718CE" w:rsidRPr="0054131B">
        <w:rPr>
          <w:rFonts w:ascii="Times New Roman" w:hAnsi="Times New Roman"/>
          <w:sz w:val="24"/>
          <w:szCs w:val="24"/>
          <w:lang w:val="es-US"/>
        </w:rPr>
        <w:t xml:space="preserve"> de agua</w:t>
      </w:r>
      <w:r w:rsidR="00B66BF4" w:rsidRPr="0054131B">
        <w:rPr>
          <w:rFonts w:ascii="Times New Roman" w:hAnsi="Times New Roman"/>
          <w:sz w:val="24"/>
          <w:szCs w:val="24"/>
          <w:lang w:val="es-US"/>
        </w:rPr>
        <w:t>, por lo que la medida tomada por Santa Clara fue innecesaria.</w:t>
      </w:r>
    </w:p>
    <w:p w:rsidR="00A51519" w:rsidRPr="0054131B" w:rsidRDefault="00D74870" w:rsidP="003B1275">
      <w:pPr>
        <w:widowControl w:val="0"/>
        <w:autoSpaceDE w:val="0"/>
        <w:autoSpaceDN w:val="0"/>
        <w:adjustRightInd w:val="0"/>
        <w:spacing w:after="0" w:line="480" w:lineRule="auto"/>
        <w:jc w:val="both"/>
        <w:rPr>
          <w:rFonts w:ascii="Times New Roman" w:hAnsi="Times New Roman"/>
          <w:sz w:val="24"/>
          <w:szCs w:val="24"/>
          <w:lang w:val="es-US"/>
        </w:rPr>
      </w:pPr>
      <w:r w:rsidRPr="0054131B">
        <w:rPr>
          <w:rFonts w:ascii="Times New Roman" w:hAnsi="Times New Roman"/>
          <w:sz w:val="24"/>
          <w:szCs w:val="24"/>
          <w:lang w:val="es-US"/>
        </w:rPr>
        <w:lastRenderedPageBreak/>
        <w:t>59</w:t>
      </w:r>
      <w:r w:rsidR="00B66BF4" w:rsidRPr="0054131B">
        <w:rPr>
          <w:rFonts w:ascii="Times New Roman" w:hAnsi="Times New Roman"/>
          <w:sz w:val="24"/>
          <w:szCs w:val="24"/>
          <w:lang w:val="es-US"/>
        </w:rPr>
        <w:t xml:space="preserve">. </w:t>
      </w:r>
      <w:r w:rsidR="009A0AED" w:rsidRPr="0054131B">
        <w:rPr>
          <w:rFonts w:ascii="Times New Roman" w:hAnsi="Times New Roman"/>
          <w:sz w:val="24"/>
          <w:szCs w:val="24"/>
        </w:rPr>
        <w:t xml:space="preserve">Por estas razones, </w:t>
      </w:r>
      <w:r w:rsidR="00597895" w:rsidRPr="0054131B">
        <w:rPr>
          <w:rFonts w:ascii="Times New Roman" w:hAnsi="Times New Roman"/>
          <w:sz w:val="24"/>
          <w:szCs w:val="24"/>
        </w:rPr>
        <w:t xml:space="preserve">este </w:t>
      </w:r>
      <w:r w:rsidR="009A0AED" w:rsidRPr="0054131B">
        <w:rPr>
          <w:rFonts w:ascii="Times New Roman" w:hAnsi="Times New Roman"/>
          <w:sz w:val="24"/>
          <w:szCs w:val="24"/>
        </w:rPr>
        <w:t>Tribunal debe declarar</w:t>
      </w:r>
      <w:r w:rsidR="00597895" w:rsidRPr="0054131B">
        <w:rPr>
          <w:rFonts w:ascii="Times New Roman" w:hAnsi="Times New Roman"/>
          <w:sz w:val="24"/>
          <w:szCs w:val="24"/>
        </w:rPr>
        <w:t xml:space="preserve"> la responsabilidad internacional del Estado de Santa Clara por la vio</w:t>
      </w:r>
      <w:r w:rsidR="009A0AED" w:rsidRPr="0054131B">
        <w:rPr>
          <w:rFonts w:ascii="Times New Roman" w:hAnsi="Times New Roman"/>
          <w:sz w:val="24"/>
          <w:szCs w:val="24"/>
        </w:rPr>
        <w:t>lación del art. 21 de la CADH</w:t>
      </w:r>
      <w:r w:rsidR="00597895" w:rsidRPr="0054131B">
        <w:rPr>
          <w:rFonts w:ascii="Times New Roman" w:hAnsi="Times New Roman"/>
          <w:sz w:val="24"/>
          <w:szCs w:val="24"/>
        </w:rPr>
        <w:t xml:space="preserve">, debido a la utilización </w:t>
      </w:r>
      <w:r w:rsidR="009A0AED" w:rsidRPr="0054131B">
        <w:rPr>
          <w:rFonts w:ascii="Times New Roman" w:hAnsi="Times New Roman"/>
          <w:sz w:val="24"/>
          <w:szCs w:val="24"/>
        </w:rPr>
        <w:t xml:space="preserve">innecesaria e ilegal </w:t>
      </w:r>
      <w:r w:rsidR="00597895" w:rsidRPr="0054131B">
        <w:rPr>
          <w:rFonts w:ascii="Times New Roman" w:hAnsi="Times New Roman"/>
          <w:sz w:val="24"/>
          <w:szCs w:val="24"/>
        </w:rPr>
        <w:t>del Riachuelo de Mandí y los consecuentes daños causados en sitios sagrados</w:t>
      </w:r>
      <w:r w:rsidR="009A0AED" w:rsidRPr="0054131B">
        <w:rPr>
          <w:rFonts w:ascii="Times New Roman" w:hAnsi="Times New Roman"/>
          <w:sz w:val="24"/>
          <w:szCs w:val="24"/>
        </w:rPr>
        <w:t xml:space="preserve"> cercanos a éste</w:t>
      </w:r>
      <w:r w:rsidR="00597895" w:rsidRPr="0054131B">
        <w:rPr>
          <w:rFonts w:ascii="Times New Roman" w:hAnsi="Times New Roman"/>
          <w:sz w:val="24"/>
          <w:szCs w:val="24"/>
        </w:rPr>
        <w:t>.</w:t>
      </w:r>
    </w:p>
    <w:p w:rsidR="00A51519" w:rsidRPr="0054131B" w:rsidRDefault="00B24983" w:rsidP="003B1275">
      <w:pPr>
        <w:pStyle w:val="Heading3"/>
        <w:spacing w:before="0" w:line="480" w:lineRule="auto"/>
        <w:rPr>
          <w:b w:val="0"/>
          <w:szCs w:val="24"/>
          <w:lang w:val="es-US"/>
        </w:rPr>
      </w:pPr>
      <w:bookmarkStart w:id="64" w:name="_Toc446715480"/>
      <w:bookmarkStart w:id="65" w:name="_Toc446716103"/>
      <w:bookmarkStart w:id="66" w:name="_Toc446716834"/>
      <w:bookmarkStart w:id="67" w:name="_Toc446717045"/>
      <w:bookmarkStart w:id="68" w:name="_Toc446776788"/>
      <w:r w:rsidRPr="0054131B">
        <w:rPr>
          <w:szCs w:val="24"/>
          <w:lang w:val="es-US"/>
        </w:rPr>
        <w:t>B</w:t>
      </w:r>
      <w:r w:rsidR="00900B29" w:rsidRPr="0054131B">
        <w:rPr>
          <w:szCs w:val="24"/>
          <w:lang w:val="es-US"/>
        </w:rPr>
        <w:t xml:space="preserve">.4.3 </w:t>
      </w:r>
      <w:r w:rsidR="00597895" w:rsidRPr="0054131B">
        <w:rPr>
          <w:szCs w:val="24"/>
          <w:lang w:val="es-US"/>
        </w:rPr>
        <w:t>Justiciabilidad de los derechos contenidos en el art. 26</w:t>
      </w:r>
      <w:r w:rsidR="00900B29" w:rsidRPr="0054131B">
        <w:rPr>
          <w:szCs w:val="24"/>
          <w:lang w:val="es-US"/>
        </w:rPr>
        <w:t xml:space="preserve"> de la CADH</w:t>
      </w:r>
      <w:bookmarkEnd w:id="64"/>
      <w:bookmarkEnd w:id="65"/>
      <w:bookmarkEnd w:id="66"/>
      <w:bookmarkEnd w:id="67"/>
      <w:bookmarkEnd w:id="68"/>
    </w:p>
    <w:p w:rsidR="001D30E7" w:rsidRPr="0054131B" w:rsidRDefault="00D74870" w:rsidP="003B1275">
      <w:pPr>
        <w:widowControl w:val="0"/>
        <w:autoSpaceDE w:val="0"/>
        <w:autoSpaceDN w:val="0"/>
        <w:adjustRightInd w:val="0"/>
        <w:spacing w:after="0" w:line="480" w:lineRule="auto"/>
        <w:jc w:val="both"/>
        <w:rPr>
          <w:rFonts w:ascii="Times New Roman" w:hAnsi="Times New Roman"/>
          <w:sz w:val="24"/>
          <w:szCs w:val="24"/>
          <w:lang w:val="es-US"/>
        </w:rPr>
      </w:pPr>
      <w:r w:rsidRPr="0054131B">
        <w:rPr>
          <w:rFonts w:ascii="Times New Roman" w:hAnsi="Times New Roman"/>
          <w:sz w:val="24"/>
          <w:szCs w:val="24"/>
          <w:lang w:val="es-US"/>
        </w:rPr>
        <w:t>60</w:t>
      </w:r>
      <w:r w:rsidR="00591045" w:rsidRPr="0054131B">
        <w:rPr>
          <w:rFonts w:ascii="Times New Roman" w:hAnsi="Times New Roman"/>
          <w:sz w:val="24"/>
          <w:szCs w:val="24"/>
          <w:lang w:val="es-US"/>
        </w:rPr>
        <w:t xml:space="preserve">. </w:t>
      </w:r>
      <w:r w:rsidR="00AC209C" w:rsidRPr="0054131B">
        <w:rPr>
          <w:rFonts w:ascii="Times New Roman" w:hAnsi="Times New Roman"/>
          <w:sz w:val="24"/>
          <w:szCs w:val="24"/>
          <w:lang w:val="es-US"/>
        </w:rPr>
        <w:t>La</w:t>
      </w:r>
      <w:r w:rsidR="00597895" w:rsidRPr="0054131B">
        <w:rPr>
          <w:rFonts w:ascii="Times New Roman" w:hAnsi="Times New Roman"/>
          <w:sz w:val="24"/>
          <w:szCs w:val="24"/>
          <w:lang w:val="es-US"/>
        </w:rPr>
        <w:t xml:space="preserve"> Corte IDH</w:t>
      </w:r>
      <w:r w:rsidR="00917211" w:rsidRPr="0054131B">
        <w:rPr>
          <w:rFonts w:ascii="Times New Roman" w:hAnsi="Times New Roman"/>
          <w:sz w:val="24"/>
          <w:szCs w:val="24"/>
          <w:lang w:val="es-US"/>
        </w:rPr>
        <w:t xml:space="preserve"> ha reconocido</w:t>
      </w:r>
      <w:r w:rsidR="00AC209C" w:rsidRPr="0054131B">
        <w:rPr>
          <w:rFonts w:ascii="Times New Roman" w:hAnsi="Times New Roman"/>
          <w:sz w:val="24"/>
          <w:szCs w:val="24"/>
          <w:lang w:val="es-US"/>
        </w:rPr>
        <w:t xml:space="preserve"> que </w:t>
      </w:r>
      <w:r w:rsidR="00597895" w:rsidRPr="0054131B">
        <w:rPr>
          <w:rFonts w:ascii="Times New Roman" w:hAnsi="Times New Roman"/>
          <w:sz w:val="24"/>
          <w:szCs w:val="24"/>
          <w:lang w:val="es-US"/>
        </w:rPr>
        <w:t>el art. 26 está sujeto a las obligaciones generales contenidas en los arts. 1.1 y 2 de la CADH</w:t>
      </w:r>
      <w:r w:rsidR="00597895" w:rsidRPr="0054131B">
        <w:rPr>
          <w:rStyle w:val="FootnoteReference"/>
          <w:rFonts w:ascii="Times New Roman" w:hAnsi="Times New Roman"/>
          <w:sz w:val="24"/>
          <w:szCs w:val="24"/>
          <w:lang w:val="es-US"/>
        </w:rPr>
        <w:footnoteReference w:id="114"/>
      </w:r>
      <w:r w:rsidR="00917211" w:rsidRPr="0054131B">
        <w:rPr>
          <w:rFonts w:ascii="Times New Roman" w:hAnsi="Times New Roman"/>
          <w:sz w:val="24"/>
          <w:szCs w:val="24"/>
          <w:lang w:val="es-US"/>
        </w:rPr>
        <w:t xml:space="preserve"> y ha señalado que es plenamente competente para analizar violaciones de todos los derechos reconocidos en la </w:t>
      </w:r>
      <w:r w:rsidR="001C69BA" w:rsidRPr="0054131B">
        <w:rPr>
          <w:rFonts w:ascii="Times New Roman" w:hAnsi="Times New Roman"/>
          <w:sz w:val="24"/>
          <w:szCs w:val="24"/>
          <w:lang w:val="es-US"/>
        </w:rPr>
        <w:t>misma</w:t>
      </w:r>
      <w:r w:rsidR="00917211" w:rsidRPr="0054131B">
        <w:rPr>
          <w:rStyle w:val="FootnoteReference"/>
          <w:rFonts w:ascii="Times New Roman" w:hAnsi="Times New Roman"/>
          <w:sz w:val="24"/>
          <w:szCs w:val="24"/>
          <w:lang w:val="es-US"/>
        </w:rPr>
        <w:footnoteReference w:id="115"/>
      </w:r>
      <w:r w:rsidR="00BC69B8" w:rsidRPr="0054131B">
        <w:rPr>
          <w:rFonts w:ascii="Times New Roman" w:hAnsi="Times New Roman"/>
          <w:sz w:val="24"/>
          <w:szCs w:val="24"/>
          <w:lang w:val="es-US"/>
        </w:rPr>
        <w:t>. E</w:t>
      </w:r>
      <w:r w:rsidR="00597895" w:rsidRPr="0054131B">
        <w:rPr>
          <w:rFonts w:ascii="Times New Roman" w:hAnsi="Times New Roman"/>
          <w:sz w:val="24"/>
          <w:szCs w:val="24"/>
          <w:lang w:val="es-US"/>
        </w:rPr>
        <w:t>ste instrumento internacional no establece distinciones al señalar que su jurisdicción cubre todos los derechos establecidos entre los arts. 3 y 26</w:t>
      </w:r>
      <w:r w:rsidR="00597895" w:rsidRPr="0054131B">
        <w:rPr>
          <w:rStyle w:val="FootnoteReference"/>
          <w:rFonts w:ascii="Times New Roman" w:hAnsi="Times New Roman"/>
          <w:sz w:val="24"/>
          <w:szCs w:val="24"/>
          <w:lang w:val="es-US"/>
        </w:rPr>
        <w:footnoteReference w:id="116"/>
      </w:r>
      <w:r w:rsidR="00597895" w:rsidRPr="0054131B">
        <w:rPr>
          <w:rFonts w:ascii="Times New Roman" w:hAnsi="Times New Roman"/>
          <w:sz w:val="24"/>
          <w:szCs w:val="24"/>
          <w:lang w:val="es-US"/>
        </w:rPr>
        <w:t>.</w:t>
      </w:r>
      <w:r w:rsidR="0010062C" w:rsidRPr="0054131B">
        <w:rPr>
          <w:rFonts w:ascii="Times New Roman" w:hAnsi="Times New Roman"/>
          <w:sz w:val="24"/>
          <w:szCs w:val="24"/>
          <w:lang w:val="es-US"/>
        </w:rPr>
        <w:t xml:space="preserve"> </w:t>
      </w:r>
      <w:r w:rsidR="00E476F1" w:rsidRPr="0054131B">
        <w:rPr>
          <w:rFonts w:ascii="Times New Roman" w:hAnsi="Times New Roman"/>
          <w:sz w:val="24"/>
          <w:szCs w:val="24"/>
          <w:lang w:val="es-US"/>
        </w:rPr>
        <w:t>Asimismo, l</w:t>
      </w:r>
      <w:r w:rsidR="00597895" w:rsidRPr="0054131B">
        <w:rPr>
          <w:rFonts w:ascii="Times New Roman" w:hAnsi="Times New Roman"/>
          <w:sz w:val="24"/>
          <w:szCs w:val="24"/>
          <w:lang w:val="es-US"/>
        </w:rPr>
        <w:t xml:space="preserve">a Corte IDH </w:t>
      </w:r>
      <w:r w:rsidR="00917211" w:rsidRPr="0054131B">
        <w:rPr>
          <w:rFonts w:ascii="Times New Roman" w:hAnsi="Times New Roman"/>
          <w:sz w:val="24"/>
          <w:szCs w:val="24"/>
          <w:lang w:val="es-US"/>
        </w:rPr>
        <w:t>ha reconocido</w:t>
      </w:r>
      <w:r w:rsidR="00597895" w:rsidRPr="0054131B">
        <w:rPr>
          <w:rFonts w:ascii="Times New Roman" w:hAnsi="Times New Roman"/>
          <w:sz w:val="24"/>
          <w:szCs w:val="24"/>
          <w:lang w:val="es-US"/>
        </w:rPr>
        <w:t xml:space="preserve"> la interdependencia existente entre los derechos civiles y políticos y </w:t>
      </w:r>
      <w:r w:rsidR="00BC69B8" w:rsidRPr="0054131B">
        <w:rPr>
          <w:rFonts w:ascii="Times New Roman" w:hAnsi="Times New Roman"/>
          <w:sz w:val="24"/>
          <w:szCs w:val="24"/>
          <w:lang w:val="es-US"/>
        </w:rPr>
        <w:t>los DESC</w:t>
      </w:r>
      <w:r w:rsidR="001C69BA" w:rsidRPr="0054131B">
        <w:rPr>
          <w:rFonts w:ascii="Times New Roman" w:hAnsi="Times New Roman"/>
          <w:sz w:val="24"/>
          <w:szCs w:val="24"/>
          <w:lang w:val="es-US"/>
        </w:rPr>
        <w:t>, ambos grupos de derechos</w:t>
      </w:r>
      <w:r w:rsidR="00597895" w:rsidRPr="0054131B">
        <w:rPr>
          <w:rFonts w:ascii="Times New Roman" w:hAnsi="Times New Roman"/>
          <w:sz w:val="24"/>
          <w:szCs w:val="24"/>
          <w:lang w:val="es-US"/>
        </w:rPr>
        <w:t xml:space="preserve"> deben ser entendidos</w:t>
      </w:r>
      <w:r w:rsidR="002B00E6" w:rsidRPr="0054131B">
        <w:rPr>
          <w:rFonts w:ascii="Times New Roman" w:hAnsi="Times New Roman"/>
          <w:sz w:val="24"/>
          <w:szCs w:val="24"/>
          <w:lang w:val="es-US"/>
        </w:rPr>
        <w:t>,</w:t>
      </w:r>
      <w:r w:rsidR="00597895" w:rsidRPr="0054131B">
        <w:rPr>
          <w:rFonts w:ascii="Times New Roman" w:hAnsi="Times New Roman"/>
          <w:sz w:val="24"/>
          <w:szCs w:val="24"/>
          <w:lang w:val="es-US"/>
        </w:rPr>
        <w:t xml:space="preserve"> integralmente, sin jerarquía entre sí y exigibles en todos los casos</w:t>
      </w:r>
      <w:r w:rsidR="00597895" w:rsidRPr="0054131B">
        <w:rPr>
          <w:rStyle w:val="FootnoteReference"/>
          <w:rFonts w:ascii="Times New Roman" w:hAnsi="Times New Roman"/>
          <w:sz w:val="24"/>
          <w:szCs w:val="24"/>
          <w:lang w:val="es-US"/>
        </w:rPr>
        <w:footnoteReference w:id="117"/>
      </w:r>
      <w:r w:rsidR="00597895" w:rsidRPr="0054131B">
        <w:rPr>
          <w:rFonts w:ascii="Times New Roman" w:hAnsi="Times New Roman"/>
          <w:sz w:val="24"/>
          <w:szCs w:val="24"/>
          <w:lang w:val="es-US"/>
        </w:rPr>
        <w:t xml:space="preserve">. </w:t>
      </w:r>
      <w:r w:rsidR="0010062C" w:rsidRPr="0054131B">
        <w:rPr>
          <w:rFonts w:ascii="Times New Roman" w:hAnsi="Times New Roman"/>
          <w:sz w:val="24"/>
          <w:szCs w:val="24"/>
          <w:lang w:val="es-US"/>
        </w:rPr>
        <w:t>En efecto, p</w:t>
      </w:r>
      <w:r w:rsidR="001D30E7" w:rsidRPr="0054131B">
        <w:rPr>
          <w:rFonts w:ascii="Times New Roman" w:hAnsi="Times New Roman"/>
          <w:sz w:val="24"/>
          <w:szCs w:val="24"/>
          <w:lang w:val="es-US"/>
        </w:rPr>
        <w:t>ara demostrar que los DESC son parte del rég</w:t>
      </w:r>
      <w:r w:rsidR="0010062C" w:rsidRPr="0054131B">
        <w:rPr>
          <w:rFonts w:ascii="Times New Roman" w:hAnsi="Times New Roman"/>
          <w:sz w:val="24"/>
          <w:szCs w:val="24"/>
          <w:lang w:val="es-US"/>
        </w:rPr>
        <w:t>imen de protección de la CADH y por tanto</w:t>
      </w:r>
      <w:r w:rsidR="001D30E7" w:rsidRPr="0054131B">
        <w:rPr>
          <w:rFonts w:ascii="Times New Roman" w:hAnsi="Times New Roman"/>
          <w:sz w:val="24"/>
          <w:szCs w:val="24"/>
          <w:lang w:val="es-US"/>
        </w:rPr>
        <w:t xml:space="preserve"> son justiciables, es necesario analizar los acuerdos y prácticas ulteriores de los Estados.</w:t>
      </w:r>
    </w:p>
    <w:p w:rsidR="00407C2C" w:rsidRPr="0054131B" w:rsidRDefault="00E50A88" w:rsidP="003B1275">
      <w:pPr>
        <w:pStyle w:val="NoSpacing"/>
        <w:keepNext/>
        <w:widowControl w:val="0"/>
        <w:spacing w:line="480" w:lineRule="auto"/>
        <w:jc w:val="both"/>
        <w:rPr>
          <w:rFonts w:ascii="Times New Roman" w:hAnsi="Times New Roman"/>
          <w:sz w:val="24"/>
          <w:szCs w:val="24"/>
          <w:lang w:val="es-US"/>
        </w:rPr>
      </w:pPr>
      <w:r w:rsidRPr="0054131B">
        <w:rPr>
          <w:rFonts w:ascii="Times New Roman" w:hAnsi="Times New Roman"/>
          <w:sz w:val="24"/>
          <w:szCs w:val="24"/>
          <w:lang w:val="es-US"/>
        </w:rPr>
        <w:t>6</w:t>
      </w:r>
      <w:r w:rsidR="00187F00" w:rsidRPr="0054131B">
        <w:rPr>
          <w:rFonts w:ascii="Times New Roman" w:hAnsi="Times New Roman"/>
          <w:sz w:val="24"/>
          <w:szCs w:val="24"/>
          <w:lang w:val="es-US"/>
        </w:rPr>
        <w:t>1</w:t>
      </w:r>
      <w:r w:rsidRPr="0054131B">
        <w:rPr>
          <w:rFonts w:ascii="Times New Roman" w:hAnsi="Times New Roman"/>
          <w:sz w:val="24"/>
          <w:szCs w:val="24"/>
          <w:lang w:val="es-US"/>
        </w:rPr>
        <w:t xml:space="preserve">. </w:t>
      </w:r>
      <w:r w:rsidR="00136FC6" w:rsidRPr="0054131B">
        <w:rPr>
          <w:rFonts w:ascii="Times New Roman" w:hAnsi="Times New Roman"/>
          <w:sz w:val="24"/>
          <w:szCs w:val="24"/>
          <w:lang w:val="es-US"/>
        </w:rPr>
        <w:t>El</w:t>
      </w:r>
      <w:r w:rsidR="00407C2C" w:rsidRPr="0054131B">
        <w:rPr>
          <w:rFonts w:ascii="Times New Roman" w:hAnsi="Times New Roman"/>
          <w:sz w:val="24"/>
          <w:szCs w:val="24"/>
          <w:lang w:val="es-US"/>
        </w:rPr>
        <w:t xml:space="preserve"> Protocolo de San Salvador</w:t>
      </w:r>
      <w:r w:rsidR="00136FC6" w:rsidRPr="0054131B">
        <w:rPr>
          <w:rFonts w:ascii="Times New Roman" w:hAnsi="Times New Roman"/>
          <w:sz w:val="24"/>
          <w:szCs w:val="24"/>
          <w:lang w:val="es-US"/>
        </w:rPr>
        <w:t xml:space="preserve">, como acuerdo ulterior, </w:t>
      </w:r>
      <w:r w:rsidR="00407C2C" w:rsidRPr="0054131B">
        <w:rPr>
          <w:rFonts w:ascii="Times New Roman" w:hAnsi="Times New Roman"/>
          <w:sz w:val="24"/>
          <w:szCs w:val="24"/>
          <w:lang w:val="es-US"/>
        </w:rPr>
        <w:t xml:space="preserve">no establece ninguna disposición cuya intención fuera limitar el alcance de la CADH. Este </w:t>
      </w:r>
      <w:r w:rsidR="005B0E3A" w:rsidRPr="0054131B">
        <w:rPr>
          <w:rFonts w:ascii="Times New Roman" w:hAnsi="Times New Roman"/>
          <w:sz w:val="24"/>
          <w:szCs w:val="24"/>
          <w:lang w:val="es-US"/>
        </w:rPr>
        <w:t>Protocolo</w:t>
      </w:r>
      <w:r w:rsidR="00407C2C" w:rsidRPr="0054131B">
        <w:rPr>
          <w:rFonts w:ascii="Times New Roman" w:hAnsi="Times New Roman"/>
          <w:sz w:val="24"/>
          <w:szCs w:val="24"/>
          <w:lang w:val="es-US"/>
        </w:rPr>
        <w:t xml:space="preserve"> no deroga ni modifica el alcance del art. 26, pues la propia CADH, en su art. 76, dispone un procedimiento específico para su enmienda, la misma que debe ser establecida en forma expresa e inequívoca; y que es distinta a la adopción de un protocolo adicional que no permite reducir los derechos previstos en la </w:t>
      </w:r>
      <w:r w:rsidR="00407C2C" w:rsidRPr="0054131B">
        <w:rPr>
          <w:rFonts w:ascii="Times New Roman" w:hAnsi="Times New Roman"/>
          <w:sz w:val="24"/>
          <w:szCs w:val="24"/>
          <w:lang w:val="es-US"/>
        </w:rPr>
        <w:lastRenderedPageBreak/>
        <w:t>CADH</w:t>
      </w:r>
      <w:r w:rsidR="00407C2C" w:rsidRPr="0054131B">
        <w:rPr>
          <w:rStyle w:val="FootnoteReference"/>
          <w:rFonts w:ascii="Times New Roman" w:hAnsi="Times New Roman"/>
          <w:sz w:val="24"/>
          <w:szCs w:val="24"/>
          <w:lang w:val="es-US"/>
        </w:rPr>
        <w:footnoteReference w:id="118"/>
      </w:r>
      <w:r w:rsidR="00407C2C" w:rsidRPr="0054131B">
        <w:rPr>
          <w:rFonts w:ascii="Times New Roman" w:hAnsi="Times New Roman"/>
          <w:sz w:val="24"/>
          <w:szCs w:val="24"/>
          <w:lang w:val="es-US"/>
        </w:rPr>
        <w:t>. En segundo lugar, el art. 29</w:t>
      </w:r>
      <w:r w:rsidR="0010062C" w:rsidRPr="0054131B">
        <w:rPr>
          <w:rFonts w:ascii="Times New Roman" w:hAnsi="Times New Roman"/>
          <w:sz w:val="24"/>
          <w:szCs w:val="24"/>
          <w:lang w:val="es-US"/>
        </w:rPr>
        <w:t>.b</w:t>
      </w:r>
      <w:r w:rsidR="00407C2C" w:rsidRPr="0054131B">
        <w:rPr>
          <w:rFonts w:ascii="Times New Roman" w:hAnsi="Times New Roman"/>
          <w:sz w:val="24"/>
          <w:szCs w:val="24"/>
          <w:lang w:val="es-US"/>
        </w:rPr>
        <w:t xml:space="preserve"> de la CADH establece que no puede realizarse una interpretación restrictiva de los derechos</w:t>
      </w:r>
      <w:r w:rsidR="00407C2C" w:rsidRPr="0054131B">
        <w:rPr>
          <w:rStyle w:val="FootnoteReference"/>
          <w:rFonts w:ascii="Times New Roman" w:hAnsi="Times New Roman"/>
          <w:sz w:val="24"/>
          <w:szCs w:val="24"/>
          <w:lang w:val="es-US"/>
        </w:rPr>
        <w:footnoteReference w:id="119"/>
      </w:r>
      <w:r w:rsidR="00407C2C" w:rsidRPr="0054131B">
        <w:rPr>
          <w:rFonts w:ascii="Times New Roman" w:hAnsi="Times New Roman"/>
          <w:sz w:val="24"/>
          <w:szCs w:val="24"/>
          <w:lang w:val="es-US"/>
        </w:rPr>
        <w:t xml:space="preserve">. Mientras que el art. 4 del propio Protocolo de San Salvador establece que dicho </w:t>
      </w:r>
      <w:r w:rsidRPr="0054131B">
        <w:rPr>
          <w:rFonts w:ascii="Times New Roman" w:hAnsi="Times New Roman"/>
          <w:sz w:val="24"/>
          <w:szCs w:val="24"/>
          <w:lang w:val="es-US"/>
        </w:rPr>
        <w:t>Protocolo</w:t>
      </w:r>
      <w:r w:rsidR="00407C2C" w:rsidRPr="0054131B">
        <w:rPr>
          <w:rFonts w:ascii="Times New Roman" w:hAnsi="Times New Roman"/>
          <w:sz w:val="24"/>
          <w:szCs w:val="24"/>
          <w:lang w:val="es-US"/>
        </w:rPr>
        <w:t xml:space="preserve"> no restringe o menoscaba ninguno de los derechos reconocidos o vigentes en un Estado en virtud de su legislación interna o de convenciones internacionales</w:t>
      </w:r>
      <w:r w:rsidR="0010062C" w:rsidRPr="0054131B">
        <w:rPr>
          <w:rStyle w:val="FootnoteReference"/>
          <w:rFonts w:ascii="Times New Roman" w:hAnsi="Times New Roman"/>
          <w:sz w:val="24"/>
          <w:szCs w:val="24"/>
          <w:lang w:val="es-US"/>
        </w:rPr>
        <w:footnoteReference w:id="120"/>
      </w:r>
      <w:r w:rsidR="00407C2C" w:rsidRPr="0054131B">
        <w:rPr>
          <w:rFonts w:ascii="Times New Roman" w:hAnsi="Times New Roman"/>
          <w:sz w:val="24"/>
          <w:szCs w:val="24"/>
          <w:lang w:val="es-US"/>
        </w:rPr>
        <w:t xml:space="preserve">. En tercer lugar, afirmar que el alcance de la CADH está limitado por el Protocolo de San Salvador implicaría que la CADH tiene ciertos efectos entre los Estados Partes </w:t>
      </w:r>
      <w:r w:rsidR="00560876" w:rsidRPr="0054131B">
        <w:rPr>
          <w:rFonts w:ascii="Times New Roman" w:hAnsi="Times New Roman"/>
          <w:sz w:val="24"/>
          <w:szCs w:val="24"/>
          <w:lang w:val="es-US"/>
        </w:rPr>
        <w:t xml:space="preserve">del Protocolo y </w:t>
      </w:r>
      <w:r w:rsidR="00407C2C" w:rsidRPr="0054131B">
        <w:rPr>
          <w:rFonts w:ascii="Times New Roman" w:hAnsi="Times New Roman"/>
          <w:sz w:val="24"/>
          <w:szCs w:val="24"/>
          <w:lang w:val="es-US"/>
        </w:rPr>
        <w:t xml:space="preserve">a la vez, tiene </w:t>
      </w:r>
      <w:r w:rsidR="00560876" w:rsidRPr="0054131B">
        <w:rPr>
          <w:rFonts w:ascii="Times New Roman" w:hAnsi="Times New Roman"/>
          <w:sz w:val="24"/>
          <w:szCs w:val="24"/>
          <w:lang w:val="es-US"/>
        </w:rPr>
        <w:t>un efecto</w:t>
      </w:r>
      <w:r w:rsidR="00407C2C" w:rsidRPr="0054131B">
        <w:rPr>
          <w:rFonts w:ascii="Times New Roman" w:hAnsi="Times New Roman"/>
          <w:sz w:val="24"/>
          <w:szCs w:val="24"/>
          <w:lang w:val="es-US"/>
        </w:rPr>
        <w:t xml:space="preserve"> distinto para los Estados que no son partes de él</w:t>
      </w:r>
      <w:r w:rsidR="005B0E3A" w:rsidRPr="0054131B">
        <w:rPr>
          <w:rStyle w:val="FootnoteReference"/>
          <w:rFonts w:ascii="Times New Roman" w:hAnsi="Times New Roman"/>
          <w:sz w:val="24"/>
          <w:szCs w:val="24"/>
          <w:lang w:val="es-US"/>
        </w:rPr>
        <w:footnoteReference w:id="121"/>
      </w:r>
      <w:r w:rsidR="00407C2C" w:rsidRPr="0054131B">
        <w:rPr>
          <w:rFonts w:ascii="Times New Roman" w:hAnsi="Times New Roman"/>
          <w:sz w:val="24"/>
          <w:szCs w:val="24"/>
          <w:lang w:val="es-US"/>
        </w:rPr>
        <w:t xml:space="preserve">. </w:t>
      </w:r>
    </w:p>
    <w:p w:rsidR="008C43B9" w:rsidRPr="0054131B" w:rsidRDefault="00187F00" w:rsidP="003B1275">
      <w:pPr>
        <w:pStyle w:val="NoSpacing"/>
        <w:keepNext/>
        <w:widowControl w:val="0"/>
        <w:spacing w:line="480" w:lineRule="auto"/>
        <w:jc w:val="both"/>
        <w:rPr>
          <w:rFonts w:ascii="Times New Roman" w:hAnsi="Times New Roman"/>
          <w:sz w:val="24"/>
          <w:szCs w:val="24"/>
          <w:lang w:val="es-US"/>
        </w:rPr>
      </w:pPr>
      <w:r w:rsidRPr="0054131B">
        <w:rPr>
          <w:rFonts w:ascii="Times New Roman" w:hAnsi="Times New Roman"/>
          <w:sz w:val="24"/>
          <w:szCs w:val="24"/>
          <w:lang w:val="es-US"/>
        </w:rPr>
        <w:t>62</w:t>
      </w:r>
      <w:r w:rsidR="006F37CE" w:rsidRPr="0054131B">
        <w:rPr>
          <w:rFonts w:ascii="Times New Roman" w:hAnsi="Times New Roman"/>
          <w:sz w:val="24"/>
          <w:szCs w:val="24"/>
          <w:lang w:val="es-US"/>
        </w:rPr>
        <w:t>. Por otro lado</w:t>
      </w:r>
      <w:r w:rsidR="00E4347C" w:rsidRPr="0054131B">
        <w:rPr>
          <w:rFonts w:ascii="Times New Roman" w:hAnsi="Times New Roman"/>
          <w:sz w:val="24"/>
          <w:szCs w:val="24"/>
          <w:lang w:val="es-US"/>
        </w:rPr>
        <w:t>, e</w:t>
      </w:r>
      <w:r w:rsidR="008C43B9" w:rsidRPr="0054131B">
        <w:rPr>
          <w:rFonts w:ascii="Times New Roman" w:hAnsi="Times New Roman"/>
          <w:sz w:val="24"/>
          <w:szCs w:val="24"/>
          <w:lang w:val="es-US"/>
        </w:rPr>
        <w:t>xisten instrumentos int</w:t>
      </w:r>
      <w:r w:rsidR="000D4D37" w:rsidRPr="0054131B">
        <w:rPr>
          <w:rFonts w:ascii="Times New Roman" w:hAnsi="Times New Roman"/>
          <w:sz w:val="24"/>
          <w:szCs w:val="24"/>
          <w:lang w:val="es-US"/>
        </w:rPr>
        <w:t>ernacionales (en el SIDH</w:t>
      </w:r>
      <w:r w:rsidR="008C43B9" w:rsidRPr="0054131B">
        <w:rPr>
          <w:rFonts w:ascii="Times New Roman" w:hAnsi="Times New Roman"/>
          <w:sz w:val="24"/>
          <w:szCs w:val="24"/>
          <w:lang w:val="es-US"/>
        </w:rPr>
        <w:t xml:space="preserve"> </w:t>
      </w:r>
      <w:r w:rsidR="000D4D37" w:rsidRPr="0054131B">
        <w:rPr>
          <w:rFonts w:ascii="Times New Roman" w:hAnsi="Times New Roman"/>
          <w:sz w:val="24"/>
          <w:szCs w:val="24"/>
          <w:lang w:val="es-US"/>
        </w:rPr>
        <w:t xml:space="preserve">y </w:t>
      </w:r>
      <w:r w:rsidR="008C43B9" w:rsidRPr="0054131B">
        <w:rPr>
          <w:rFonts w:ascii="Times New Roman" w:hAnsi="Times New Roman"/>
          <w:sz w:val="24"/>
          <w:szCs w:val="24"/>
          <w:lang w:val="es-US"/>
        </w:rPr>
        <w:t>en otros sistemas)</w:t>
      </w:r>
      <w:r w:rsidR="00C465EE" w:rsidRPr="0054131B">
        <w:rPr>
          <w:rFonts w:ascii="Times New Roman" w:hAnsi="Times New Roman"/>
          <w:sz w:val="24"/>
          <w:szCs w:val="24"/>
          <w:lang w:val="es-US"/>
        </w:rPr>
        <w:t xml:space="preserve">, como la Convención Interamericana sobre la Protección de los </w:t>
      </w:r>
      <w:r w:rsidR="00363EAA" w:rsidRPr="0054131B">
        <w:rPr>
          <w:rFonts w:ascii="Times New Roman" w:hAnsi="Times New Roman"/>
          <w:sz w:val="24"/>
          <w:szCs w:val="24"/>
          <w:lang w:val="es-US"/>
        </w:rPr>
        <w:t>DDHH</w:t>
      </w:r>
      <w:r w:rsidR="00C465EE" w:rsidRPr="0054131B">
        <w:rPr>
          <w:rFonts w:ascii="Times New Roman" w:hAnsi="Times New Roman"/>
          <w:sz w:val="24"/>
          <w:szCs w:val="24"/>
          <w:lang w:val="es-US"/>
        </w:rPr>
        <w:t xml:space="preserve"> de las Personas Mayores y el Protocolo Facultativo del Pacto Internacional de DESC, </w:t>
      </w:r>
      <w:r w:rsidR="008C43B9" w:rsidRPr="0054131B">
        <w:rPr>
          <w:rFonts w:ascii="Times New Roman" w:hAnsi="Times New Roman"/>
          <w:sz w:val="24"/>
          <w:szCs w:val="24"/>
          <w:lang w:val="es-US"/>
        </w:rPr>
        <w:t xml:space="preserve">que constituyen acuerdos o prácticas </w:t>
      </w:r>
      <w:r w:rsidR="00152D7B" w:rsidRPr="0054131B">
        <w:rPr>
          <w:rFonts w:ascii="Times New Roman" w:hAnsi="Times New Roman"/>
          <w:sz w:val="24"/>
          <w:szCs w:val="24"/>
          <w:lang w:val="es-US"/>
        </w:rPr>
        <w:t>posteriores</w:t>
      </w:r>
      <w:r w:rsidR="008C43B9" w:rsidRPr="0054131B">
        <w:rPr>
          <w:rFonts w:ascii="Times New Roman" w:hAnsi="Times New Roman"/>
          <w:sz w:val="24"/>
          <w:szCs w:val="24"/>
          <w:lang w:val="es-US"/>
        </w:rPr>
        <w:t xml:space="preserve"> que demuestran la intención de los Estados de hacer justicia</w:t>
      </w:r>
      <w:r w:rsidR="00C465EE" w:rsidRPr="0054131B">
        <w:rPr>
          <w:rFonts w:ascii="Times New Roman" w:hAnsi="Times New Roman"/>
          <w:sz w:val="24"/>
          <w:szCs w:val="24"/>
          <w:lang w:val="es-US"/>
        </w:rPr>
        <w:t>bles los DESC.</w:t>
      </w:r>
    </w:p>
    <w:p w:rsidR="00746787" w:rsidRDefault="00187F00" w:rsidP="003B1275">
      <w:pPr>
        <w:pStyle w:val="NoSpacing"/>
        <w:keepNext/>
        <w:widowControl w:val="0"/>
        <w:spacing w:line="480" w:lineRule="auto"/>
        <w:jc w:val="both"/>
        <w:rPr>
          <w:rFonts w:ascii="Times New Roman" w:hAnsi="Times New Roman"/>
          <w:sz w:val="24"/>
          <w:szCs w:val="24"/>
        </w:rPr>
      </w:pPr>
      <w:r w:rsidRPr="0054131B">
        <w:rPr>
          <w:rFonts w:ascii="Times New Roman" w:hAnsi="Times New Roman"/>
          <w:sz w:val="24"/>
          <w:szCs w:val="24"/>
          <w:lang w:val="es-US"/>
        </w:rPr>
        <w:t>63</w:t>
      </w:r>
      <w:r w:rsidR="006F37CE" w:rsidRPr="0054131B">
        <w:rPr>
          <w:rFonts w:ascii="Times New Roman" w:hAnsi="Times New Roman"/>
          <w:sz w:val="24"/>
          <w:szCs w:val="24"/>
          <w:lang w:val="es-US"/>
        </w:rPr>
        <w:t xml:space="preserve">. </w:t>
      </w:r>
      <w:r w:rsidR="00597895" w:rsidRPr="0054131B">
        <w:rPr>
          <w:rFonts w:ascii="Times New Roman" w:hAnsi="Times New Roman"/>
          <w:sz w:val="24"/>
          <w:szCs w:val="24"/>
          <w:lang w:val="es-US"/>
        </w:rPr>
        <w:t xml:space="preserve">La intención de los Estados </w:t>
      </w:r>
      <w:r w:rsidR="00BB0BDF" w:rsidRPr="0054131B">
        <w:rPr>
          <w:rFonts w:ascii="Times New Roman" w:hAnsi="Times New Roman"/>
          <w:sz w:val="24"/>
          <w:szCs w:val="24"/>
          <w:lang w:val="es-US"/>
        </w:rPr>
        <w:t xml:space="preserve">de </w:t>
      </w:r>
      <w:r w:rsidR="00797FF0" w:rsidRPr="0054131B">
        <w:rPr>
          <w:rFonts w:ascii="Times New Roman" w:hAnsi="Times New Roman"/>
          <w:sz w:val="24"/>
          <w:szCs w:val="24"/>
          <w:lang w:val="es-US"/>
        </w:rPr>
        <w:t>hacer justiciables</w:t>
      </w:r>
      <w:r w:rsidR="00DD0058" w:rsidRPr="0054131B">
        <w:rPr>
          <w:rFonts w:ascii="Times New Roman" w:hAnsi="Times New Roman"/>
          <w:sz w:val="24"/>
          <w:szCs w:val="24"/>
          <w:lang w:val="es-US"/>
        </w:rPr>
        <w:t xml:space="preserve"> </w:t>
      </w:r>
      <w:r w:rsidR="00797FF0" w:rsidRPr="0054131B">
        <w:rPr>
          <w:rFonts w:ascii="Times New Roman" w:hAnsi="Times New Roman"/>
          <w:sz w:val="24"/>
          <w:szCs w:val="24"/>
          <w:lang w:val="es-US"/>
        </w:rPr>
        <w:t>los DESC, se evidencia</w:t>
      </w:r>
      <w:r w:rsidR="00597895" w:rsidRPr="0054131B">
        <w:rPr>
          <w:rFonts w:ascii="Times New Roman" w:hAnsi="Times New Roman"/>
          <w:sz w:val="24"/>
          <w:szCs w:val="24"/>
          <w:lang w:val="es-US"/>
        </w:rPr>
        <w:t xml:space="preserve"> por la práctica ulterior, </w:t>
      </w:r>
      <w:r w:rsidR="003346E1" w:rsidRPr="0054131B">
        <w:rPr>
          <w:rFonts w:ascii="Times New Roman" w:hAnsi="Times New Roman"/>
          <w:sz w:val="24"/>
          <w:szCs w:val="24"/>
          <w:lang w:val="es-US"/>
        </w:rPr>
        <w:t xml:space="preserve">por el </w:t>
      </w:r>
      <w:r w:rsidR="00597895" w:rsidRPr="0054131B">
        <w:rPr>
          <w:rFonts w:ascii="Times New Roman" w:hAnsi="Times New Roman"/>
          <w:sz w:val="24"/>
          <w:szCs w:val="24"/>
          <w:lang w:val="es-US"/>
        </w:rPr>
        <w:t>propio preámbulo de la CADH</w:t>
      </w:r>
      <w:r w:rsidR="006A7B21" w:rsidRPr="0054131B">
        <w:rPr>
          <w:rStyle w:val="FootnoteReference"/>
          <w:rFonts w:ascii="Times New Roman" w:hAnsi="Times New Roman"/>
          <w:sz w:val="24"/>
          <w:szCs w:val="24"/>
          <w:lang w:val="es-US"/>
        </w:rPr>
        <w:footnoteReference w:id="122"/>
      </w:r>
      <w:r w:rsidR="003346E1" w:rsidRPr="0054131B">
        <w:rPr>
          <w:rFonts w:ascii="Times New Roman" w:hAnsi="Times New Roman"/>
          <w:sz w:val="24"/>
          <w:szCs w:val="24"/>
          <w:lang w:val="es-US"/>
        </w:rPr>
        <w:t xml:space="preserve"> y </w:t>
      </w:r>
      <w:r w:rsidR="004E534F" w:rsidRPr="0054131B">
        <w:rPr>
          <w:rFonts w:ascii="Times New Roman" w:hAnsi="Times New Roman"/>
          <w:sz w:val="24"/>
          <w:szCs w:val="24"/>
          <w:lang w:val="es-US"/>
        </w:rPr>
        <w:t xml:space="preserve">por </w:t>
      </w:r>
      <w:r w:rsidR="000702B7" w:rsidRPr="0054131B">
        <w:rPr>
          <w:rFonts w:ascii="Times New Roman" w:hAnsi="Times New Roman"/>
          <w:sz w:val="24"/>
          <w:szCs w:val="24"/>
          <w:lang w:val="es-US"/>
        </w:rPr>
        <w:t>sus</w:t>
      </w:r>
      <w:r w:rsidR="003346E1" w:rsidRPr="0054131B">
        <w:rPr>
          <w:rFonts w:ascii="Times New Roman" w:hAnsi="Times New Roman"/>
          <w:sz w:val="24"/>
          <w:szCs w:val="24"/>
          <w:lang w:val="es-US"/>
        </w:rPr>
        <w:t xml:space="preserve"> trabajos preparatorios, como ha sido señalado por la Corte IDH</w:t>
      </w:r>
      <w:r w:rsidR="003346E1" w:rsidRPr="0054131B">
        <w:rPr>
          <w:rStyle w:val="FootnoteReference"/>
          <w:rFonts w:ascii="Times New Roman" w:hAnsi="Times New Roman"/>
          <w:sz w:val="24"/>
          <w:szCs w:val="24"/>
          <w:lang w:val="es-US"/>
        </w:rPr>
        <w:footnoteReference w:id="123"/>
      </w:r>
      <w:r w:rsidR="003D723E" w:rsidRPr="0054131B">
        <w:rPr>
          <w:rFonts w:ascii="Times New Roman" w:hAnsi="Times New Roman"/>
          <w:sz w:val="24"/>
          <w:szCs w:val="24"/>
          <w:lang w:val="es-US"/>
        </w:rPr>
        <w:t>.</w:t>
      </w:r>
      <w:r w:rsidR="00701093" w:rsidRPr="0054131B">
        <w:rPr>
          <w:rFonts w:ascii="Times New Roman" w:hAnsi="Times New Roman"/>
          <w:sz w:val="24"/>
          <w:szCs w:val="24"/>
          <w:lang w:val="es-US"/>
        </w:rPr>
        <w:t xml:space="preserve"> </w:t>
      </w:r>
      <w:r w:rsidR="00255BFA" w:rsidRPr="0054131B">
        <w:rPr>
          <w:rFonts w:ascii="Times New Roman" w:hAnsi="Times New Roman"/>
          <w:sz w:val="24"/>
          <w:szCs w:val="24"/>
          <w:lang w:val="es-US"/>
        </w:rPr>
        <w:t>Por esta razón, los</w:t>
      </w:r>
      <w:r w:rsidR="00597895" w:rsidRPr="0054131B">
        <w:rPr>
          <w:rFonts w:ascii="Times New Roman" w:hAnsi="Times New Roman"/>
          <w:sz w:val="24"/>
          <w:szCs w:val="24"/>
          <w:lang w:val="es-US"/>
        </w:rPr>
        <w:t xml:space="preserve"> DESC, recon</w:t>
      </w:r>
      <w:r w:rsidR="00F729E7" w:rsidRPr="0054131B">
        <w:rPr>
          <w:rFonts w:ascii="Times New Roman" w:hAnsi="Times New Roman"/>
          <w:sz w:val="24"/>
          <w:szCs w:val="24"/>
          <w:lang w:val="es-US"/>
        </w:rPr>
        <w:t xml:space="preserve">ocidos en el art. 26 </w:t>
      </w:r>
      <w:r w:rsidR="004E534F" w:rsidRPr="0054131B">
        <w:rPr>
          <w:rFonts w:ascii="Times New Roman" w:hAnsi="Times New Roman"/>
          <w:sz w:val="24"/>
          <w:szCs w:val="24"/>
          <w:lang w:val="es-US"/>
        </w:rPr>
        <w:t xml:space="preserve">de la CADH </w:t>
      </w:r>
      <w:r w:rsidR="003346E1" w:rsidRPr="0054131B">
        <w:rPr>
          <w:rFonts w:ascii="Times New Roman" w:hAnsi="Times New Roman"/>
          <w:sz w:val="24"/>
          <w:szCs w:val="24"/>
          <w:lang w:val="es-US"/>
        </w:rPr>
        <w:t>son plenamente exigibles</w:t>
      </w:r>
      <w:r w:rsidR="00255BFA" w:rsidRPr="0054131B">
        <w:rPr>
          <w:rFonts w:ascii="Times New Roman" w:hAnsi="Times New Roman"/>
          <w:sz w:val="24"/>
          <w:szCs w:val="24"/>
        </w:rPr>
        <w:t xml:space="preserve">, </w:t>
      </w:r>
      <w:r w:rsidR="0022178B" w:rsidRPr="0054131B">
        <w:rPr>
          <w:rFonts w:ascii="Times New Roman" w:hAnsi="Times New Roman"/>
          <w:sz w:val="24"/>
          <w:szCs w:val="24"/>
        </w:rPr>
        <w:t>consecuentemente</w:t>
      </w:r>
      <w:r w:rsidR="00797FF0" w:rsidRPr="0054131B">
        <w:rPr>
          <w:rFonts w:ascii="Times New Roman" w:hAnsi="Times New Roman"/>
          <w:sz w:val="24"/>
          <w:szCs w:val="24"/>
        </w:rPr>
        <w:t xml:space="preserve"> </w:t>
      </w:r>
      <w:r w:rsidR="00255BFA" w:rsidRPr="0054131B">
        <w:rPr>
          <w:rFonts w:ascii="Times New Roman" w:hAnsi="Times New Roman"/>
          <w:sz w:val="24"/>
          <w:szCs w:val="24"/>
        </w:rPr>
        <w:t>l</w:t>
      </w:r>
      <w:r w:rsidR="00746787" w:rsidRPr="0054131B">
        <w:rPr>
          <w:rFonts w:ascii="Times New Roman" w:hAnsi="Times New Roman"/>
          <w:sz w:val="24"/>
          <w:szCs w:val="24"/>
        </w:rPr>
        <w:t>a Corte IDH puede superv</w:t>
      </w:r>
      <w:r w:rsidR="0022178B" w:rsidRPr="0054131B">
        <w:rPr>
          <w:rFonts w:ascii="Times New Roman" w:hAnsi="Times New Roman"/>
          <w:sz w:val="24"/>
          <w:szCs w:val="24"/>
        </w:rPr>
        <w:t xml:space="preserve">isar de manera directa su </w:t>
      </w:r>
      <w:r w:rsidR="00746787" w:rsidRPr="0054131B">
        <w:rPr>
          <w:rFonts w:ascii="Times New Roman" w:hAnsi="Times New Roman"/>
          <w:sz w:val="24"/>
          <w:szCs w:val="24"/>
        </w:rPr>
        <w:t>desarrollo progresivo</w:t>
      </w:r>
      <w:r w:rsidR="00255BFA" w:rsidRPr="0054131B">
        <w:rPr>
          <w:rStyle w:val="FootnoteReference"/>
          <w:rFonts w:ascii="Times New Roman" w:hAnsi="Times New Roman"/>
          <w:sz w:val="24"/>
          <w:szCs w:val="24"/>
        </w:rPr>
        <w:footnoteReference w:id="124"/>
      </w:r>
      <w:r w:rsidR="00746787" w:rsidRPr="0054131B">
        <w:rPr>
          <w:rFonts w:ascii="Times New Roman" w:hAnsi="Times New Roman"/>
          <w:sz w:val="24"/>
          <w:szCs w:val="24"/>
        </w:rPr>
        <w:t xml:space="preserve"> y </w:t>
      </w:r>
      <w:r w:rsidR="0022178B" w:rsidRPr="0054131B">
        <w:rPr>
          <w:rFonts w:ascii="Times New Roman" w:hAnsi="Times New Roman"/>
          <w:sz w:val="24"/>
          <w:szCs w:val="24"/>
        </w:rPr>
        <w:t>la obligación</w:t>
      </w:r>
      <w:r w:rsidR="00746787" w:rsidRPr="0054131B">
        <w:rPr>
          <w:rFonts w:ascii="Times New Roman" w:hAnsi="Times New Roman"/>
          <w:sz w:val="24"/>
          <w:szCs w:val="24"/>
        </w:rPr>
        <w:t xml:space="preserve"> de no regresividad</w:t>
      </w:r>
      <w:r w:rsidR="00746787" w:rsidRPr="0054131B">
        <w:rPr>
          <w:rStyle w:val="FootnoteReference"/>
          <w:rFonts w:ascii="Times New Roman" w:hAnsi="Times New Roman"/>
          <w:sz w:val="24"/>
          <w:szCs w:val="24"/>
        </w:rPr>
        <w:footnoteReference w:id="125"/>
      </w:r>
      <w:r w:rsidR="00746787" w:rsidRPr="0054131B">
        <w:rPr>
          <w:rFonts w:ascii="Times New Roman" w:hAnsi="Times New Roman"/>
          <w:sz w:val="24"/>
          <w:szCs w:val="24"/>
        </w:rPr>
        <w:t>.</w:t>
      </w:r>
      <w:r w:rsidR="004E534F" w:rsidRPr="0054131B">
        <w:rPr>
          <w:rFonts w:ascii="Times New Roman" w:hAnsi="Times New Roman"/>
          <w:sz w:val="24"/>
          <w:szCs w:val="24"/>
        </w:rPr>
        <w:t xml:space="preserve"> </w:t>
      </w:r>
    </w:p>
    <w:p w:rsidR="008E5A4C" w:rsidRDefault="008E5A4C" w:rsidP="003B1275">
      <w:pPr>
        <w:pStyle w:val="NoSpacing"/>
        <w:keepNext/>
        <w:widowControl w:val="0"/>
        <w:spacing w:line="480" w:lineRule="auto"/>
        <w:jc w:val="both"/>
        <w:rPr>
          <w:rFonts w:ascii="Times New Roman" w:hAnsi="Times New Roman"/>
          <w:sz w:val="24"/>
          <w:szCs w:val="24"/>
        </w:rPr>
      </w:pPr>
    </w:p>
    <w:p w:rsidR="008E5A4C" w:rsidRPr="0054131B" w:rsidRDefault="008E5A4C" w:rsidP="003B1275">
      <w:pPr>
        <w:pStyle w:val="NoSpacing"/>
        <w:keepNext/>
        <w:widowControl w:val="0"/>
        <w:spacing w:line="480" w:lineRule="auto"/>
        <w:jc w:val="both"/>
        <w:rPr>
          <w:rFonts w:ascii="Times New Roman" w:hAnsi="Times New Roman"/>
          <w:sz w:val="24"/>
          <w:szCs w:val="24"/>
          <w:lang w:val="es-US"/>
        </w:rPr>
      </w:pPr>
    </w:p>
    <w:p w:rsidR="00F34327" w:rsidRPr="0054131B" w:rsidRDefault="00B24983" w:rsidP="003B1275">
      <w:pPr>
        <w:pStyle w:val="NoSpacing"/>
        <w:widowControl w:val="0"/>
        <w:spacing w:line="480" w:lineRule="auto"/>
        <w:jc w:val="both"/>
        <w:outlineLvl w:val="2"/>
        <w:rPr>
          <w:rFonts w:ascii="Times New Roman" w:hAnsi="Times New Roman"/>
          <w:b/>
          <w:sz w:val="24"/>
          <w:szCs w:val="24"/>
        </w:rPr>
      </w:pPr>
      <w:bookmarkStart w:id="69" w:name="_Toc446715481"/>
      <w:bookmarkStart w:id="70" w:name="_Toc446716104"/>
      <w:bookmarkStart w:id="71" w:name="_Toc446716835"/>
      <w:bookmarkStart w:id="72" w:name="_Toc446717046"/>
      <w:bookmarkStart w:id="73" w:name="_Toc446776789"/>
      <w:r w:rsidRPr="0054131B">
        <w:rPr>
          <w:rFonts w:ascii="Times New Roman" w:hAnsi="Times New Roman"/>
          <w:b/>
          <w:sz w:val="24"/>
          <w:szCs w:val="24"/>
        </w:rPr>
        <w:lastRenderedPageBreak/>
        <w:t>B</w:t>
      </w:r>
      <w:r w:rsidR="004C7676" w:rsidRPr="0054131B">
        <w:rPr>
          <w:rFonts w:ascii="Times New Roman" w:hAnsi="Times New Roman"/>
          <w:b/>
          <w:sz w:val="24"/>
          <w:szCs w:val="24"/>
        </w:rPr>
        <w:t xml:space="preserve">.4.4 </w:t>
      </w:r>
      <w:r w:rsidR="00597895" w:rsidRPr="0054131B">
        <w:rPr>
          <w:rFonts w:ascii="Times New Roman" w:hAnsi="Times New Roman"/>
          <w:b/>
          <w:sz w:val="24"/>
          <w:szCs w:val="24"/>
        </w:rPr>
        <w:t>V</w:t>
      </w:r>
      <w:r w:rsidR="004C7676" w:rsidRPr="0054131B">
        <w:rPr>
          <w:rFonts w:ascii="Times New Roman" w:hAnsi="Times New Roman"/>
          <w:b/>
          <w:sz w:val="24"/>
          <w:szCs w:val="24"/>
        </w:rPr>
        <w:t>iolación</w:t>
      </w:r>
      <w:r w:rsidR="00140B55" w:rsidRPr="0054131B">
        <w:rPr>
          <w:rFonts w:ascii="Times New Roman" w:hAnsi="Times New Roman"/>
          <w:b/>
          <w:sz w:val="24"/>
          <w:szCs w:val="24"/>
        </w:rPr>
        <w:t xml:space="preserve"> </w:t>
      </w:r>
      <w:r w:rsidR="004C7676" w:rsidRPr="0054131B">
        <w:rPr>
          <w:rFonts w:ascii="Times New Roman" w:hAnsi="Times New Roman"/>
          <w:b/>
          <w:sz w:val="24"/>
          <w:szCs w:val="24"/>
        </w:rPr>
        <w:t>d</w:t>
      </w:r>
      <w:r w:rsidR="00597895" w:rsidRPr="0054131B">
        <w:rPr>
          <w:rFonts w:ascii="Times New Roman" w:hAnsi="Times New Roman"/>
          <w:b/>
          <w:sz w:val="24"/>
          <w:szCs w:val="24"/>
        </w:rPr>
        <w:t>el art. 26 de la CADH</w:t>
      </w:r>
      <w:r w:rsidR="004C7676" w:rsidRPr="0054131B">
        <w:rPr>
          <w:rFonts w:ascii="Times New Roman" w:hAnsi="Times New Roman"/>
          <w:b/>
          <w:sz w:val="24"/>
          <w:szCs w:val="24"/>
        </w:rPr>
        <w:t xml:space="preserve"> en perjuicio del Pueblo Pichicha</w:t>
      </w:r>
      <w:bookmarkEnd w:id="69"/>
      <w:bookmarkEnd w:id="70"/>
      <w:bookmarkEnd w:id="71"/>
      <w:bookmarkEnd w:id="72"/>
      <w:bookmarkEnd w:id="73"/>
    </w:p>
    <w:p w:rsidR="00F34327" w:rsidRPr="0054131B" w:rsidRDefault="00187F00" w:rsidP="003B1275">
      <w:pPr>
        <w:pStyle w:val="NoSpacing"/>
        <w:widowControl w:val="0"/>
        <w:spacing w:line="480" w:lineRule="auto"/>
        <w:jc w:val="both"/>
        <w:rPr>
          <w:rFonts w:ascii="Times New Roman" w:hAnsi="Times New Roman"/>
          <w:b/>
          <w:sz w:val="24"/>
          <w:szCs w:val="24"/>
        </w:rPr>
      </w:pPr>
      <w:r w:rsidRPr="0054131B">
        <w:rPr>
          <w:rFonts w:ascii="Times New Roman" w:hAnsi="Times New Roman"/>
          <w:sz w:val="24"/>
          <w:szCs w:val="24"/>
        </w:rPr>
        <w:t>64</w:t>
      </w:r>
      <w:r w:rsidR="00EA0015" w:rsidRPr="0054131B">
        <w:rPr>
          <w:rFonts w:ascii="Times New Roman" w:hAnsi="Times New Roman"/>
          <w:sz w:val="24"/>
          <w:szCs w:val="24"/>
        </w:rPr>
        <w:t xml:space="preserve">. </w:t>
      </w:r>
      <w:r w:rsidR="00F34327" w:rsidRPr="0054131B">
        <w:rPr>
          <w:rFonts w:ascii="Times New Roman" w:hAnsi="Times New Roman"/>
          <w:sz w:val="24"/>
          <w:szCs w:val="24"/>
        </w:rPr>
        <w:t>La Corte IDH, para dotar de contenido al art. 26, ha recurrido a instrumentos internacionales y a pronunciamientos de otros tribunales</w:t>
      </w:r>
      <w:r w:rsidR="00F34327" w:rsidRPr="0054131B">
        <w:rPr>
          <w:rStyle w:val="FootnoteReference"/>
          <w:rFonts w:ascii="Times New Roman" w:hAnsi="Times New Roman"/>
          <w:sz w:val="24"/>
          <w:szCs w:val="24"/>
        </w:rPr>
        <w:footnoteReference w:id="126"/>
      </w:r>
      <w:r w:rsidR="00F34327" w:rsidRPr="0054131B">
        <w:rPr>
          <w:rFonts w:ascii="Times New Roman" w:hAnsi="Times New Roman"/>
          <w:sz w:val="24"/>
          <w:szCs w:val="24"/>
        </w:rPr>
        <w:t>; dentro de ellos, las recomendaciones hechas por el Comité de Derechos Económicos, Sociales</w:t>
      </w:r>
      <w:r w:rsidR="00AF414B" w:rsidRPr="0054131B">
        <w:rPr>
          <w:rFonts w:ascii="Times New Roman" w:hAnsi="Times New Roman"/>
          <w:sz w:val="24"/>
          <w:szCs w:val="24"/>
        </w:rPr>
        <w:t xml:space="preserve"> y Culturales (en adelante Comité DESC</w:t>
      </w:r>
      <w:r w:rsidR="00F34327" w:rsidRPr="0054131B">
        <w:rPr>
          <w:rFonts w:ascii="Times New Roman" w:hAnsi="Times New Roman"/>
          <w:sz w:val="24"/>
          <w:szCs w:val="24"/>
        </w:rPr>
        <w:t>).</w:t>
      </w:r>
    </w:p>
    <w:p w:rsidR="003D2E17" w:rsidRPr="0054131B" w:rsidRDefault="00187F0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rPr>
        <w:t>65</w:t>
      </w:r>
      <w:r w:rsidR="00EA0015" w:rsidRPr="0054131B">
        <w:rPr>
          <w:rFonts w:ascii="Times New Roman" w:hAnsi="Times New Roman"/>
          <w:sz w:val="24"/>
          <w:szCs w:val="24"/>
        </w:rPr>
        <w:t xml:space="preserve">. </w:t>
      </w:r>
      <w:r w:rsidR="00AF414B" w:rsidRPr="0054131B">
        <w:rPr>
          <w:rFonts w:ascii="Times New Roman" w:hAnsi="Times New Roman"/>
          <w:sz w:val="24"/>
          <w:szCs w:val="24"/>
        </w:rPr>
        <w:t>El Comité DESC</w:t>
      </w:r>
      <w:r w:rsidR="00F34327" w:rsidRPr="0054131B">
        <w:rPr>
          <w:rFonts w:ascii="Times New Roman" w:hAnsi="Times New Roman"/>
          <w:sz w:val="24"/>
          <w:szCs w:val="24"/>
        </w:rPr>
        <w:t>,</w:t>
      </w:r>
      <w:r w:rsidR="00EA0015" w:rsidRPr="0054131B">
        <w:rPr>
          <w:rFonts w:ascii="Times New Roman" w:hAnsi="Times New Roman"/>
          <w:sz w:val="24"/>
          <w:szCs w:val="24"/>
        </w:rPr>
        <w:t xml:space="preserve"> en su Observación General </w:t>
      </w:r>
      <w:r w:rsidR="00F34327" w:rsidRPr="0054131B">
        <w:rPr>
          <w:rFonts w:ascii="Times New Roman" w:hAnsi="Times New Roman"/>
          <w:sz w:val="24"/>
          <w:szCs w:val="24"/>
        </w:rPr>
        <w:t xml:space="preserve">“El derecho al agua”, </w:t>
      </w:r>
      <w:r w:rsidR="00F34327" w:rsidRPr="0054131B">
        <w:rPr>
          <w:rFonts w:ascii="Times New Roman" w:hAnsi="Times New Roman"/>
          <w:sz w:val="24"/>
          <w:szCs w:val="24"/>
          <w:lang w:val="es-US"/>
        </w:rPr>
        <w:t>señaló que si se adoptan medidas deliberadamente regresivas, corresponde al Estado demostrar que se han aplicado tras un examen sumamente exhaustivo de todas las alternativas posibles y que están debidamente justificadas</w:t>
      </w:r>
      <w:r w:rsidR="00F34327" w:rsidRPr="0054131B">
        <w:rPr>
          <w:rStyle w:val="FootnoteReference"/>
          <w:rFonts w:ascii="Times New Roman" w:hAnsi="Times New Roman"/>
          <w:sz w:val="24"/>
          <w:szCs w:val="24"/>
          <w:lang w:val="es-US"/>
        </w:rPr>
        <w:footnoteReference w:id="127"/>
      </w:r>
      <w:r w:rsidR="00F34327" w:rsidRPr="0054131B">
        <w:rPr>
          <w:rFonts w:ascii="Times New Roman" w:hAnsi="Times New Roman"/>
          <w:sz w:val="24"/>
          <w:szCs w:val="24"/>
          <w:lang w:val="es-US"/>
        </w:rPr>
        <w:t>. La Corte IDH</w:t>
      </w:r>
      <w:r w:rsidR="00AF414B"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t>comparte esta posición</w:t>
      </w:r>
      <w:r w:rsidR="00510C8A" w:rsidRPr="0054131B">
        <w:rPr>
          <w:rStyle w:val="FootnoteReference"/>
          <w:rFonts w:ascii="Times New Roman" w:hAnsi="Times New Roman"/>
          <w:sz w:val="24"/>
          <w:szCs w:val="24"/>
        </w:rPr>
        <w:footnoteReference w:id="128"/>
      </w:r>
      <w:r w:rsidR="00F34327" w:rsidRPr="0054131B">
        <w:rPr>
          <w:rFonts w:ascii="Times New Roman" w:hAnsi="Times New Roman"/>
          <w:sz w:val="24"/>
          <w:szCs w:val="24"/>
          <w:lang w:val="es-US"/>
        </w:rPr>
        <w:t xml:space="preserve">; </w:t>
      </w:r>
      <w:r w:rsidR="00A90C08" w:rsidRPr="0054131B">
        <w:rPr>
          <w:rFonts w:ascii="Times New Roman" w:hAnsi="Times New Roman"/>
          <w:sz w:val="24"/>
          <w:szCs w:val="24"/>
          <w:lang w:val="es-US"/>
        </w:rPr>
        <w:t xml:space="preserve">ha señalado </w:t>
      </w:r>
      <w:r w:rsidR="00F34327" w:rsidRPr="0054131B">
        <w:rPr>
          <w:rFonts w:ascii="Times New Roman" w:hAnsi="Times New Roman"/>
          <w:sz w:val="24"/>
          <w:szCs w:val="24"/>
          <w:lang w:val="es-US"/>
        </w:rPr>
        <w:t>que</w:t>
      </w:r>
      <w:r w:rsidR="00F34327" w:rsidRPr="0054131B">
        <w:rPr>
          <w:rFonts w:ascii="Times New Roman" w:hAnsi="Times New Roman"/>
          <w:sz w:val="24"/>
          <w:szCs w:val="24"/>
        </w:rPr>
        <w:t xml:space="preserve"> para evaluar si una medida regresiva es compatible con la CADH, se deberá determinar si se encuentra justificada por razones de suficiente peso</w:t>
      </w:r>
      <w:r w:rsidR="00F34327" w:rsidRPr="0054131B">
        <w:rPr>
          <w:rStyle w:val="FootnoteReference"/>
          <w:rFonts w:ascii="Times New Roman" w:hAnsi="Times New Roman"/>
          <w:sz w:val="24"/>
          <w:szCs w:val="24"/>
        </w:rPr>
        <w:footnoteReference w:id="129"/>
      </w:r>
      <w:r w:rsidR="00F34327" w:rsidRPr="0054131B">
        <w:rPr>
          <w:rFonts w:ascii="Times New Roman" w:hAnsi="Times New Roman"/>
          <w:sz w:val="24"/>
          <w:szCs w:val="24"/>
        </w:rPr>
        <w:t xml:space="preserve">. </w:t>
      </w:r>
    </w:p>
    <w:p w:rsidR="0069281C" w:rsidRPr="0054131B" w:rsidRDefault="00187F00" w:rsidP="003B1275">
      <w:pPr>
        <w:pStyle w:val="NoSpacing"/>
        <w:widowControl w:val="0"/>
        <w:spacing w:line="480" w:lineRule="auto"/>
        <w:jc w:val="both"/>
        <w:rPr>
          <w:rFonts w:ascii="Times New Roman" w:hAnsi="Times New Roman"/>
          <w:sz w:val="24"/>
          <w:szCs w:val="24"/>
          <w:lang w:val="es-US"/>
        </w:rPr>
      </w:pPr>
      <w:r w:rsidRPr="0054131B">
        <w:rPr>
          <w:rFonts w:ascii="Times New Roman" w:hAnsi="Times New Roman"/>
          <w:sz w:val="24"/>
          <w:szCs w:val="24"/>
        </w:rPr>
        <w:t>66</w:t>
      </w:r>
      <w:r w:rsidR="00B1352B" w:rsidRPr="0054131B">
        <w:rPr>
          <w:rFonts w:ascii="Times New Roman" w:hAnsi="Times New Roman"/>
          <w:sz w:val="24"/>
          <w:szCs w:val="24"/>
        </w:rPr>
        <w:t xml:space="preserve">. </w:t>
      </w:r>
      <w:r w:rsidR="00F34327" w:rsidRPr="0054131B">
        <w:rPr>
          <w:rFonts w:ascii="Times New Roman" w:hAnsi="Times New Roman"/>
          <w:sz w:val="24"/>
          <w:szCs w:val="24"/>
        </w:rPr>
        <w:t>El agua tiene una importancia vital que trasciende la dimensión corporal de consumo</w:t>
      </w:r>
      <w:r w:rsidR="00F34327" w:rsidRPr="0054131B">
        <w:rPr>
          <w:rStyle w:val="FootnoteReference"/>
          <w:rFonts w:ascii="Times New Roman" w:hAnsi="Times New Roman"/>
          <w:sz w:val="24"/>
          <w:szCs w:val="24"/>
        </w:rPr>
        <w:footnoteReference w:id="130"/>
      </w:r>
      <w:r w:rsidR="00F34327" w:rsidRPr="0054131B">
        <w:rPr>
          <w:rFonts w:ascii="Times New Roman" w:hAnsi="Times New Roman"/>
          <w:sz w:val="24"/>
          <w:szCs w:val="24"/>
        </w:rPr>
        <w:t xml:space="preserve"> y es necesaria </w:t>
      </w:r>
      <w:r w:rsidR="00F34327" w:rsidRPr="0054131B">
        <w:rPr>
          <w:rFonts w:ascii="Times New Roman" w:hAnsi="Times New Roman"/>
          <w:sz w:val="24"/>
          <w:szCs w:val="24"/>
          <w:lang w:val="es-US"/>
        </w:rPr>
        <w:t>para disfrutar de determinadas prácticas culturales</w:t>
      </w:r>
      <w:r w:rsidR="00F34327" w:rsidRPr="0054131B">
        <w:rPr>
          <w:rStyle w:val="FootnoteReference"/>
          <w:rFonts w:ascii="Times New Roman" w:hAnsi="Times New Roman"/>
          <w:sz w:val="24"/>
          <w:szCs w:val="24"/>
          <w:lang w:val="es-US"/>
        </w:rPr>
        <w:footnoteReference w:id="131"/>
      </w:r>
      <w:r w:rsidR="00F34327" w:rsidRPr="0054131B">
        <w:rPr>
          <w:rFonts w:ascii="Times New Roman" w:hAnsi="Times New Roman"/>
          <w:sz w:val="24"/>
          <w:szCs w:val="24"/>
          <w:lang w:val="es-US"/>
        </w:rPr>
        <w:t xml:space="preserve">, que </w:t>
      </w:r>
      <w:r w:rsidR="00F34327" w:rsidRPr="0054131B">
        <w:rPr>
          <w:rFonts w:ascii="Times New Roman" w:hAnsi="Times New Roman"/>
          <w:sz w:val="24"/>
          <w:szCs w:val="24"/>
        </w:rPr>
        <w:t>aseguran la supervivencia, desarrollo y continuidad del estilo de vida de los pueblos indígenas</w:t>
      </w:r>
      <w:r w:rsidR="00F34327" w:rsidRPr="0054131B">
        <w:rPr>
          <w:rStyle w:val="FootnoteReference"/>
          <w:rFonts w:ascii="Times New Roman" w:hAnsi="Times New Roman"/>
          <w:sz w:val="24"/>
          <w:szCs w:val="24"/>
        </w:rPr>
        <w:footnoteReference w:id="132"/>
      </w:r>
      <w:r w:rsidR="00F34327" w:rsidRPr="0054131B">
        <w:rPr>
          <w:rFonts w:ascii="Times New Roman" w:hAnsi="Times New Roman"/>
          <w:sz w:val="24"/>
          <w:szCs w:val="24"/>
          <w:lang w:val="es-US"/>
        </w:rPr>
        <w:t xml:space="preserve">. Sin embargo, </w:t>
      </w:r>
      <w:r w:rsidR="003D2E17" w:rsidRPr="0054131B">
        <w:rPr>
          <w:rFonts w:ascii="Times New Roman" w:hAnsi="Times New Roman"/>
          <w:sz w:val="24"/>
          <w:szCs w:val="24"/>
        </w:rPr>
        <w:t>la utilización del Riachuelo de Mandí, lugar en el que se practican cultos religiosos, fue una</w:t>
      </w:r>
      <w:r w:rsidR="0069281C" w:rsidRPr="0054131B">
        <w:rPr>
          <w:rFonts w:ascii="Times New Roman" w:hAnsi="Times New Roman"/>
          <w:sz w:val="24"/>
          <w:szCs w:val="24"/>
        </w:rPr>
        <w:t xml:space="preserve"> medida</w:t>
      </w:r>
      <w:r w:rsidR="003D2E17" w:rsidRPr="0054131B">
        <w:rPr>
          <w:rFonts w:ascii="Times New Roman" w:hAnsi="Times New Roman"/>
          <w:sz w:val="24"/>
          <w:szCs w:val="24"/>
        </w:rPr>
        <w:t xml:space="preserve"> injustificada, pues </w:t>
      </w:r>
      <w:r w:rsidR="003D2E17" w:rsidRPr="0054131B">
        <w:rPr>
          <w:rFonts w:ascii="Times New Roman" w:hAnsi="Times New Roman"/>
          <w:sz w:val="24"/>
          <w:szCs w:val="24"/>
          <w:lang w:val="es-US"/>
        </w:rPr>
        <w:t xml:space="preserve">pese a su intangibilidad, el </w:t>
      </w:r>
      <w:r w:rsidR="00F34327" w:rsidRPr="0054131B">
        <w:rPr>
          <w:rFonts w:ascii="Times New Roman" w:hAnsi="Times New Roman"/>
          <w:sz w:val="24"/>
          <w:szCs w:val="24"/>
          <w:lang w:val="es-US"/>
        </w:rPr>
        <w:t xml:space="preserve">Estado decidió utilizarlo. </w:t>
      </w:r>
      <w:r w:rsidR="00B1352B" w:rsidRPr="0054131B">
        <w:rPr>
          <w:rFonts w:ascii="Times New Roman" w:hAnsi="Times New Roman"/>
          <w:sz w:val="24"/>
          <w:szCs w:val="24"/>
          <w:lang w:val="es-US"/>
        </w:rPr>
        <w:t>Si bien la</w:t>
      </w:r>
      <w:r w:rsidR="00F34327" w:rsidRPr="0054131B">
        <w:rPr>
          <w:rFonts w:ascii="Times New Roman" w:hAnsi="Times New Roman"/>
          <w:sz w:val="24"/>
          <w:szCs w:val="24"/>
          <w:lang w:val="es-US"/>
        </w:rPr>
        <w:t xml:space="preserve"> situación de emergencia requería </w:t>
      </w:r>
      <w:r w:rsidR="00B1352B" w:rsidRPr="0054131B">
        <w:rPr>
          <w:rFonts w:ascii="Times New Roman" w:hAnsi="Times New Roman"/>
          <w:sz w:val="24"/>
          <w:szCs w:val="24"/>
          <w:lang w:val="es-US"/>
        </w:rPr>
        <w:t>la captación de agua</w:t>
      </w:r>
      <w:r w:rsidR="0069281C" w:rsidRPr="0054131B">
        <w:rPr>
          <w:rFonts w:ascii="Times New Roman" w:hAnsi="Times New Roman"/>
          <w:sz w:val="24"/>
          <w:szCs w:val="24"/>
          <w:lang w:val="es-US"/>
        </w:rPr>
        <w:t>,</w:t>
      </w:r>
      <w:r w:rsidR="00F34327" w:rsidRPr="0054131B">
        <w:rPr>
          <w:rFonts w:ascii="Times New Roman" w:hAnsi="Times New Roman"/>
          <w:sz w:val="24"/>
          <w:szCs w:val="24"/>
          <w:lang w:val="es-US"/>
        </w:rPr>
        <w:t xml:space="preserve"> la utilización del Ri</w:t>
      </w:r>
      <w:r w:rsidR="0069281C" w:rsidRPr="0054131B">
        <w:rPr>
          <w:rFonts w:ascii="Times New Roman" w:hAnsi="Times New Roman"/>
          <w:sz w:val="24"/>
          <w:szCs w:val="24"/>
          <w:lang w:val="es-US"/>
        </w:rPr>
        <w:t>achuelo de Mandí no se encontró</w:t>
      </w:r>
      <w:r w:rsidR="00F34327"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lastRenderedPageBreak/>
        <w:t>justificada por existir fuentes alternativas</w:t>
      </w:r>
      <w:r w:rsidR="004E355B" w:rsidRPr="0054131B">
        <w:rPr>
          <w:rFonts w:ascii="Times New Roman" w:hAnsi="Times New Roman"/>
          <w:sz w:val="24"/>
          <w:szCs w:val="24"/>
          <w:lang w:val="es-US"/>
        </w:rPr>
        <w:t xml:space="preserve"> que debieron utilizarse</w:t>
      </w:r>
      <w:r w:rsidR="004F6A5F" w:rsidRPr="0054131B">
        <w:rPr>
          <w:rFonts w:ascii="Times New Roman" w:hAnsi="Times New Roman"/>
          <w:sz w:val="24"/>
          <w:szCs w:val="24"/>
          <w:lang w:val="es-US"/>
        </w:rPr>
        <w:t>.</w:t>
      </w:r>
      <w:r w:rsidR="00F34327" w:rsidRPr="0054131B">
        <w:rPr>
          <w:rFonts w:ascii="Times New Roman" w:hAnsi="Times New Roman"/>
          <w:sz w:val="24"/>
          <w:szCs w:val="24"/>
          <w:lang w:val="es-US"/>
        </w:rPr>
        <w:t xml:space="preserve"> </w:t>
      </w:r>
    </w:p>
    <w:p w:rsidR="00D61BB6" w:rsidRPr="0054131B" w:rsidRDefault="00187F00" w:rsidP="003B1275">
      <w:pPr>
        <w:pStyle w:val="NoSpacing"/>
        <w:widowControl w:val="0"/>
        <w:spacing w:line="480" w:lineRule="auto"/>
        <w:jc w:val="both"/>
        <w:rPr>
          <w:rFonts w:ascii="Times New Roman" w:hAnsi="Times New Roman"/>
          <w:b/>
          <w:sz w:val="24"/>
          <w:szCs w:val="24"/>
          <w:lang w:val="es-US"/>
        </w:rPr>
      </w:pPr>
      <w:r w:rsidRPr="0054131B">
        <w:rPr>
          <w:rFonts w:ascii="Times New Roman" w:hAnsi="Times New Roman"/>
          <w:sz w:val="24"/>
          <w:szCs w:val="24"/>
          <w:lang w:val="es-US"/>
        </w:rPr>
        <w:t>67</w:t>
      </w:r>
      <w:r w:rsidR="0069281C" w:rsidRPr="0054131B">
        <w:rPr>
          <w:rFonts w:ascii="Times New Roman" w:hAnsi="Times New Roman"/>
          <w:sz w:val="24"/>
          <w:szCs w:val="24"/>
          <w:lang w:val="es-US"/>
        </w:rPr>
        <w:t xml:space="preserve">. </w:t>
      </w:r>
      <w:r w:rsidR="00921B13" w:rsidRPr="0054131B">
        <w:rPr>
          <w:rFonts w:ascii="Times New Roman" w:hAnsi="Times New Roman"/>
          <w:sz w:val="24"/>
          <w:szCs w:val="24"/>
          <w:lang w:val="es-US"/>
        </w:rPr>
        <w:t>Santa Clara podría sostener que la captación</w:t>
      </w:r>
      <w:r w:rsidR="00082868" w:rsidRPr="0054131B">
        <w:rPr>
          <w:rFonts w:ascii="Times New Roman" w:hAnsi="Times New Roman"/>
          <w:sz w:val="24"/>
          <w:szCs w:val="24"/>
          <w:lang w:val="es-US"/>
        </w:rPr>
        <w:t xml:space="preserve"> </w:t>
      </w:r>
      <w:r w:rsidR="00CC6FEB" w:rsidRPr="0054131B">
        <w:rPr>
          <w:rFonts w:ascii="Times New Roman" w:hAnsi="Times New Roman"/>
          <w:sz w:val="24"/>
          <w:szCs w:val="24"/>
          <w:lang w:val="es-US"/>
        </w:rPr>
        <w:t xml:space="preserve">de </w:t>
      </w:r>
      <w:r w:rsidR="004E355B" w:rsidRPr="0054131B">
        <w:rPr>
          <w:rFonts w:ascii="Times New Roman" w:hAnsi="Times New Roman"/>
          <w:sz w:val="24"/>
          <w:szCs w:val="24"/>
          <w:lang w:val="es-US"/>
        </w:rPr>
        <w:t>agua de estas</w:t>
      </w:r>
      <w:r w:rsidR="00F34327" w:rsidRPr="0054131B">
        <w:rPr>
          <w:rFonts w:ascii="Times New Roman" w:hAnsi="Times New Roman"/>
          <w:sz w:val="24"/>
          <w:szCs w:val="24"/>
          <w:lang w:val="es-US"/>
        </w:rPr>
        <w:t xml:space="preserve"> fu</w:t>
      </w:r>
      <w:r w:rsidR="00082868" w:rsidRPr="0054131B">
        <w:rPr>
          <w:rFonts w:ascii="Times New Roman" w:hAnsi="Times New Roman"/>
          <w:sz w:val="24"/>
          <w:szCs w:val="24"/>
          <w:lang w:val="es-US"/>
        </w:rPr>
        <w:t>entes</w:t>
      </w:r>
      <w:r w:rsidR="004E355B" w:rsidRPr="0054131B">
        <w:rPr>
          <w:rFonts w:ascii="Times New Roman" w:hAnsi="Times New Roman"/>
          <w:sz w:val="24"/>
          <w:szCs w:val="24"/>
          <w:lang w:val="es-US"/>
        </w:rPr>
        <w:t xml:space="preserve"> </w:t>
      </w:r>
      <w:r w:rsidR="00082868" w:rsidRPr="0054131B">
        <w:rPr>
          <w:rFonts w:ascii="Times New Roman" w:hAnsi="Times New Roman"/>
          <w:sz w:val="24"/>
          <w:szCs w:val="24"/>
          <w:lang w:val="es-US"/>
        </w:rPr>
        <w:t>tendría un costo excesivo, sin embargo,</w:t>
      </w:r>
      <w:r w:rsidR="00F34327" w:rsidRPr="0054131B">
        <w:rPr>
          <w:rFonts w:ascii="Times New Roman" w:hAnsi="Times New Roman"/>
          <w:sz w:val="24"/>
          <w:szCs w:val="24"/>
        </w:rPr>
        <w:t xml:space="preserve"> el </w:t>
      </w:r>
      <w:r w:rsidR="0069281C" w:rsidRPr="0054131B">
        <w:rPr>
          <w:rFonts w:ascii="Times New Roman" w:hAnsi="Times New Roman"/>
          <w:sz w:val="24"/>
          <w:szCs w:val="24"/>
        </w:rPr>
        <w:t>Comité DESC</w:t>
      </w:r>
      <w:r w:rsidR="00F34327" w:rsidRPr="0054131B">
        <w:rPr>
          <w:rFonts w:ascii="Times New Roman" w:hAnsi="Times New Roman"/>
          <w:sz w:val="24"/>
          <w:szCs w:val="24"/>
        </w:rPr>
        <w:t xml:space="preserve"> ha señalado que para que un Estado pueda alegar la falta de recursos disponibles, debe demostrar que ha </w:t>
      </w:r>
      <w:r w:rsidR="007E5591" w:rsidRPr="0054131B">
        <w:rPr>
          <w:rFonts w:ascii="Times New Roman" w:hAnsi="Times New Roman"/>
          <w:sz w:val="24"/>
          <w:szCs w:val="24"/>
        </w:rPr>
        <w:t xml:space="preserve">utilizado </w:t>
      </w:r>
      <w:r w:rsidR="00F34327" w:rsidRPr="0054131B">
        <w:rPr>
          <w:rFonts w:ascii="Times New Roman" w:hAnsi="Times New Roman"/>
          <w:sz w:val="24"/>
          <w:szCs w:val="24"/>
        </w:rPr>
        <w:t>los recursos que están a su disposición</w:t>
      </w:r>
      <w:r w:rsidR="00F34327" w:rsidRPr="0054131B">
        <w:rPr>
          <w:rStyle w:val="FootnoteReference"/>
          <w:rFonts w:ascii="Times New Roman" w:hAnsi="Times New Roman"/>
          <w:sz w:val="24"/>
          <w:szCs w:val="24"/>
        </w:rPr>
        <w:footnoteReference w:id="133"/>
      </w:r>
      <w:r w:rsidR="00F34327" w:rsidRPr="0054131B">
        <w:rPr>
          <w:rFonts w:ascii="Times New Roman" w:hAnsi="Times New Roman"/>
          <w:sz w:val="24"/>
          <w:szCs w:val="24"/>
        </w:rPr>
        <w:t>.</w:t>
      </w:r>
      <w:r w:rsidR="00EF7926" w:rsidRPr="0054131B">
        <w:rPr>
          <w:rFonts w:ascii="Times New Roman" w:hAnsi="Times New Roman"/>
          <w:sz w:val="24"/>
          <w:szCs w:val="24"/>
        </w:rPr>
        <w:t xml:space="preserve"> </w:t>
      </w:r>
      <w:r w:rsidR="007E5591" w:rsidRPr="0054131B">
        <w:rPr>
          <w:rFonts w:ascii="Times New Roman" w:hAnsi="Times New Roman"/>
          <w:sz w:val="24"/>
          <w:szCs w:val="24"/>
          <w:lang w:val="es-US"/>
        </w:rPr>
        <w:t xml:space="preserve">Considerando el PBI y el Índice de Desarrollo Humano </w:t>
      </w:r>
      <w:r w:rsidR="00F34327" w:rsidRPr="0054131B">
        <w:rPr>
          <w:rFonts w:ascii="Times New Roman" w:hAnsi="Times New Roman"/>
          <w:sz w:val="24"/>
          <w:szCs w:val="24"/>
        </w:rPr>
        <w:t>de Santa Clara</w:t>
      </w:r>
      <w:r w:rsidR="00EF7926" w:rsidRPr="0054131B">
        <w:rPr>
          <w:rFonts w:ascii="Times New Roman" w:hAnsi="Times New Roman"/>
          <w:sz w:val="24"/>
          <w:szCs w:val="24"/>
          <w:lang w:val="es-US"/>
        </w:rPr>
        <w:t>, resulta evidente</w:t>
      </w:r>
      <w:r w:rsidR="00F34327" w:rsidRPr="0054131B">
        <w:rPr>
          <w:rFonts w:ascii="Times New Roman" w:hAnsi="Times New Roman"/>
          <w:sz w:val="24"/>
          <w:szCs w:val="24"/>
          <w:lang w:val="es-US"/>
        </w:rPr>
        <w:t xml:space="preserve"> que el Estado disponía de recursos suficientes para captar agua de otras fuentes.</w:t>
      </w:r>
      <w:r w:rsidRPr="0054131B">
        <w:rPr>
          <w:rFonts w:ascii="Times New Roman" w:hAnsi="Times New Roman"/>
          <w:sz w:val="24"/>
          <w:szCs w:val="24"/>
          <w:lang w:val="es-US"/>
        </w:rPr>
        <w:t xml:space="preserve"> </w:t>
      </w:r>
      <w:r w:rsidR="004E355B" w:rsidRPr="0054131B">
        <w:rPr>
          <w:rFonts w:ascii="Times New Roman" w:hAnsi="Times New Roman"/>
          <w:sz w:val="24"/>
          <w:szCs w:val="24"/>
          <w:lang w:val="es-US"/>
        </w:rPr>
        <w:t>Por lo que</w:t>
      </w:r>
      <w:r w:rsidR="00F34327" w:rsidRPr="0054131B">
        <w:rPr>
          <w:rFonts w:ascii="Times New Roman" w:hAnsi="Times New Roman"/>
          <w:sz w:val="24"/>
          <w:szCs w:val="24"/>
          <w:lang w:val="es-US"/>
        </w:rPr>
        <w:t xml:space="preserve"> queda demostrado que la captación de agua del Riachuelo de Mandí constituye una medida</w:t>
      </w:r>
      <w:r w:rsidRPr="0054131B">
        <w:rPr>
          <w:rFonts w:ascii="Times New Roman" w:hAnsi="Times New Roman"/>
          <w:sz w:val="24"/>
          <w:szCs w:val="24"/>
          <w:lang w:val="es-US"/>
        </w:rPr>
        <w:t>, injustificada</w:t>
      </w:r>
      <w:r w:rsidR="00F34327" w:rsidRPr="0054131B">
        <w:rPr>
          <w:rFonts w:ascii="Times New Roman" w:hAnsi="Times New Roman"/>
          <w:sz w:val="24"/>
          <w:szCs w:val="24"/>
          <w:lang w:val="es-US"/>
        </w:rPr>
        <w:t xml:space="preserve"> que afectó el derecho al agua del Pueblo Pichicha</w:t>
      </w:r>
      <w:r w:rsidRPr="0054131B">
        <w:rPr>
          <w:rFonts w:ascii="Times New Roman" w:hAnsi="Times New Roman"/>
          <w:sz w:val="24"/>
          <w:szCs w:val="24"/>
          <w:lang w:val="es-US"/>
        </w:rPr>
        <w:t>.</w:t>
      </w:r>
    </w:p>
    <w:p w:rsidR="001D2404" w:rsidRPr="0054131B" w:rsidRDefault="00187F00" w:rsidP="003B1275">
      <w:pPr>
        <w:pStyle w:val="NoSpacing"/>
        <w:widowControl w:val="0"/>
        <w:spacing w:line="480" w:lineRule="auto"/>
        <w:jc w:val="both"/>
        <w:rPr>
          <w:rFonts w:ascii="Times New Roman" w:hAnsi="Times New Roman"/>
          <w:sz w:val="24"/>
          <w:szCs w:val="24"/>
        </w:rPr>
      </w:pPr>
      <w:r w:rsidRPr="0054131B">
        <w:rPr>
          <w:rFonts w:ascii="Times New Roman" w:hAnsi="Times New Roman"/>
          <w:sz w:val="24"/>
          <w:szCs w:val="24"/>
          <w:lang w:val="es-US"/>
        </w:rPr>
        <w:t>68</w:t>
      </w:r>
      <w:r w:rsidR="00352C28"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t>Por otro lado, tanto la Corte IDH como la CIDH, al evaluar si una medida regresiva está justificada, han considerado la relevancia colectiva de la misma</w:t>
      </w:r>
      <w:r w:rsidR="00F34327" w:rsidRPr="0054131B">
        <w:rPr>
          <w:rStyle w:val="FootnoteReference"/>
          <w:rFonts w:ascii="Times New Roman" w:hAnsi="Times New Roman"/>
          <w:sz w:val="24"/>
          <w:szCs w:val="24"/>
          <w:lang w:val="es-US"/>
        </w:rPr>
        <w:footnoteReference w:id="134"/>
      </w:r>
      <w:r w:rsidR="00F34327" w:rsidRPr="0054131B">
        <w:rPr>
          <w:rFonts w:ascii="Times New Roman" w:hAnsi="Times New Roman"/>
          <w:sz w:val="24"/>
          <w:szCs w:val="24"/>
          <w:lang w:val="es-US"/>
        </w:rPr>
        <w:t>.</w:t>
      </w:r>
      <w:r w:rsidR="00F34327" w:rsidRPr="0054131B">
        <w:rPr>
          <w:rFonts w:ascii="Times New Roman" w:hAnsi="Times New Roman"/>
          <w:sz w:val="24"/>
          <w:szCs w:val="24"/>
        </w:rPr>
        <w:t xml:space="preserve"> En el caso </w:t>
      </w:r>
      <w:r w:rsidR="00F34327" w:rsidRPr="0054131B">
        <w:rPr>
          <w:rFonts w:ascii="Times New Roman" w:hAnsi="Times New Roman"/>
          <w:i/>
          <w:sz w:val="24"/>
          <w:szCs w:val="24"/>
        </w:rPr>
        <w:t>sub judice</w:t>
      </w:r>
      <w:r w:rsidR="00F34327" w:rsidRPr="0054131B">
        <w:rPr>
          <w:rFonts w:ascii="Times New Roman" w:hAnsi="Times New Roman"/>
          <w:sz w:val="24"/>
          <w:szCs w:val="24"/>
        </w:rPr>
        <w:t>, resulta evidente que la utilización del Riachuelo de Mandí t</w:t>
      </w:r>
      <w:r w:rsidR="008E2C6C" w:rsidRPr="0054131B">
        <w:rPr>
          <w:rFonts w:ascii="Times New Roman" w:hAnsi="Times New Roman"/>
          <w:sz w:val="24"/>
          <w:szCs w:val="24"/>
        </w:rPr>
        <w:t xml:space="preserve">iene una implicancia colectiva ya que </w:t>
      </w:r>
      <w:r w:rsidR="00F34327" w:rsidRPr="0054131B">
        <w:rPr>
          <w:rFonts w:ascii="Times New Roman" w:hAnsi="Times New Roman"/>
          <w:sz w:val="24"/>
          <w:szCs w:val="24"/>
        </w:rPr>
        <w:t>afectó la relación existente entre esta fuente sagrada y todo el Pueblo Pichicha</w:t>
      </w:r>
      <w:r w:rsidR="002C263C" w:rsidRPr="0054131B">
        <w:rPr>
          <w:rFonts w:ascii="Times New Roman" w:hAnsi="Times New Roman"/>
          <w:sz w:val="24"/>
          <w:szCs w:val="24"/>
        </w:rPr>
        <w:t xml:space="preserve">; y evidentemente, constituye una medida regresiva, pues </w:t>
      </w:r>
      <w:r w:rsidR="001D2404" w:rsidRPr="0054131B">
        <w:rPr>
          <w:rFonts w:ascii="Times New Roman" w:hAnsi="Times New Roman"/>
          <w:sz w:val="24"/>
          <w:szCs w:val="24"/>
        </w:rPr>
        <w:t>la utilización del Riachuelo de Mandí retrajo el nivel de protección que se brindaba a esta fuente intangible.</w:t>
      </w:r>
    </w:p>
    <w:p w:rsidR="00F34327" w:rsidRPr="0054131B" w:rsidRDefault="00187F00" w:rsidP="003B1275">
      <w:pPr>
        <w:pStyle w:val="NoSpacing"/>
        <w:widowControl w:val="0"/>
        <w:spacing w:line="480" w:lineRule="auto"/>
        <w:jc w:val="both"/>
        <w:rPr>
          <w:rFonts w:ascii="Times New Roman" w:hAnsi="Times New Roman"/>
          <w:b/>
          <w:sz w:val="24"/>
          <w:szCs w:val="24"/>
        </w:rPr>
      </w:pPr>
      <w:r w:rsidRPr="0054131B">
        <w:rPr>
          <w:rFonts w:ascii="Times New Roman" w:hAnsi="Times New Roman"/>
          <w:sz w:val="24"/>
          <w:szCs w:val="24"/>
        </w:rPr>
        <w:t>69</w:t>
      </w:r>
      <w:r w:rsidR="009E4097" w:rsidRPr="0054131B">
        <w:rPr>
          <w:rFonts w:ascii="Times New Roman" w:hAnsi="Times New Roman"/>
          <w:sz w:val="24"/>
          <w:szCs w:val="24"/>
        </w:rPr>
        <w:t xml:space="preserve">. </w:t>
      </w:r>
      <w:r w:rsidR="00F34327" w:rsidRPr="0054131B">
        <w:rPr>
          <w:rFonts w:ascii="Times New Roman" w:hAnsi="Times New Roman"/>
          <w:sz w:val="24"/>
          <w:szCs w:val="24"/>
        </w:rPr>
        <w:t xml:space="preserve">Finalmente, </w:t>
      </w:r>
      <w:r w:rsidR="003A4F93" w:rsidRPr="0054131B">
        <w:rPr>
          <w:rFonts w:ascii="Times New Roman" w:hAnsi="Times New Roman"/>
          <w:sz w:val="24"/>
          <w:szCs w:val="24"/>
        </w:rPr>
        <w:t xml:space="preserve">si bien </w:t>
      </w:r>
      <w:r w:rsidR="009E4097" w:rsidRPr="0054131B">
        <w:rPr>
          <w:rFonts w:ascii="Times New Roman" w:hAnsi="Times New Roman"/>
          <w:sz w:val="24"/>
          <w:szCs w:val="24"/>
        </w:rPr>
        <w:t xml:space="preserve">la </w:t>
      </w:r>
      <w:r w:rsidR="00F34327" w:rsidRPr="0054131B">
        <w:rPr>
          <w:rFonts w:ascii="Times New Roman" w:hAnsi="Times New Roman"/>
          <w:sz w:val="24"/>
          <w:szCs w:val="24"/>
        </w:rPr>
        <w:t>Corte IDH, al pronunciarse respecto de DESC, ha declara</w:t>
      </w:r>
      <w:r w:rsidR="0041410D" w:rsidRPr="0054131B">
        <w:rPr>
          <w:rFonts w:ascii="Times New Roman" w:hAnsi="Times New Roman"/>
          <w:sz w:val="24"/>
          <w:szCs w:val="24"/>
        </w:rPr>
        <w:t>do vulnerados derechos conexos</w:t>
      </w:r>
      <w:r w:rsidR="003A4F93" w:rsidRPr="0054131B">
        <w:rPr>
          <w:rFonts w:ascii="Times New Roman" w:hAnsi="Times New Roman"/>
          <w:sz w:val="24"/>
          <w:szCs w:val="24"/>
        </w:rPr>
        <w:t>, e</w:t>
      </w:r>
      <w:r w:rsidR="00F34327" w:rsidRPr="0054131B">
        <w:rPr>
          <w:rFonts w:ascii="Times New Roman" w:hAnsi="Times New Roman"/>
          <w:sz w:val="24"/>
          <w:szCs w:val="24"/>
        </w:rPr>
        <w:t xml:space="preserve">sta representación </w:t>
      </w:r>
      <w:r w:rsidR="003A4F93" w:rsidRPr="0054131B">
        <w:rPr>
          <w:rFonts w:ascii="Times New Roman" w:hAnsi="Times New Roman"/>
          <w:sz w:val="24"/>
          <w:szCs w:val="24"/>
        </w:rPr>
        <w:t>comparte</w:t>
      </w:r>
      <w:r w:rsidR="00F34327" w:rsidRPr="0054131B">
        <w:rPr>
          <w:rFonts w:ascii="Times New Roman" w:hAnsi="Times New Roman"/>
          <w:sz w:val="24"/>
          <w:szCs w:val="24"/>
        </w:rPr>
        <w:t xml:space="preserve"> la posición de los jueces Roberto F. Caldas y Eduardo Ferrer Mac-Gregor, quienes resaltan la necesidad de la justiciabilidad directa de los DESC</w:t>
      </w:r>
      <w:r w:rsidR="00F34327" w:rsidRPr="0054131B">
        <w:rPr>
          <w:rStyle w:val="FootnoteReference"/>
          <w:rFonts w:ascii="Times New Roman" w:hAnsi="Times New Roman"/>
          <w:sz w:val="24"/>
          <w:szCs w:val="24"/>
        </w:rPr>
        <w:footnoteReference w:id="135"/>
      </w:r>
      <w:r w:rsidR="00F34327" w:rsidRPr="0054131B">
        <w:rPr>
          <w:rFonts w:ascii="Times New Roman" w:hAnsi="Times New Roman"/>
          <w:sz w:val="24"/>
          <w:szCs w:val="24"/>
        </w:rPr>
        <w:t>. E</w:t>
      </w:r>
      <w:r w:rsidR="003A2459" w:rsidRPr="0054131B">
        <w:rPr>
          <w:rFonts w:ascii="Times New Roman" w:hAnsi="Times New Roman"/>
          <w:sz w:val="24"/>
          <w:szCs w:val="24"/>
        </w:rPr>
        <w:t xml:space="preserve">l derecho al agua, que </w:t>
      </w:r>
      <w:r w:rsidR="00F34327" w:rsidRPr="0054131B">
        <w:rPr>
          <w:rFonts w:ascii="Times New Roman" w:hAnsi="Times New Roman"/>
          <w:sz w:val="24"/>
          <w:szCs w:val="24"/>
        </w:rPr>
        <w:t xml:space="preserve">tiene conexidad </w:t>
      </w:r>
      <w:r w:rsidR="003A2459" w:rsidRPr="0054131B">
        <w:rPr>
          <w:rFonts w:ascii="Times New Roman" w:hAnsi="Times New Roman"/>
          <w:sz w:val="24"/>
          <w:szCs w:val="24"/>
        </w:rPr>
        <w:t>con varios</w:t>
      </w:r>
      <w:r w:rsidR="00F34327" w:rsidRPr="0054131B">
        <w:rPr>
          <w:rFonts w:ascii="Times New Roman" w:hAnsi="Times New Roman"/>
          <w:sz w:val="24"/>
          <w:szCs w:val="24"/>
        </w:rPr>
        <w:t xml:space="preserve"> derecho</w:t>
      </w:r>
      <w:r w:rsidR="003A2459" w:rsidRPr="0054131B">
        <w:rPr>
          <w:rFonts w:ascii="Times New Roman" w:hAnsi="Times New Roman"/>
          <w:sz w:val="24"/>
          <w:szCs w:val="24"/>
        </w:rPr>
        <w:t>s</w:t>
      </w:r>
      <w:r w:rsidR="00F34327" w:rsidRPr="0054131B">
        <w:rPr>
          <w:rFonts w:ascii="Times New Roman" w:hAnsi="Times New Roman"/>
          <w:sz w:val="24"/>
          <w:szCs w:val="24"/>
        </w:rPr>
        <w:t xml:space="preserve">, </w:t>
      </w:r>
      <w:r w:rsidR="002971C4" w:rsidRPr="0054131B">
        <w:rPr>
          <w:rFonts w:ascii="Times New Roman" w:hAnsi="Times New Roman"/>
          <w:sz w:val="24"/>
          <w:szCs w:val="24"/>
        </w:rPr>
        <w:t>amerita</w:t>
      </w:r>
      <w:r w:rsidR="00F34327" w:rsidRPr="0054131B">
        <w:rPr>
          <w:rFonts w:ascii="Times New Roman" w:hAnsi="Times New Roman"/>
          <w:sz w:val="24"/>
          <w:szCs w:val="24"/>
        </w:rPr>
        <w:t xml:space="preserve"> que su vulneración se evalúe de manera independiente para </w:t>
      </w:r>
      <w:r w:rsidR="0015661B" w:rsidRPr="0054131B">
        <w:rPr>
          <w:rFonts w:ascii="Times New Roman" w:hAnsi="Times New Roman"/>
          <w:sz w:val="24"/>
          <w:szCs w:val="24"/>
        </w:rPr>
        <w:t>que sus alcances</w:t>
      </w:r>
      <w:r w:rsidR="00F34327" w:rsidRPr="0054131B">
        <w:rPr>
          <w:rFonts w:ascii="Times New Roman" w:hAnsi="Times New Roman"/>
          <w:sz w:val="24"/>
          <w:szCs w:val="24"/>
        </w:rPr>
        <w:t xml:space="preserve"> no sean recor</w:t>
      </w:r>
      <w:r w:rsidR="002971C4" w:rsidRPr="0054131B">
        <w:rPr>
          <w:rFonts w:ascii="Times New Roman" w:hAnsi="Times New Roman"/>
          <w:sz w:val="24"/>
          <w:szCs w:val="24"/>
        </w:rPr>
        <w:t>tados por la relación que pueda tener con otros</w:t>
      </w:r>
      <w:r w:rsidR="0015661B" w:rsidRPr="0054131B">
        <w:rPr>
          <w:rFonts w:ascii="Times New Roman" w:hAnsi="Times New Roman"/>
          <w:sz w:val="24"/>
          <w:szCs w:val="24"/>
        </w:rPr>
        <w:t xml:space="preserve"> derechos</w:t>
      </w:r>
      <w:r w:rsidR="002971C4" w:rsidRPr="0054131B">
        <w:rPr>
          <w:rFonts w:ascii="Times New Roman" w:hAnsi="Times New Roman"/>
          <w:sz w:val="24"/>
          <w:szCs w:val="24"/>
        </w:rPr>
        <w:t xml:space="preserve">, de tal manera que pueda ser valorado </w:t>
      </w:r>
      <w:r w:rsidR="00F34327" w:rsidRPr="0054131B">
        <w:rPr>
          <w:rFonts w:ascii="Times New Roman" w:hAnsi="Times New Roman"/>
          <w:sz w:val="24"/>
          <w:szCs w:val="24"/>
        </w:rPr>
        <w:t xml:space="preserve">de manera </w:t>
      </w:r>
      <w:r w:rsidR="00F34327" w:rsidRPr="0054131B">
        <w:rPr>
          <w:rFonts w:ascii="Times New Roman" w:hAnsi="Times New Roman"/>
          <w:sz w:val="24"/>
          <w:szCs w:val="24"/>
        </w:rPr>
        <w:lastRenderedPageBreak/>
        <w:t xml:space="preserve">íntegra y plena. Por estas razones, </w:t>
      </w:r>
      <w:r w:rsidR="00277EF9" w:rsidRPr="0054131B">
        <w:rPr>
          <w:rFonts w:ascii="Times New Roman" w:hAnsi="Times New Roman"/>
          <w:sz w:val="24"/>
          <w:szCs w:val="24"/>
          <w:lang w:val="es-US"/>
        </w:rPr>
        <w:t xml:space="preserve">se solicita a </w:t>
      </w:r>
      <w:r w:rsidR="00F34327" w:rsidRPr="0054131B">
        <w:rPr>
          <w:rFonts w:ascii="Times New Roman" w:hAnsi="Times New Roman"/>
          <w:sz w:val="24"/>
          <w:szCs w:val="24"/>
          <w:lang w:val="es-US"/>
        </w:rPr>
        <w:t>este Tribuna</w:t>
      </w:r>
      <w:r w:rsidR="00277EF9" w:rsidRPr="0054131B">
        <w:rPr>
          <w:rFonts w:ascii="Times New Roman" w:hAnsi="Times New Roman"/>
          <w:sz w:val="24"/>
          <w:szCs w:val="24"/>
          <w:lang w:val="es-US"/>
        </w:rPr>
        <w:t>l que establezca un precedente que</w:t>
      </w:r>
      <w:r w:rsidR="00F34327" w:rsidRPr="0054131B">
        <w:rPr>
          <w:rFonts w:ascii="Times New Roman" w:hAnsi="Times New Roman"/>
          <w:sz w:val="24"/>
          <w:szCs w:val="24"/>
          <w:lang w:val="es-US"/>
        </w:rPr>
        <w:t xml:space="preserve"> declare, por primera vez, vulnerado el art.</w:t>
      </w:r>
      <w:r w:rsidR="00CC1ECC"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t xml:space="preserve">26 de la CADH. </w:t>
      </w:r>
    </w:p>
    <w:p w:rsidR="00640DB3" w:rsidRPr="0054131B" w:rsidRDefault="00B24983" w:rsidP="003B1275">
      <w:pPr>
        <w:pStyle w:val="NoSpacing"/>
        <w:keepNext/>
        <w:widowControl w:val="0"/>
        <w:spacing w:line="480" w:lineRule="auto"/>
        <w:jc w:val="both"/>
        <w:outlineLvl w:val="2"/>
        <w:rPr>
          <w:rFonts w:ascii="Times New Roman" w:hAnsi="Times New Roman"/>
          <w:b/>
          <w:sz w:val="24"/>
          <w:szCs w:val="24"/>
          <w:lang w:val="es-US"/>
        </w:rPr>
      </w:pPr>
      <w:bookmarkStart w:id="74" w:name="_Toc446715482"/>
      <w:bookmarkStart w:id="75" w:name="_Toc446716105"/>
      <w:bookmarkStart w:id="76" w:name="_Toc446716836"/>
      <w:bookmarkStart w:id="77" w:name="_Toc446717047"/>
      <w:bookmarkStart w:id="78" w:name="_Toc446776790"/>
      <w:r w:rsidRPr="0054131B">
        <w:rPr>
          <w:rFonts w:ascii="Times New Roman" w:hAnsi="Times New Roman"/>
          <w:b/>
          <w:sz w:val="24"/>
          <w:szCs w:val="24"/>
          <w:lang w:val="es-US"/>
        </w:rPr>
        <w:t>B</w:t>
      </w:r>
      <w:r w:rsidR="00640DB3" w:rsidRPr="0054131B">
        <w:rPr>
          <w:rFonts w:ascii="Times New Roman" w:hAnsi="Times New Roman"/>
          <w:b/>
          <w:sz w:val="24"/>
          <w:szCs w:val="24"/>
          <w:lang w:val="es-US"/>
        </w:rPr>
        <w:t>.4.5 Violación del  art. 5 de la CADH</w:t>
      </w:r>
      <w:r w:rsidR="00640DB3" w:rsidRPr="0054131B">
        <w:rPr>
          <w:rFonts w:ascii="Times New Roman" w:hAnsi="Times New Roman"/>
          <w:b/>
          <w:sz w:val="24"/>
          <w:szCs w:val="24"/>
        </w:rPr>
        <w:t xml:space="preserve"> en perjuicio del Pueblo Pichicha y </w:t>
      </w:r>
      <w:r w:rsidR="00B8752A" w:rsidRPr="0054131B">
        <w:rPr>
          <w:rFonts w:ascii="Times New Roman" w:hAnsi="Times New Roman"/>
          <w:b/>
          <w:sz w:val="24"/>
          <w:szCs w:val="24"/>
        </w:rPr>
        <w:t xml:space="preserve">de </w:t>
      </w:r>
      <w:r w:rsidR="00640DB3" w:rsidRPr="0054131B">
        <w:rPr>
          <w:rFonts w:ascii="Times New Roman" w:hAnsi="Times New Roman"/>
          <w:b/>
          <w:sz w:val="24"/>
          <w:szCs w:val="24"/>
        </w:rPr>
        <w:t>sus miembros</w:t>
      </w:r>
      <w:bookmarkEnd w:id="74"/>
      <w:bookmarkEnd w:id="75"/>
      <w:bookmarkEnd w:id="76"/>
      <w:bookmarkEnd w:id="77"/>
      <w:bookmarkEnd w:id="78"/>
    </w:p>
    <w:p w:rsidR="00F34327" w:rsidRPr="0054131B" w:rsidRDefault="00B26026" w:rsidP="003B1275">
      <w:pPr>
        <w:pStyle w:val="NoSpacing"/>
        <w:keepNext/>
        <w:widowControl w:val="0"/>
        <w:spacing w:line="480" w:lineRule="auto"/>
        <w:jc w:val="both"/>
        <w:rPr>
          <w:rFonts w:ascii="Times New Roman" w:hAnsi="Times New Roman"/>
          <w:b/>
          <w:sz w:val="24"/>
          <w:szCs w:val="24"/>
          <w:lang w:val="es-US"/>
        </w:rPr>
      </w:pPr>
      <w:r w:rsidRPr="0054131B">
        <w:rPr>
          <w:rFonts w:ascii="Times New Roman" w:hAnsi="Times New Roman"/>
          <w:sz w:val="24"/>
          <w:szCs w:val="24"/>
          <w:lang w:val="es-US"/>
        </w:rPr>
        <w:t>7</w:t>
      </w:r>
      <w:r w:rsidR="00E31FFF" w:rsidRPr="0054131B">
        <w:rPr>
          <w:rFonts w:ascii="Times New Roman" w:hAnsi="Times New Roman"/>
          <w:sz w:val="24"/>
          <w:szCs w:val="24"/>
          <w:lang w:val="es-US"/>
        </w:rPr>
        <w:t>0</w:t>
      </w:r>
      <w:r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t>La supervivencia de las comunidades indígenas y de sus miembros se encuentra ligada con su identidad cultural</w:t>
      </w:r>
      <w:r w:rsidR="00F34327" w:rsidRPr="0054131B">
        <w:rPr>
          <w:rStyle w:val="FootnoteReference"/>
          <w:rFonts w:ascii="Times New Roman" w:hAnsi="Times New Roman"/>
          <w:sz w:val="24"/>
          <w:szCs w:val="24"/>
          <w:lang w:val="es-US"/>
        </w:rPr>
        <w:footnoteReference w:id="136"/>
      </w:r>
      <w:r w:rsidR="00F34327" w:rsidRPr="0054131B">
        <w:rPr>
          <w:rFonts w:ascii="Times New Roman" w:hAnsi="Times New Roman"/>
          <w:sz w:val="24"/>
          <w:szCs w:val="24"/>
          <w:lang w:val="es-US"/>
        </w:rPr>
        <w:t>, por lo que es necesario que se preserve, proteja y garantice su modo de vida</w:t>
      </w:r>
      <w:r w:rsidR="009F4961" w:rsidRPr="0054131B">
        <w:rPr>
          <w:rFonts w:ascii="Times New Roman" w:hAnsi="Times New Roman"/>
          <w:sz w:val="24"/>
          <w:szCs w:val="24"/>
          <w:lang w:val="es-US"/>
        </w:rPr>
        <w:t xml:space="preserve">, </w:t>
      </w:r>
      <w:r w:rsidR="00F34327" w:rsidRPr="0054131B">
        <w:rPr>
          <w:rFonts w:ascii="Times New Roman" w:hAnsi="Times New Roman"/>
          <w:sz w:val="24"/>
          <w:szCs w:val="24"/>
          <w:lang w:val="es-US"/>
        </w:rPr>
        <w:t>costumbres, creencias y tradiciones distintivas</w:t>
      </w:r>
      <w:r w:rsidR="00F34327" w:rsidRPr="0054131B">
        <w:rPr>
          <w:rStyle w:val="FootnoteReference"/>
          <w:rFonts w:ascii="Times New Roman" w:hAnsi="Times New Roman"/>
          <w:sz w:val="24"/>
          <w:szCs w:val="24"/>
          <w:lang w:val="es-US"/>
        </w:rPr>
        <w:footnoteReference w:id="137"/>
      </w:r>
      <w:r w:rsidR="00F34327" w:rsidRPr="0054131B">
        <w:rPr>
          <w:rFonts w:ascii="Times New Roman" w:hAnsi="Times New Roman"/>
          <w:sz w:val="24"/>
          <w:szCs w:val="24"/>
          <w:lang w:val="es-US"/>
        </w:rPr>
        <w:t>. Razón por la cual, los</w:t>
      </w:r>
      <w:r w:rsidR="00F34327" w:rsidRPr="0054131B">
        <w:rPr>
          <w:rFonts w:ascii="Times New Roman" w:hAnsi="Times New Roman"/>
          <w:sz w:val="24"/>
          <w:szCs w:val="24"/>
        </w:rPr>
        <w:t xml:space="preserve"> Estados tienen la obligación de adoptar todas las medidas adecuadas para garantizar la relación continua del pueblo indígena con su territorio y su cultura</w:t>
      </w:r>
      <w:r w:rsidR="00F34327" w:rsidRPr="0054131B">
        <w:rPr>
          <w:rStyle w:val="FootnoteReference"/>
          <w:rFonts w:ascii="Times New Roman" w:hAnsi="Times New Roman"/>
          <w:sz w:val="24"/>
          <w:szCs w:val="24"/>
        </w:rPr>
        <w:footnoteReference w:id="138"/>
      </w:r>
      <w:r w:rsidR="00F34327" w:rsidRPr="0054131B">
        <w:rPr>
          <w:rFonts w:ascii="Times New Roman" w:hAnsi="Times New Roman"/>
          <w:sz w:val="24"/>
          <w:szCs w:val="24"/>
        </w:rPr>
        <w:t xml:space="preserve">. </w:t>
      </w:r>
    </w:p>
    <w:p w:rsidR="00F34327" w:rsidRPr="0054131B" w:rsidRDefault="00E31FFF" w:rsidP="003B1275">
      <w:pPr>
        <w:keepNext/>
        <w:widowControl w:val="0"/>
        <w:autoSpaceDE w:val="0"/>
        <w:autoSpaceDN w:val="0"/>
        <w:adjustRightInd w:val="0"/>
        <w:spacing w:after="0" w:line="480" w:lineRule="auto"/>
        <w:contextualSpacing/>
        <w:jc w:val="both"/>
        <w:rPr>
          <w:rFonts w:ascii="Times New Roman" w:hAnsi="Times New Roman"/>
          <w:sz w:val="24"/>
          <w:szCs w:val="24"/>
        </w:rPr>
      </w:pPr>
      <w:r w:rsidRPr="0054131B">
        <w:rPr>
          <w:rFonts w:ascii="Times New Roman" w:hAnsi="Times New Roman"/>
          <w:sz w:val="24"/>
          <w:szCs w:val="24"/>
          <w:lang w:val="es-US"/>
        </w:rPr>
        <w:t>71</w:t>
      </w:r>
      <w:r w:rsidR="009F4961" w:rsidRPr="0054131B">
        <w:rPr>
          <w:rFonts w:ascii="Times New Roman" w:hAnsi="Times New Roman"/>
          <w:sz w:val="24"/>
          <w:szCs w:val="24"/>
          <w:lang w:val="es-US"/>
        </w:rPr>
        <w:t xml:space="preserve">. La Corte IDH y el CDH </w:t>
      </w:r>
      <w:r w:rsidR="00F34327" w:rsidRPr="0054131B">
        <w:rPr>
          <w:rFonts w:ascii="Times New Roman" w:hAnsi="Times New Roman"/>
          <w:sz w:val="24"/>
          <w:szCs w:val="24"/>
          <w:lang w:val="es-US"/>
        </w:rPr>
        <w:t>han reconocido la estrecha vinculación del territorio y los recursos naturales con la cultura y modo de vida de los pueblos indígenas, a través de sus tradiciones, costumbres y otros aspectos de su identidad</w:t>
      </w:r>
      <w:r w:rsidR="00F34327" w:rsidRPr="0054131B">
        <w:rPr>
          <w:rStyle w:val="FootnoteReference"/>
          <w:rFonts w:ascii="Times New Roman" w:hAnsi="Times New Roman"/>
          <w:sz w:val="24"/>
          <w:szCs w:val="24"/>
          <w:lang w:val="es-US"/>
        </w:rPr>
        <w:footnoteReference w:id="139"/>
      </w:r>
      <w:r w:rsidR="00A16E55" w:rsidRPr="0054131B">
        <w:rPr>
          <w:rFonts w:ascii="Times New Roman" w:hAnsi="Times New Roman"/>
          <w:sz w:val="24"/>
          <w:szCs w:val="24"/>
          <w:lang w:val="es-US"/>
        </w:rPr>
        <w:t>, a los que pertenecen</w:t>
      </w:r>
      <w:r w:rsidR="00F34327" w:rsidRPr="0054131B">
        <w:rPr>
          <w:rFonts w:ascii="Times New Roman" w:hAnsi="Times New Roman"/>
          <w:sz w:val="24"/>
          <w:szCs w:val="24"/>
          <w:lang w:val="es-US"/>
        </w:rPr>
        <w:t xml:space="preserve"> </w:t>
      </w:r>
      <w:r w:rsidR="00A16E55" w:rsidRPr="0054131B">
        <w:rPr>
          <w:rFonts w:ascii="Times New Roman" w:hAnsi="Times New Roman"/>
          <w:sz w:val="24"/>
          <w:szCs w:val="24"/>
        </w:rPr>
        <w:t>la celebración de ritos, ceremonias y demás actividades en torno a sitios sagrados, que son parte esencial de la identidad cultural del pueblo indígena. Por lo que c</w:t>
      </w:r>
      <w:r w:rsidR="00F34327" w:rsidRPr="0054131B">
        <w:rPr>
          <w:rFonts w:ascii="Times New Roman" w:hAnsi="Times New Roman"/>
          <w:sz w:val="24"/>
          <w:szCs w:val="24"/>
        </w:rPr>
        <w:t>ualquier afectación al territorio o recursos naturales de estos pueblos afecta su identidad cultural, más aún cuando son elementos sagrados de la cosmovisión indígena, premisa de la existencia perdur</w:t>
      </w:r>
      <w:r w:rsidR="00BC30DD" w:rsidRPr="0054131B">
        <w:rPr>
          <w:rFonts w:ascii="Times New Roman" w:hAnsi="Times New Roman"/>
          <w:sz w:val="24"/>
          <w:szCs w:val="24"/>
        </w:rPr>
        <w:t>able de los pueblos indígenas</w:t>
      </w:r>
      <w:r w:rsidR="00F34327" w:rsidRPr="0054131B">
        <w:rPr>
          <w:rStyle w:val="FootnoteReference"/>
          <w:rFonts w:ascii="Times New Roman" w:hAnsi="Times New Roman"/>
          <w:sz w:val="24"/>
          <w:szCs w:val="24"/>
        </w:rPr>
        <w:footnoteReference w:id="140"/>
      </w:r>
      <w:r w:rsidR="00F34327" w:rsidRPr="0054131B">
        <w:rPr>
          <w:rFonts w:ascii="Times New Roman" w:hAnsi="Times New Roman"/>
          <w:sz w:val="24"/>
          <w:szCs w:val="24"/>
        </w:rPr>
        <w:t>.</w:t>
      </w:r>
      <w:r w:rsidR="00A16E55" w:rsidRPr="0054131B">
        <w:rPr>
          <w:rFonts w:ascii="Times New Roman" w:hAnsi="Times New Roman"/>
          <w:sz w:val="24"/>
          <w:szCs w:val="24"/>
        </w:rPr>
        <w:t xml:space="preserve"> </w:t>
      </w:r>
    </w:p>
    <w:p w:rsidR="00F34327" w:rsidRPr="0054131B" w:rsidRDefault="005F47F8" w:rsidP="003B1275">
      <w:pPr>
        <w:pStyle w:val="NoSpacing"/>
        <w:keepNext/>
        <w:widowControl w:val="0"/>
        <w:spacing w:line="480" w:lineRule="auto"/>
        <w:jc w:val="both"/>
        <w:rPr>
          <w:rFonts w:ascii="Times New Roman" w:hAnsi="Times New Roman"/>
          <w:sz w:val="24"/>
          <w:szCs w:val="24"/>
        </w:rPr>
      </w:pPr>
      <w:r>
        <w:rPr>
          <w:rFonts w:ascii="Times New Roman" w:hAnsi="Times New Roman"/>
          <w:sz w:val="24"/>
          <w:szCs w:val="24"/>
          <w:lang w:val="es-ES"/>
        </w:rPr>
        <w:t>72</w:t>
      </w:r>
      <w:r w:rsidR="00816D15" w:rsidRPr="0054131B">
        <w:rPr>
          <w:rFonts w:ascii="Times New Roman" w:hAnsi="Times New Roman"/>
          <w:sz w:val="24"/>
          <w:szCs w:val="24"/>
          <w:lang w:val="es-ES"/>
        </w:rPr>
        <w:t xml:space="preserve">. </w:t>
      </w:r>
      <w:r w:rsidR="00F34327" w:rsidRPr="0054131B">
        <w:rPr>
          <w:rFonts w:ascii="Times New Roman" w:hAnsi="Times New Roman"/>
          <w:sz w:val="24"/>
          <w:szCs w:val="24"/>
          <w:lang w:val="es-ES"/>
        </w:rPr>
        <w:t xml:space="preserve">Al respecto, la Corte IDH ha resaltado </w:t>
      </w:r>
      <w:r w:rsidR="00F34327" w:rsidRPr="0054131B">
        <w:rPr>
          <w:rFonts w:ascii="Times New Roman" w:hAnsi="Times New Roman"/>
          <w:sz w:val="24"/>
          <w:szCs w:val="24"/>
        </w:rPr>
        <w:t xml:space="preserve">la importancia que tienen los sitios de valor simbólico para la identidad cultural y la cosmovisión de los pueblos indígenas; y ha determinado que cuando son menoscabados, la afectación repercute en las relaciones sociales y espirituales de los </w:t>
      </w:r>
      <w:r w:rsidR="00F34327" w:rsidRPr="0054131B">
        <w:rPr>
          <w:rFonts w:ascii="Times New Roman" w:hAnsi="Times New Roman"/>
          <w:sz w:val="24"/>
          <w:szCs w:val="24"/>
        </w:rPr>
        <w:lastRenderedPageBreak/>
        <w:t>miembros de la comunidad, produciendo preocupación, tristeza y sufrimiento</w:t>
      </w:r>
      <w:r w:rsidR="00F34327" w:rsidRPr="0054131B">
        <w:rPr>
          <w:rStyle w:val="FootnoteReference"/>
          <w:rFonts w:ascii="Times New Roman" w:hAnsi="Times New Roman"/>
          <w:sz w:val="24"/>
          <w:szCs w:val="24"/>
        </w:rPr>
        <w:footnoteReference w:id="141"/>
      </w:r>
      <w:r w:rsidR="00F34327" w:rsidRPr="0054131B">
        <w:rPr>
          <w:rFonts w:ascii="Times New Roman" w:hAnsi="Times New Roman"/>
          <w:sz w:val="24"/>
          <w:szCs w:val="24"/>
        </w:rPr>
        <w:t>.</w:t>
      </w:r>
    </w:p>
    <w:p w:rsidR="00F34327" w:rsidRPr="0054131B" w:rsidRDefault="005F47F8" w:rsidP="003B1275">
      <w:pPr>
        <w:pStyle w:val="NoSpacing"/>
        <w:keepNext/>
        <w:widowControl w:val="0"/>
        <w:spacing w:line="480" w:lineRule="auto"/>
        <w:jc w:val="both"/>
        <w:rPr>
          <w:rFonts w:ascii="Times New Roman" w:hAnsi="Times New Roman"/>
          <w:sz w:val="24"/>
          <w:szCs w:val="24"/>
        </w:rPr>
      </w:pPr>
      <w:r>
        <w:rPr>
          <w:rFonts w:ascii="Times New Roman" w:hAnsi="Times New Roman"/>
          <w:sz w:val="24"/>
          <w:szCs w:val="24"/>
        </w:rPr>
        <w:t>73</w:t>
      </w:r>
      <w:r w:rsidR="00DE4962" w:rsidRPr="0054131B">
        <w:rPr>
          <w:rFonts w:ascii="Times New Roman" w:hAnsi="Times New Roman"/>
          <w:sz w:val="24"/>
          <w:szCs w:val="24"/>
        </w:rPr>
        <w:t xml:space="preserve">. </w:t>
      </w:r>
      <w:r w:rsidR="00F34327" w:rsidRPr="0054131B">
        <w:rPr>
          <w:rFonts w:ascii="Times New Roman" w:hAnsi="Times New Roman"/>
          <w:sz w:val="24"/>
          <w:szCs w:val="24"/>
        </w:rPr>
        <w:t>Al analizarse el Convenio 169 se ha utilizado el término “integridad cultural” para referirse a la continuidad de una serie de patrones culturales, incluidos los que determinan derechos sobre tierras y recursos naturales y que están incorporados en las instituciones y el derecho consuetudinario indígenas</w:t>
      </w:r>
      <w:r w:rsidR="00F34327" w:rsidRPr="0054131B">
        <w:rPr>
          <w:rStyle w:val="FootnoteReference"/>
          <w:rFonts w:ascii="Times New Roman" w:hAnsi="Times New Roman"/>
          <w:sz w:val="24"/>
          <w:szCs w:val="24"/>
        </w:rPr>
        <w:footnoteReference w:id="142"/>
      </w:r>
      <w:r w:rsidR="00F34327" w:rsidRPr="0054131B">
        <w:rPr>
          <w:rFonts w:ascii="Times New Roman" w:hAnsi="Times New Roman"/>
          <w:sz w:val="24"/>
          <w:szCs w:val="24"/>
        </w:rPr>
        <w:t>. Es</w:t>
      </w:r>
      <w:r w:rsidR="0023296B" w:rsidRPr="0054131B">
        <w:rPr>
          <w:rFonts w:ascii="Times New Roman" w:hAnsi="Times New Roman"/>
          <w:sz w:val="24"/>
          <w:szCs w:val="24"/>
        </w:rPr>
        <w:t xml:space="preserve"> conveniente</w:t>
      </w:r>
      <w:r w:rsidR="00F34327" w:rsidRPr="0054131B">
        <w:rPr>
          <w:rFonts w:ascii="Times New Roman" w:hAnsi="Times New Roman"/>
          <w:sz w:val="24"/>
          <w:szCs w:val="24"/>
        </w:rPr>
        <w:t xml:space="preserve"> la utilización de este término, como concepto que agrupa la identidad cultural de cada uno de los pobladores indígenas y la traslada al ámbito colectivo de todo el pueblo. En relación a este punto, </w:t>
      </w:r>
      <w:r w:rsidR="0023296B" w:rsidRPr="0054131B">
        <w:rPr>
          <w:rFonts w:ascii="Times New Roman" w:hAnsi="Times New Roman"/>
          <w:sz w:val="24"/>
          <w:szCs w:val="24"/>
        </w:rPr>
        <w:t xml:space="preserve">ex juez </w:t>
      </w:r>
      <w:r w:rsidR="00F34327" w:rsidRPr="0054131B">
        <w:rPr>
          <w:rFonts w:ascii="Times New Roman" w:hAnsi="Times New Roman"/>
          <w:sz w:val="24"/>
          <w:szCs w:val="24"/>
        </w:rPr>
        <w:t>Cançado</w:t>
      </w:r>
      <w:r w:rsidR="00E22E24" w:rsidRPr="0054131B">
        <w:rPr>
          <w:rFonts w:ascii="Times New Roman" w:hAnsi="Times New Roman"/>
          <w:sz w:val="24"/>
          <w:szCs w:val="24"/>
        </w:rPr>
        <w:t xml:space="preserve"> </w:t>
      </w:r>
      <w:r w:rsidR="00F34327" w:rsidRPr="0054131B">
        <w:rPr>
          <w:rFonts w:ascii="Times New Roman" w:hAnsi="Times New Roman"/>
          <w:sz w:val="24"/>
          <w:szCs w:val="24"/>
        </w:rPr>
        <w:t xml:space="preserve">Trindade ha señalado que </w:t>
      </w:r>
      <w:r w:rsidR="00F34327" w:rsidRPr="0054131B">
        <w:rPr>
          <w:rFonts w:ascii="Times New Roman" w:hAnsi="Times New Roman"/>
          <w:sz w:val="24"/>
          <w:szCs w:val="24"/>
          <w:lang w:val="es-US"/>
        </w:rPr>
        <w:t>al afectarse la cultura del pueblo indígena, se lesiona la identidad personal de cada uno de sus miembros</w:t>
      </w:r>
      <w:r w:rsidR="00F34327" w:rsidRPr="0054131B">
        <w:rPr>
          <w:rStyle w:val="FootnoteReference"/>
          <w:rFonts w:ascii="Times New Roman" w:hAnsi="Times New Roman"/>
          <w:sz w:val="24"/>
          <w:szCs w:val="24"/>
          <w:lang w:val="es-US"/>
        </w:rPr>
        <w:footnoteReference w:id="143"/>
      </w:r>
      <w:r w:rsidR="00F34327" w:rsidRPr="0054131B">
        <w:rPr>
          <w:rFonts w:ascii="Times New Roman" w:hAnsi="Times New Roman"/>
          <w:sz w:val="24"/>
          <w:szCs w:val="24"/>
          <w:lang w:val="es-US"/>
        </w:rPr>
        <w:t>. Bajo estos parámetros, y reconociendo que el Convenio 169 señala que los problemas que afecten a los pueblos indígenas deben ser abordados tanto desde el ámbito colectivo como individual</w:t>
      </w:r>
      <w:r w:rsidR="00F34327" w:rsidRPr="0054131B">
        <w:rPr>
          <w:rStyle w:val="FootnoteReference"/>
          <w:rFonts w:ascii="Times New Roman" w:hAnsi="Times New Roman"/>
          <w:sz w:val="24"/>
          <w:szCs w:val="24"/>
          <w:lang w:val="es-US"/>
        </w:rPr>
        <w:footnoteReference w:id="144"/>
      </w:r>
      <w:r w:rsidR="00E22E24" w:rsidRPr="0054131B">
        <w:rPr>
          <w:rFonts w:ascii="Times New Roman" w:hAnsi="Times New Roman"/>
          <w:sz w:val="24"/>
          <w:szCs w:val="24"/>
          <w:lang w:val="es-US"/>
        </w:rPr>
        <w:t xml:space="preserve">, </w:t>
      </w:r>
      <w:r w:rsidR="0023296B" w:rsidRPr="0054131B">
        <w:rPr>
          <w:rFonts w:ascii="Times New Roman" w:hAnsi="Times New Roman"/>
          <w:sz w:val="24"/>
          <w:szCs w:val="24"/>
          <w:lang w:val="es-US"/>
        </w:rPr>
        <w:t>se demostrará la afectación a</w:t>
      </w:r>
      <w:r w:rsidR="00F34327" w:rsidRPr="0054131B">
        <w:rPr>
          <w:rFonts w:ascii="Times New Roman" w:hAnsi="Times New Roman"/>
          <w:sz w:val="24"/>
          <w:szCs w:val="24"/>
          <w:lang w:val="es-US"/>
        </w:rPr>
        <w:t xml:space="preserve"> la integridad cultural del Pueblo Pichicha y la </w:t>
      </w:r>
      <w:r w:rsidR="0072473F" w:rsidRPr="0054131B">
        <w:rPr>
          <w:rFonts w:ascii="Times New Roman" w:hAnsi="Times New Roman"/>
          <w:sz w:val="24"/>
          <w:szCs w:val="24"/>
          <w:lang w:val="es-US"/>
        </w:rPr>
        <w:t xml:space="preserve">vulneración a la </w:t>
      </w:r>
      <w:r w:rsidR="00F34327" w:rsidRPr="0054131B">
        <w:rPr>
          <w:rFonts w:ascii="Times New Roman" w:hAnsi="Times New Roman"/>
          <w:sz w:val="24"/>
          <w:szCs w:val="24"/>
          <w:lang w:val="es-US"/>
        </w:rPr>
        <w:t xml:space="preserve">identidad cultural de sus pobladores. </w:t>
      </w:r>
    </w:p>
    <w:p w:rsidR="00F34327" w:rsidRDefault="005F47F8" w:rsidP="003B1275">
      <w:pPr>
        <w:keepNext/>
        <w:widowControl w:val="0"/>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74</w:t>
      </w:r>
      <w:r w:rsidR="007C0ED1" w:rsidRPr="0054131B">
        <w:rPr>
          <w:rFonts w:ascii="Times New Roman" w:hAnsi="Times New Roman"/>
          <w:sz w:val="24"/>
          <w:szCs w:val="24"/>
        </w:rPr>
        <w:t xml:space="preserve">. </w:t>
      </w:r>
      <w:r w:rsidR="00F34327" w:rsidRPr="0054131B">
        <w:rPr>
          <w:rFonts w:ascii="Times New Roman" w:hAnsi="Times New Roman"/>
          <w:sz w:val="24"/>
          <w:szCs w:val="24"/>
        </w:rPr>
        <w:t>La Corte IDH, en el caso de la Comunidad Moiwana vs. Surinam, señaló que la ruptura en la relación que mantenían los miembros de la comunidad con sus tierras ancestrales, causó un sufrimiento a las víctimas en forma tal que constituyó una violación del art. 5.1</w:t>
      </w:r>
      <w:r w:rsidR="007C0ED1" w:rsidRPr="0054131B">
        <w:rPr>
          <w:rFonts w:ascii="Times New Roman" w:hAnsi="Times New Roman"/>
          <w:sz w:val="24"/>
          <w:szCs w:val="24"/>
        </w:rPr>
        <w:t xml:space="preserve"> de la CADH</w:t>
      </w:r>
      <w:r w:rsidR="00F34327" w:rsidRPr="0054131B">
        <w:rPr>
          <w:rStyle w:val="FootnoteReference"/>
          <w:rFonts w:ascii="Times New Roman" w:hAnsi="Times New Roman"/>
          <w:sz w:val="24"/>
          <w:szCs w:val="24"/>
        </w:rPr>
        <w:footnoteReference w:id="145"/>
      </w:r>
      <w:r w:rsidR="00AB0E12" w:rsidRPr="0054131B">
        <w:rPr>
          <w:rFonts w:ascii="Times New Roman" w:hAnsi="Times New Roman"/>
          <w:sz w:val="24"/>
          <w:szCs w:val="24"/>
        </w:rPr>
        <w:t>. Este</w:t>
      </w:r>
      <w:r w:rsidR="00F34327" w:rsidRPr="0054131B">
        <w:rPr>
          <w:rFonts w:ascii="Times New Roman" w:hAnsi="Times New Roman"/>
          <w:sz w:val="24"/>
          <w:szCs w:val="24"/>
        </w:rPr>
        <w:t xml:space="preserve"> caso es análogo al presente, </w:t>
      </w:r>
      <w:r w:rsidR="00E22E24" w:rsidRPr="0054131B">
        <w:rPr>
          <w:rFonts w:ascii="Times New Roman" w:hAnsi="Times New Roman"/>
          <w:sz w:val="24"/>
          <w:szCs w:val="24"/>
        </w:rPr>
        <w:t xml:space="preserve">pues en el caso </w:t>
      </w:r>
      <w:r w:rsidR="00E22E24" w:rsidRPr="0054131B">
        <w:rPr>
          <w:rFonts w:ascii="Times New Roman" w:hAnsi="Times New Roman"/>
          <w:i/>
          <w:sz w:val="24"/>
          <w:szCs w:val="24"/>
        </w:rPr>
        <w:t>sub judice</w:t>
      </w:r>
      <w:r w:rsidR="00E22E24" w:rsidRPr="0054131B">
        <w:rPr>
          <w:rFonts w:ascii="Times New Roman" w:hAnsi="Times New Roman"/>
          <w:sz w:val="24"/>
          <w:szCs w:val="24"/>
        </w:rPr>
        <w:t xml:space="preserve">, la relación espiritual entre el Pueblo Pichicha y el Riachuelo de Mandí ha sido quebrantada por la utilización de esta fuente sagrada, hecho que ha </w:t>
      </w:r>
      <w:r w:rsidR="00E22E24" w:rsidRPr="0054131B">
        <w:rPr>
          <w:rFonts w:ascii="Times New Roman" w:hAnsi="Times New Roman"/>
          <w:sz w:val="24"/>
          <w:szCs w:val="24"/>
          <w:lang w:val="es-US"/>
        </w:rPr>
        <w:t xml:space="preserve">causado </w:t>
      </w:r>
      <w:r w:rsidR="00B3495B" w:rsidRPr="0054131B">
        <w:rPr>
          <w:rFonts w:ascii="Times New Roman" w:hAnsi="Times New Roman"/>
          <w:sz w:val="24"/>
          <w:szCs w:val="24"/>
        </w:rPr>
        <w:t>sufrimiento a su</w:t>
      </w:r>
      <w:r w:rsidR="00F34327" w:rsidRPr="0054131B">
        <w:rPr>
          <w:rFonts w:ascii="Times New Roman" w:hAnsi="Times New Roman"/>
          <w:sz w:val="24"/>
          <w:szCs w:val="24"/>
        </w:rPr>
        <w:t>s pobladores</w:t>
      </w:r>
      <w:r w:rsidR="00B3495B" w:rsidRPr="0054131B">
        <w:rPr>
          <w:rFonts w:ascii="Times New Roman" w:hAnsi="Times New Roman"/>
          <w:sz w:val="24"/>
          <w:szCs w:val="24"/>
        </w:rPr>
        <w:t>,</w:t>
      </w:r>
      <w:r w:rsidR="00F34327" w:rsidRPr="0054131B">
        <w:rPr>
          <w:rFonts w:ascii="Times New Roman" w:hAnsi="Times New Roman"/>
          <w:sz w:val="24"/>
          <w:szCs w:val="24"/>
        </w:rPr>
        <w:t xml:space="preserve"> afectando su </w:t>
      </w:r>
      <w:r w:rsidR="00E22E24" w:rsidRPr="0054131B">
        <w:rPr>
          <w:rFonts w:ascii="Times New Roman" w:hAnsi="Times New Roman"/>
          <w:sz w:val="24"/>
          <w:szCs w:val="24"/>
        </w:rPr>
        <w:t>identidad cultural</w:t>
      </w:r>
      <w:r w:rsidR="00AB0E12" w:rsidRPr="0054131B">
        <w:rPr>
          <w:rFonts w:ascii="Times New Roman" w:hAnsi="Times New Roman"/>
          <w:sz w:val="24"/>
          <w:szCs w:val="24"/>
        </w:rPr>
        <w:t xml:space="preserve">, y que a la vez, ha </w:t>
      </w:r>
      <w:r w:rsidR="00736F73" w:rsidRPr="0054131B">
        <w:rPr>
          <w:rFonts w:ascii="Times New Roman" w:hAnsi="Times New Roman"/>
          <w:sz w:val="24"/>
          <w:szCs w:val="24"/>
        </w:rPr>
        <w:t>vulnerado</w:t>
      </w:r>
      <w:r w:rsidR="00E22E24" w:rsidRPr="0054131B">
        <w:rPr>
          <w:rFonts w:ascii="Times New Roman" w:hAnsi="Times New Roman"/>
          <w:sz w:val="24"/>
          <w:szCs w:val="24"/>
        </w:rPr>
        <w:t xml:space="preserve"> su </w:t>
      </w:r>
      <w:r w:rsidR="00F34327" w:rsidRPr="0054131B">
        <w:rPr>
          <w:rFonts w:ascii="Times New Roman" w:hAnsi="Times New Roman"/>
          <w:sz w:val="24"/>
          <w:szCs w:val="24"/>
        </w:rPr>
        <w:t>integridad psíquica y moral, reconocida en el artículo 5.1 de la CADH.</w:t>
      </w:r>
    </w:p>
    <w:p w:rsidR="008E5A4C" w:rsidRPr="0054131B" w:rsidRDefault="008E5A4C" w:rsidP="003B1275">
      <w:pPr>
        <w:keepNext/>
        <w:widowControl w:val="0"/>
        <w:autoSpaceDE w:val="0"/>
        <w:autoSpaceDN w:val="0"/>
        <w:adjustRightInd w:val="0"/>
        <w:spacing w:after="0" w:line="480" w:lineRule="auto"/>
        <w:contextualSpacing/>
        <w:jc w:val="both"/>
        <w:rPr>
          <w:rFonts w:ascii="Times New Roman" w:hAnsi="Times New Roman"/>
          <w:sz w:val="24"/>
          <w:szCs w:val="24"/>
        </w:rPr>
      </w:pPr>
    </w:p>
    <w:p w:rsidR="00080F51" w:rsidRPr="0054131B" w:rsidRDefault="00B24983" w:rsidP="003B1275">
      <w:pPr>
        <w:pStyle w:val="Heading3"/>
        <w:spacing w:before="0" w:line="480" w:lineRule="auto"/>
        <w:rPr>
          <w:szCs w:val="24"/>
        </w:rPr>
      </w:pPr>
      <w:bookmarkStart w:id="79" w:name="_Toc446716106"/>
      <w:bookmarkStart w:id="80" w:name="_Toc446776791"/>
      <w:r w:rsidRPr="0054131B">
        <w:rPr>
          <w:szCs w:val="24"/>
        </w:rPr>
        <w:lastRenderedPageBreak/>
        <w:t>B</w:t>
      </w:r>
      <w:r w:rsidR="00080F51" w:rsidRPr="0054131B">
        <w:rPr>
          <w:szCs w:val="24"/>
        </w:rPr>
        <w:t>.5</w:t>
      </w:r>
      <w:r w:rsidR="00756BD9" w:rsidRPr="0054131B">
        <w:rPr>
          <w:szCs w:val="24"/>
        </w:rPr>
        <w:t xml:space="preserve"> </w:t>
      </w:r>
      <w:r w:rsidR="00080F51" w:rsidRPr="0054131B">
        <w:rPr>
          <w:szCs w:val="24"/>
        </w:rPr>
        <w:t xml:space="preserve">Sobre las violaciones de </w:t>
      </w:r>
      <w:r w:rsidR="002E2709">
        <w:rPr>
          <w:szCs w:val="24"/>
        </w:rPr>
        <w:t>Derechos Humanos</w:t>
      </w:r>
      <w:r w:rsidR="00080F51" w:rsidRPr="0054131B">
        <w:rPr>
          <w:szCs w:val="24"/>
        </w:rPr>
        <w:t xml:space="preserve"> en perjuicio del Pueblo Orífuna</w:t>
      </w:r>
      <w:bookmarkEnd w:id="79"/>
      <w:bookmarkEnd w:id="80"/>
    </w:p>
    <w:p w:rsidR="00420154" w:rsidRPr="0054131B" w:rsidRDefault="00B24983" w:rsidP="003B1275">
      <w:pPr>
        <w:pStyle w:val="Heading3"/>
        <w:spacing w:before="0" w:line="480" w:lineRule="auto"/>
        <w:rPr>
          <w:b w:val="0"/>
          <w:szCs w:val="24"/>
        </w:rPr>
      </w:pPr>
      <w:bookmarkStart w:id="81" w:name="_Toc446715484"/>
      <w:bookmarkStart w:id="82" w:name="_Toc446716107"/>
      <w:bookmarkStart w:id="83" w:name="_Toc446716838"/>
      <w:bookmarkStart w:id="84" w:name="_Toc446717049"/>
      <w:bookmarkStart w:id="85" w:name="_Toc446776792"/>
      <w:r w:rsidRPr="0054131B">
        <w:rPr>
          <w:szCs w:val="24"/>
        </w:rPr>
        <w:t>B</w:t>
      </w:r>
      <w:r w:rsidR="00080F51" w:rsidRPr="0054131B">
        <w:rPr>
          <w:szCs w:val="24"/>
        </w:rPr>
        <w:t xml:space="preserve">.5.1 </w:t>
      </w:r>
      <w:r w:rsidR="00420154" w:rsidRPr="0054131B">
        <w:rPr>
          <w:szCs w:val="24"/>
        </w:rPr>
        <w:t>Responsabilidad extraterritorial del Estado de Santa Clara</w:t>
      </w:r>
      <w:bookmarkEnd w:id="81"/>
      <w:bookmarkEnd w:id="82"/>
      <w:bookmarkEnd w:id="83"/>
      <w:bookmarkEnd w:id="84"/>
      <w:bookmarkEnd w:id="85"/>
    </w:p>
    <w:p w:rsidR="00420154" w:rsidRPr="0054131B" w:rsidRDefault="005F47F8" w:rsidP="003B1275">
      <w:pPr>
        <w:keepNext/>
        <w:widowControl w:val="0"/>
        <w:autoSpaceDE w:val="0"/>
        <w:autoSpaceDN w:val="0"/>
        <w:adjustRightInd w:val="0"/>
        <w:spacing w:after="0" w:line="480" w:lineRule="auto"/>
        <w:jc w:val="both"/>
        <w:rPr>
          <w:rFonts w:ascii="Times New Roman" w:eastAsia="BitstreamVeraSans-Roman" w:hAnsi="Times New Roman"/>
          <w:strike/>
          <w:sz w:val="24"/>
          <w:szCs w:val="24"/>
        </w:rPr>
      </w:pPr>
      <w:r>
        <w:rPr>
          <w:rFonts w:ascii="Times New Roman" w:hAnsi="Times New Roman"/>
          <w:sz w:val="24"/>
          <w:szCs w:val="24"/>
        </w:rPr>
        <w:t>75</w:t>
      </w:r>
      <w:r w:rsidR="003C15A7" w:rsidRPr="0054131B">
        <w:rPr>
          <w:rFonts w:ascii="Times New Roman" w:hAnsi="Times New Roman"/>
          <w:sz w:val="24"/>
          <w:szCs w:val="24"/>
        </w:rPr>
        <w:t xml:space="preserve">. </w:t>
      </w:r>
      <w:r w:rsidR="00843569" w:rsidRPr="0054131B">
        <w:rPr>
          <w:rFonts w:ascii="Times New Roman" w:hAnsi="Times New Roman"/>
          <w:sz w:val="24"/>
          <w:szCs w:val="24"/>
        </w:rPr>
        <w:t>Como ya se señaló, t</w:t>
      </w:r>
      <w:r w:rsidR="00160425" w:rsidRPr="0054131B">
        <w:rPr>
          <w:rFonts w:ascii="Times New Roman" w:hAnsi="Times New Roman"/>
          <w:sz w:val="24"/>
          <w:szCs w:val="24"/>
        </w:rPr>
        <w:t xml:space="preserve">odos los Estados poseen obligaciones de respetar, proteger y cumplir los </w:t>
      </w:r>
      <w:r w:rsidR="00363EAA" w:rsidRPr="0054131B">
        <w:rPr>
          <w:rFonts w:ascii="Times New Roman" w:hAnsi="Times New Roman"/>
          <w:sz w:val="24"/>
          <w:szCs w:val="24"/>
        </w:rPr>
        <w:t>DDHH</w:t>
      </w:r>
      <w:r w:rsidR="00160425" w:rsidRPr="0054131B">
        <w:rPr>
          <w:rFonts w:ascii="Times New Roman" w:hAnsi="Times New Roman"/>
          <w:sz w:val="24"/>
          <w:szCs w:val="24"/>
        </w:rPr>
        <w:t>, tanto en sus territorios como extraterritorialmente</w:t>
      </w:r>
      <w:r w:rsidR="00160425" w:rsidRPr="0054131B">
        <w:rPr>
          <w:rStyle w:val="FootnoteReference"/>
          <w:rFonts w:ascii="Times New Roman" w:hAnsi="Times New Roman"/>
          <w:sz w:val="24"/>
          <w:szCs w:val="24"/>
        </w:rPr>
        <w:footnoteReference w:id="146"/>
      </w:r>
      <w:r w:rsidR="0032540E" w:rsidRPr="0054131B">
        <w:rPr>
          <w:rFonts w:ascii="Times New Roman" w:hAnsi="Times New Roman"/>
          <w:sz w:val="24"/>
          <w:szCs w:val="24"/>
        </w:rPr>
        <w:t>.</w:t>
      </w:r>
      <w:r w:rsidR="00570EC4" w:rsidRPr="0054131B">
        <w:rPr>
          <w:rFonts w:ascii="Times New Roman" w:hAnsi="Times New Roman"/>
          <w:sz w:val="24"/>
          <w:szCs w:val="24"/>
        </w:rPr>
        <w:t xml:space="preserve"> </w:t>
      </w:r>
      <w:r w:rsidR="00420154" w:rsidRPr="0054131B">
        <w:rPr>
          <w:rFonts w:ascii="Times New Roman" w:hAnsi="Times New Roman"/>
          <w:sz w:val="24"/>
          <w:szCs w:val="24"/>
        </w:rPr>
        <w:t xml:space="preserve">Para que un Estado no incurra en responsabilidad internacional por negligencia, debe prevenir tanto las violaciones de </w:t>
      </w:r>
      <w:r w:rsidR="00363EAA" w:rsidRPr="0054131B">
        <w:rPr>
          <w:rFonts w:ascii="Times New Roman" w:hAnsi="Times New Roman"/>
          <w:sz w:val="24"/>
          <w:szCs w:val="24"/>
        </w:rPr>
        <w:t>DDHH</w:t>
      </w:r>
      <w:r w:rsidR="00420154" w:rsidRPr="0054131B">
        <w:rPr>
          <w:rFonts w:ascii="Times New Roman" w:hAnsi="Times New Roman"/>
          <w:sz w:val="24"/>
          <w:szCs w:val="24"/>
        </w:rPr>
        <w:t xml:space="preserve"> por parte de las empresas privadas como las situaciones de riesgo creadas por éstas</w:t>
      </w:r>
      <w:r w:rsidR="005C2605" w:rsidRPr="0054131B">
        <w:rPr>
          <w:rStyle w:val="FootnoteReference"/>
          <w:rFonts w:ascii="Times New Roman" w:hAnsi="Times New Roman"/>
          <w:sz w:val="24"/>
          <w:szCs w:val="24"/>
        </w:rPr>
        <w:footnoteReference w:id="147"/>
      </w:r>
      <w:r w:rsidR="00420154" w:rsidRPr="0054131B">
        <w:rPr>
          <w:rFonts w:ascii="Times New Roman" w:hAnsi="Times New Roman"/>
          <w:sz w:val="24"/>
          <w:szCs w:val="24"/>
        </w:rPr>
        <w:t xml:space="preserve">. </w:t>
      </w:r>
      <w:r w:rsidR="00570EC4" w:rsidRPr="0054131B">
        <w:rPr>
          <w:rFonts w:ascii="Times New Roman" w:hAnsi="Times New Roman"/>
          <w:sz w:val="24"/>
          <w:szCs w:val="24"/>
        </w:rPr>
        <w:t xml:space="preserve">Dicha </w:t>
      </w:r>
      <w:r w:rsidR="00420154" w:rsidRPr="0054131B">
        <w:rPr>
          <w:rFonts w:ascii="Times New Roman" w:hAnsi="Times New Roman"/>
          <w:sz w:val="24"/>
          <w:szCs w:val="24"/>
        </w:rPr>
        <w:t xml:space="preserve">obligación se desprende </w:t>
      </w:r>
      <w:r w:rsidR="00570EC4" w:rsidRPr="0054131B">
        <w:rPr>
          <w:rFonts w:ascii="Times New Roman" w:hAnsi="Times New Roman"/>
          <w:sz w:val="24"/>
          <w:szCs w:val="24"/>
        </w:rPr>
        <w:t>del deber</w:t>
      </w:r>
      <w:r w:rsidR="004B7001" w:rsidRPr="0054131B">
        <w:rPr>
          <w:rFonts w:ascii="Times New Roman" w:eastAsia="BitstreamVeraSans-Roman" w:hAnsi="Times New Roman"/>
          <w:sz w:val="24"/>
          <w:szCs w:val="24"/>
        </w:rPr>
        <w:t xml:space="preserve"> que tiene</w:t>
      </w:r>
      <w:r w:rsidR="0045028F" w:rsidRPr="0054131B">
        <w:rPr>
          <w:rFonts w:ascii="Times New Roman" w:eastAsia="BitstreamVeraSans-Roman" w:hAnsi="Times New Roman"/>
          <w:sz w:val="24"/>
          <w:szCs w:val="24"/>
        </w:rPr>
        <w:t xml:space="preserve"> el</w:t>
      </w:r>
      <w:r w:rsidR="004B7001" w:rsidRPr="0054131B">
        <w:rPr>
          <w:rFonts w:ascii="Times New Roman" w:eastAsia="BitstreamVeraSans-Roman" w:hAnsi="Times New Roman"/>
          <w:sz w:val="24"/>
          <w:szCs w:val="24"/>
        </w:rPr>
        <w:t xml:space="preserve"> Estado</w:t>
      </w:r>
      <w:r w:rsidR="00420154" w:rsidRPr="0054131B">
        <w:rPr>
          <w:rFonts w:ascii="Times New Roman" w:eastAsia="BitstreamVeraSans-Roman" w:hAnsi="Times New Roman"/>
          <w:sz w:val="24"/>
          <w:szCs w:val="24"/>
        </w:rPr>
        <w:t xml:space="preserve"> de asegurar que las actividades que se realizan bajo su jurisdicción no vulneren los </w:t>
      </w:r>
      <w:r w:rsidR="00363EAA" w:rsidRPr="0054131B">
        <w:rPr>
          <w:rFonts w:ascii="Times New Roman" w:eastAsia="BitstreamVeraSans-Roman" w:hAnsi="Times New Roman"/>
          <w:sz w:val="24"/>
          <w:szCs w:val="24"/>
        </w:rPr>
        <w:t>DDHH</w:t>
      </w:r>
      <w:r w:rsidR="00420154" w:rsidRPr="0054131B">
        <w:rPr>
          <w:rFonts w:ascii="Times New Roman" w:eastAsia="BitstreamVeraSans-Roman" w:hAnsi="Times New Roman"/>
          <w:sz w:val="24"/>
          <w:szCs w:val="24"/>
        </w:rPr>
        <w:t xml:space="preserve"> ni el medio ambiente de otro Estado, ni causen daño en áreas que se encuentren fuera de los límites de la jurisdicción nacional</w:t>
      </w:r>
      <w:r w:rsidR="00420154" w:rsidRPr="0054131B">
        <w:rPr>
          <w:rStyle w:val="FootnoteReference"/>
          <w:rFonts w:ascii="Times New Roman" w:eastAsia="BitstreamVeraSans-Roman" w:hAnsi="Times New Roman"/>
          <w:sz w:val="24"/>
          <w:szCs w:val="24"/>
        </w:rPr>
        <w:footnoteReference w:id="148"/>
      </w:r>
      <w:r w:rsidR="00420154" w:rsidRPr="0054131B">
        <w:rPr>
          <w:rFonts w:ascii="Times New Roman" w:eastAsia="BitstreamVeraSans-Roman" w:hAnsi="Times New Roman"/>
          <w:sz w:val="24"/>
          <w:szCs w:val="24"/>
        </w:rPr>
        <w:t xml:space="preserve">. </w:t>
      </w:r>
    </w:p>
    <w:p w:rsidR="00420154" w:rsidRPr="0054131B" w:rsidRDefault="005F47F8" w:rsidP="003B1275">
      <w:pPr>
        <w:keepNext/>
        <w:widowControl w:val="0"/>
        <w:spacing w:after="0" w:line="480" w:lineRule="auto"/>
        <w:jc w:val="both"/>
        <w:rPr>
          <w:rFonts w:ascii="Times New Roman" w:hAnsi="Times New Roman"/>
          <w:sz w:val="24"/>
          <w:szCs w:val="24"/>
        </w:rPr>
      </w:pPr>
      <w:r>
        <w:rPr>
          <w:rFonts w:ascii="Times New Roman" w:eastAsia="Cambria" w:hAnsi="Times New Roman"/>
          <w:sz w:val="24"/>
          <w:szCs w:val="24"/>
        </w:rPr>
        <w:t>76</w:t>
      </w:r>
      <w:r w:rsidR="00A44FBB" w:rsidRPr="0054131B">
        <w:rPr>
          <w:rFonts w:ascii="Times New Roman" w:eastAsia="Cambria" w:hAnsi="Times New Roman"/>
          <w:sz w:val="24"/>
          <w:szCs w:val="24"/>
        </w:rPr>
        <w:t xml:space="preserve">. </w:t>
      </w:r>
      <w:r w:rsidR="00313408" w:rsidRPr="0054131B">
        <w:rPr>
          <w:rFonts w:ascii="Times New Roman" w:eastAsia="Cambria" w:hAnsi="Times New Roman"/>
          <w:sz w:val="24"/>
          <w:szCs w:val="24"/>
        </w:rPr>
        <w:t>E</w:t>
      </w:r>
      <w:r w:rsidR="00420154" w:rsidRPr="0054131B">
        <w:rPr>
          <w:rFonts w:ascii="Times New Roman" w:hAnsi="Times New Roman"/>
          <w:sz w:val="24"/>
          <w:szCs w:val="24"/>
        </w:rPr>
        <w:t>l TEDH ha señalado que los Estados podrán ser considerados responsables internaciona</w:t>
      </w:r>
      <w:r w:rsidR="00313408" w:rsidRPr="0054131B">
        <w:rPr>
          <w:rFonts w:ascii="Times New Roman" w:hAnsi="Times New Roman"/>
          <w:sz w:val="24"/>
          <w:szCs w:val="24"/>
        </w:rPr>
        <w:t>lmente no sólo cuando ejerzan</w:t>
      </w:r>
      <w:r w:rsidR="00420154" w:rsidRPr="0054131B">
        <w:rPr>
          <w:rFonts w:ascii="Times New Roman" w:hAnsi="Times New Roman"/>
          <w:sz w:val="24"/>
          <w:szCs w:val="24"/>
        </w:rPr>
        <w:t xml:space="preserve"> control efectivo de una zona, sino además, cuando tengan una injerencia decisiva en ella</w:t>
      </w:r>
      <w:r w:rsidR="00420154" w:rsidRPr="0054131B">
        <w:rPr>
          <w:rStyle w:val="FootnoteReference"/>
          <w:rFonts w:ascii="Times New Roman" w:hAnsi="Times New Roman"/>
          <w:sz w:val="24"/>
          <w:szCs w:val="24"/>
        </w:rPr>
        <w:footnoteReference w:id="149"/>
      </w:r>
      <w:r w:rsidR="00D1550A" w:rsidRPr="0054131B">
        <w:rPr>
          <w:rFonts w:ascii="Times New Roman" w:hAnsi="Times New Roman"/>
          <w:sz w:val="24"/>
          <w:szCs w:val="24"/>
        </w:rPr>
        <w:t>, como la que ejerce</w:t>
      </w:r>
      <w:r w:rsidR="00420154" w:rsidRPr="0054131B">
        <w:rPr>
          <w:rFonts w:ascii="Times New Roman" w:hAnsi="Times New Roman"/>
          <w:sz w:val="24"/>
          <w:szCs w:val="24"/>
        </w:rPr>
        <w:t xml:space="preserve"> </w:t>
      </w:r>
      <w:r w:rsidR="009E28F7" w:rsidRPr="0054131B">
        <w:rPr>
          <w:rFonts w:ascii="Times New Roman" w:hAnsi="Times New Roman"/>
          <w:sz w:val="24"/>
          <w:szCs w:val="24"/>
        </w:rPr>
        <w:t xml:space="preserve">Santa Clara </w:t>
      </w:r>
      <w:r w:rsidR="00D1550A" w:rsidRPr="0054131B">
        <w:rPr>
          <w:rFonts w:ascii="Times New Roman" w:hAnsi="Times New Roman"/>
          <w:sz w:val="24"/>
          <w:szCs w:val="24"/>
        </w:rPr>
        <w:t>en las actividades de</w:t>
      </w:r>
      <w:r w:rsidR="009E28F7" w:rsidRPr="0054131B">
        <w:rPr>
          <w:rFonts w:ascii="Times New Roman" w:hAnsi="Times New Roman"/>
          <w:sz w:val="24"/>
          <w:szCs w:val="24"/>
        </w:rPr>
        <w:t xml:space="preserve"> Silverfield, debido a que éstas se e</w:t>
      </w:r>
      <w:r w:rsidR="00CB33B2" w:rsidRPr="0054131B">
        <w:rPr>
          <w:rFonts w:ascii="Times New Roman" w:hAnsi="Times New Roman"/>
          <w:sz w:val="24"/>
          <w:szCs w:val="24"/>
        </w:rPr>
        <w:t>ncuentran bajo su jurisdicción y</w:t>
      </w:r>
      <w:r w:rsidR="00D1550A" w:rsidRPr="0054131B">
        <w:rPr>
          <w:rFonts w:ascii="Times New Roman" w:hAnsi="Times New Roman"/>
          <w:sz w:val="24"/>
          <w:szCs w:val="24"/>
        </w:rPr>
        <w:t xml:space="preserve"> </w:t>
      </w:r>
      <w:r w:rsidR="00BD5C49" w:rsidRPr="0054131B">
        <w:rPr>
          <w:rFonts w:ascii="Times New Roman" w:hAnsi="Times New Roman"/>
          <w:sz w:val="24"/>
          <w:szCs w:val="24"/>
        </w:rPr>
        <w:t>se encuentran autorizadas por la l</w:t>
      </w:r>
      <w:r w:rsidR="00313408" w:rsidRPr="0054131B">
        <w:rPr>
          <w:rFonts w:ascii="Times New Roman" w:hAnsi="Times New Roman"/>
          <w:sz w:val="24"/>
          <w:szCs w:val="24"/>
        </w:rPr>
        <w:t>icencia otorgada por Santa Clara</w:t>
      </w:r>
      <w:r w:rsidR="00CB33B2" w:rsidRPr="0054131B">
        <w:rPr>
          <w:rFonts w:ascii="Times New Roman" w:hAnsi="Times New Roman"/>
          <w:sz w:val="24"/>
          <w:szCs w:val="24"/>
        </w:rPr>
        <w:t xml:space="preserve">, </w:t>
      </w:r>
      <w:r w:rsidR="00420154" w:rsidRPr="0054131B">
        <w:rPr>
          <w:rFonts w:ascii="Times New Roman" w:hAnsi="Times New Roman"/>
          <w:sz w:val="24"/>
          <w:szCs w:val="24"/>
        </w:rPr>
        <w:t xml:space="preserve">facultad </w:t>
      </w:r>
      <w:r w:rsidR="00BD5C49" w:rsidRPr="0054131B">
        <w:rPr>
          <w:rFonts w:ascii="Times New Roman" w:hAnsi="Times New Roman"/>
          <w:sz w:val="24"/>
          <w:szCs w:val="24"/>
        </w:rPr>
        <w:t xml:space="preserve">exclusiva de </w:t>
      </w:r>
      <w:r w:rsidR="00313408" w:rsidRPr="0054131B">
        <w:rPr>
          <w:rFonts w:ascii="Times New Roman" w:hAnsi="Times New Roman"/>
          <w:sz w:val="24"/>
          <w:szCs w:val="24"/>
        </w:rPr>
        <w:t>este Estado</w:t>
      </w:r>
      <w:r w:rsidR="00CB33B2" w:rsidRPr="0054131B">
        <w:rPr>
          <w:rFonts w:ascii="Times New Roman" w:hAnsi="Times New Roman"/>
          <w:sz w:val="24"/>
          <w:szCs w:val="24"/>
        </w:rPr>
        <w:t>.</w:t>
      </w:r>
    </w:p>
    <w:p w:rsidR="00420154" w:rsidRPr="0054131B" w:rsidRDefault="005F47F8" w:rsidP="003B1275">
      <w:pPr>
        <w:keepNext/>
        <w:widowControl w:val="0"/>
        <w:spacing w:after="0" w:line="480" w:lineRule="auto"/>
        <w:jc w:val="both"/>
        <w:rPr>
          <w:rFonts w:ascii="Times New Roman" w:hAnsi="Times New Roman"/>
          <w:sz w:val="24"/>
          <w:szCs w:val="24"/>
          <w:shd w:val="clear" w:color="auto" w:fill="FFFFFF"/>
        </w:rPr>
      </w:pPr>
      <w:r>
        <w:rPr>
          <w:rFonts w:ascii="Times New Roman" w:hAnsi="Times New Roman"/>
          <w:sz w:val="24"/>
          <w:szCs w:val="24"/>
        </w:rPr>
        <w:t>77</w:t>
      </w:r>
      <w:r w:rsidR="00683349" w:rsidRPr="0054131B">
        <w:rPr>
          <w:rFonts w:ascii="Times New Roman" w:hAnsi="Times New Roman"/>
          <w:sz w:val="24"/>
          <w:szCs w:val="24"/>
        </w:rPr>
        <w:t xml:space="preserve">. </w:t>
      </w:r>
      <w:r w:rsidR="00420154" w:rsidRPr="0054131B">
        <w:rPr>
          <w:rFonts w:ascii="Times New Roman" w:hAnsi="Times New Roman"/>
          <w:sz w:val="24"/>
          <w:szCs w:val="24"/>
        </w:rPr>
        <w:t xml:space="preserve">La CIJ ha señalado que para cumplir con su obligación de actuar con la debida diligencia, un Estado debe determinar si existe un </w:t>
      </w:r>
      <w:r w:rsidR="00125FF2" w:rsidRPr="0054131B">
        <w:rPr>
          <w:rFonts w:ascii="Times New Roman" w:hAnsi="Times New Roman"/>
          <w:sz w:val="24"/>
          <w:szCs w:val="24"/>
        </w:rPr>
        <w:t>riesgo de daño transfronterizo; asimismo</w:t>
      </w:r>
      <w:r w:rsidR="00420154" w:rsidRPr="0054131B">
        <w:rPr>
          <w:rFonts w:ascii="Times New Roman" w:hAnsi="Times New Roman"/>
          <w:sz w:val="24"/>
          <w:szCs w:val="24"/>
        </w:rPr>
        <w:t xml:space="preserve"> ha reconocido a los EIA transfronterizos como una obligación internacional</w:t>
      </w:r>
      <w:r w:rsidR="00420154" w:rsidRPr="0054131B">
        <w:rPr>
          <w:rStyle w:val="FootnoteReference"/>
          <w:rFonts w:ascii="Times New Roman" w:hAnsi="Times New Roman"/>
          <w:sz w:val="24"/>
          <w:szCs w:val="24"/>
        </w:rPr>
        <w:footnoteReference w:id="150"/>
      </w:r>
      <w:r w:rsidR="00D50110" w:rsidRPr="0054131B">
        <w:rPr>
          <w:rFonts w:ascii="Times New Roman" w:hAnsi="Times New Roman"/>
          <w:sz w:val="24"/>
          <w:szCs w:val="24"/>
        </w:rPr>
        <w:t xml:space="preserve"> que </w:t>
      </w:r>
      <w:r w:rsidR="00420154" w:rsidRPr="0054131B">
        <w:rPr>
          <w:rFonts w:ascii="Times New Roman" w:hAnsi="Times New Roman"/>
          <w:sz w:val="24"/>
          <w:szCs w:val="24"/>
        </w:rPr>
        <w:t xml:space="preserve">concierne al Estado que realizará </w:t>
      </w:r>
      <w:r w:rsidR="00420154" w:rsidRPr="0054131B">
        <w:rPr>
          <w:rFonts w:ascii="Times New Roman" w:hAnsi="Times New Roman"/>
          <w:sz w:val="24"/>
          <w:szCs w:val="24"/>
        </w:rPr>
        <w:lastRenderedPageBreak/>
        <w:t>la actividad potencialmente riesgosa</w:t>
      </w:r>
      <w:r w:rsidR="00420154" w:rsidRPr="0054131B">
        <w:rPr>
          <w:rStyle w:val="FootnoteReference"/>
          <w:rFonts w:ascii="Times New Roman" w:hAnsi="Times New Roman"/>
          <w:sz w:val="24"/>
          <w:szCs w:val="24"/>
        </w:rPr>
        <w:footnoteReference w:id="151"/>
      </w:r>
      <w:r w:rsidR="00125FF2" w:rsidRPr="0054131B">
        <w:rPr>
          <w:rFonts w:ascii="Times New Roman" w:hAnsi="Times New Roman"/>
          <w:sz w:val="24"/>
          <w:szCs w:val="24"/>
        </w:rPr>
        <w:t xml:space="preserve">. De igual manera, </w:t>
      </w:r>
      <w:r w:rsidR="00420154" w:rsidRPr="0054131B">
        <w:rPr>
          <w:rFonts w:ascii="Times New Roman" w:hAnsi="Times New Roman"/>
          <w:sz w:val="24"/>
          <w:szCs w:val="24"/>
        </w:rPr>
        <w:t xml:space="preserve">ha señalado que si </w:t>
      </w:r>
      <w:r w:rsidR="004044A0" w:rsidRPr="0054131B">
        <w:rPr>
          <w:rFonts w:ascii="Times New Roman" w:hAnsi="Times New Roman"/>
          <w:sz w:val="24"/>
          <w:szCs w:val="24"/>
        </w:rPr>
        <w:t>se</w:t>
      </w:r>
      <w:r w:rsidR="00420154" w:rsidRPr="0054131B">
        <w:rPr>
          <w:rFonts w:ascii="Times New Roman" w:hAnsi="Times New Roman"/>
          <w:sz w:val="24"/>
          <w:szCs w:val="24"/>
        </w:rPr>
        <w:t xml:space="preserve"> confirma la existencia de </w:t>
      </w:r>
      <w:r w:rsidR="00D8513C" w:rsidRPr="0054131B">
        <w:rPr>
          <w:rFonts w:ascii="Times New Roman" w:hAnsi="Times New Roman"/>
          <w:sz w:val="24"/>
          <w:szCs w:val="24"/>
        </w:rPr>
        <w:t xml:space="preserve">un </w:t>
      </w:r>
      <w:r w:rsidR="00420154" w:rsidRPr="0054131B">
        <w:rPr>
          <w:rFonts w:ascii="Times New Roman" w:hAnsi="Times New Roman"/>
          <w:sz w:val="24"/>
          <w:szCs w:val="24"/>
        </w:rPr>
        <w:t>riesgo de daño transfronterizo, el Estado de origen debe informar y consultar al Estado que pueda verse afectado</w:t>
      </w:r>
      <w:r w:rsidR="00420154" w:rsidRPr="0054131B">
        <w:rPr>
          <w:rStyle w:val="FootnoteReference"/>
          <w:rFonts w:ascii="Times New Roman" w:hAnsi="Times New Roman"/>
          <w:sz w:val="24"/>
          <w:szCs w:val="24"/>
        </w:rPr>
        <w:footnoteReference w:id="152"/>
      </w:r>
      <w:r w:rsidR="00420154" w:rsidRPr="0054131B">
        <w:rPr>
          <w:rFonts w:ascii="Times New Roman" w:hAnsi="Times New Roman"/>
          <w:sz w:val="24"/>
          <w:szCs w:val="24"/>
        </w:rPr>
        <w:t>. Santa Clara sostiene que su obligación se agotó al advertir a Madruga sobre la existencia del proyecto Wirikuya; sin embargo</w:t>
      </w:r>
      <w:r w:rsidR="004044A0" w:rsidRPr="0054131B">
        <w:rPr>
          <w:rFonts w:ascii="Times New Roman" w:hAnsi="Times New Roman"/>
          <w:sz w:val="24"/>
          <w:szCs w:val="24"/>
        </w:rPr>
        <w:t>,</w:t>
      </w:r>
      <w:r w:rsidR="00420154" w:rsidRPr="0054131B">
        <w:rPr>
          <w:rFonts w:ascii="Times New Roman" w:hAnsi="Times New Roman"/>
          <w:sz w:val="24"/>
          <w:szCs w:val="24"/>
        </w:rPr>
        <w:t xml:space="preserve"> en el año 2007, cuando Santa Clara informó a Madruga que no había posibilidad de afectación al Pueblo Orífuna, aún no se </w:t>
      </w:r>
      <w:r w:rsidR="004044A0" w:rsidRPr="0054131B">
        <w:rPr>
          <w:rFonts w:ascii="Times New Roman" w:hAnsi="Times New Roman"/>
          <w:sz w:val="24"/>
          <w:szCs w:val="24"/>
        </w:rPr>
        <w:t>había realizado el EISA</w:t>
      </w:r>
      <w:r w:rsidR="00420154" w:rsidRPr="0054131B">
        <w:rPr>
          <w:rFonts w:ascii="Times New Roman" w:hAnsi="Times New Roman"/>
          <w:sz w:val="24"/>
          <w:szCs w:val="24"/>
        </w:rPr>
        <w:t xml:space="preserve"> que determinaría la existencia de riesgo de daño transfronterizo.</w:t>
      </w:r>
    </w:p>
    <w:p w:rsidR="00420154" w:rsidRPr="0054131B" w:rsidRDefault="005F47F8" w:rsidP="003B1275">
      <w:pPr>
        <w:keepNext/>
        <w:widowControl w:val="0"/>
        <w:autoSpaceDE w:val="0"/>
        <w:autoSpaceDN w:val="0"/>
        <w:adjustRightInd w:val="0"/>
        <w:spacing w:after="0" w:line="480" w:lineRule="auto"/>
        <w:jc w:val="both"/>
        <w:rPr>
          <w:rFonts w:ascii="Times New Roman" w:eastAsia="Cambria" w:hAnsi="Times New Roman"/>
          <w:sz w:val="24"/>
          <w:szCs w:val="24"/>
        </w:rPr>
      </w:pPr>
      <w:r>
        <w:rPr>
          <w:rFonts w:ascii="Times New Roman" w:hAnsi="Times New Roman"/>
          <w:sz w:val="24"/>
          <w:szCs w:val="24"/>
        </w:rPr>
        <w:t>78</w:t>
      </w:r>
      <w:r w:rsidR="00D8513C" w:rsidRPr="0054131B">
        <w:rPr>
          <w:rFonts w:ascii="Times New Roman" w:hAnsi="Times New Roman"/>
          <w:sz w:val="24"/>
          <w:szCs w:val="24"/>
        </w:rPr>
        <w:t xml:space="preserve">. </w:t>
      </w:r>
      <w:r w:rsidR="00860842" w:rsidRPr="0054131B">
        <w:rPr>
          <w:rFonts w:ascii="Times New Roman" w:hAnsi="Times New Roman"/>
          <w:sz w:val="24"/>
          <w:szCs w:val="24"/>
        </w:rPr>
        <w:t xml:space="preserve">Santa Clara </w:t>
      </w:r>
      <w:r w:rsidR="00420154" w:rsidRPr="0054131B">
        <w:rPr>
          <w:rFonts w:ascii="Times New Roman" w:hAnsi="Times New Roman"/>
          <w:sz w:val="24"/>
          <w:szCs w:val="24"/>
        </w:rPr>
        <w:t>alega que la consulta previa no se encuentra regul</w:t>
      </w:r>
      <w:r w:rsidR="00BC18B2" w:rsidRPr="0054131B">
        <w:rPr>
          <w:rFonts w:ascii="Times New Roman" w:hAnsi="Times New Roman"/>
          <w:sz w:val="24"/>
          <w:szCs w:val="24"/>
        </w:rPr>
        <w:t>ada en el derecho internacional, s</w:t>
      </w:r>
      <w:r w:rsidR="00420154" w:rsidRPr="0054131B">
        <w:rPr>
          <w:rFonts w:ascii="Times New Roman" w:hAnsi="Times New Roman"/>
          <w:sz w:val="24"/>
          <w:szCs w:val="24"/>
        </w:rPr>
        <w:t>in embargo, teniendo en cuenta la existencia de</w:t>
      </w:r>
      <w:r w:rsidR="00706193" w:rsidRPr="0054131B">
        <w:rPr>
          <w:rFonts w:ascii="Times New Roman" w:hAnsi="Times New Roman"/>
          <w:sz w:val="24"/>
          <w:szCs w:val="24"/>
        </w:rPr>
        <w:t xml:space="preserve"> riesgo de daño transfronterizo y</w:t>
      </w:r>
      <w:r w:rsidR="00911930" w:rsidRPr="0054131B">
        <w:rPr>
          <w:rFonts w:ascii="Times New Roman" w:hAnsi="Times New Roman"/>
          <w:sz w:val="24"/>
          <w:szCs w:val="24"/>
        </w:rPr>
        <w:t xml:space="preserve"> su</w:t>
      </w:r>
      <w:r w:rsidR="00420154" w:rsidRPr="0054131B">
        <w:rPr>
          <w:rFonts w:ascii="Times New Roman" w:hAnsi="Times New Roman"/>
          <w:sz w:val="24"/>
          <w:szCs w:val="24"/>
        </w:rPr>
        <w:t xml:space="preserve"> obligación de prevención, deb</w:t>
      </w:r>
      <w:r w:rsidR="00860842" w:rsidRPr="0054131B">
        <w:rPr>
          <w:rFonts w:ascii="Times New Roman" w:hAnsi="Times New Roman"/>
          <w:sz w:val="24"/>
          <w:szCs w:val="24"/>
        </w:rPr>
        <w:t>ió consultar al Pueblo Orífuna</w:t>
      </w:r>
      <w:r w:rsidR="00420154" w:rsidRPr="0054131B">
        <w:rPr>
          <w:rFonts w:ascii="Times New Roman" w:hAnsi="Times New Roman"/>
          <w:sz w:val="24"/>
          <w:szCs w:val="24"/>
        </w:rPr>
        <w:t>. Bajo estas premisas, se analizar</w:t>
      </w:r>
      <w:r w:rsidR="004C008A" w:rsidRPr="0054131B">
        <w:rPr>
          <w:rFonts w:ascii="Times New Roman" w:hAnsi="Times New Roman"/>
          <w:sz w:val="24"/>
          <w:szCs w:val="24"/>
        </w:rPr>
        <w:t>á la responsabilidad del Estado</w:t>
      </w:r>
      <w:r w:rsidR="00420154" w:rsidRPr="0054131B">
        <w:rPr>
          <w:rFonts w:ascii="Times New Roman" w:hAnsi="Times New Roman"/>
          <w:sz w:val="24"/>
          <w:szCs w:val="24"/>
        </w:rPr>
        <w:t xml:space="preserve"> </w:t>
      </w:r>
      <w:r w:rsidR="00590C47" w:rsidRPr="0054131B">
        <w:rPr>
          <w:rFonts w:ascii="Times New Roman" w:hAnsi="Times New Roman"/>
          <w:sz w:val="24"/>
          <w:szCs w:val="24"/>
        </w:rPr>
        <w:t xml:space="preserve">de Santa Clara </w:t>
      </w:r>
      <w:r w:rsidR="00420154" w:rsidRPr="0054131B">
        <w:rPr>
          <w:rFonts w:ascii="Times New Roman" w:hAnsi="Times New Roman"/>
          <w:sz w:val="24"/>
          <w:szCs w:val="24"/>
        </w:rPr>
        <w:t xml:space="preserve">por el otorgamiento de la licencia </w:t>
      </w:r>
      <w:r w:rsidR="003E3CC8" w:rsidRPr="0054131B">
        <w:rPr>
          <w:rFonts w:ascii="Times New Roman" w:hAnsi="Times New Roman"/>
          <w:sz w:val="24"/>
          <w:szCs w:val="24"/>
        </w:rPr>
        <w:t xml:space="preserve">de explotación </w:t>
      </w:r>
      <w:r w:rsidR="00420154" w:rsidRPr="0054131B">
        <w:rPr>
          <w:rFonts w:ascii="Times New Roman" w:hAnsi="Times New Roman"/>
          <w:sz w:val="24"/>
          <w:szCs w:val="24"/>
        </w:rPr>
        <w:t xml:space="preserve">a la empresa Silverfield sin </w:t>
      </w:r>
      <w:r w:rsidR="00F36B43" w:rsidRPr="0054131B">
        <w:rPr>
          <w:rFonts w:ascii="Times New Roman" w:hAnsi="Times New Roman"/>
          <w:sz w:val="24"/>
          <w:szCs w:val="24"/>
        </w:rPr>
        <w:t>que se haya consultado</w:t>
      </w:r>
      <w:r w:rsidR="00420154" w:rsidRPr="0054131B">
        <w:rPr>
          <w:rFonts w:ascii="Times New Roman" w:hAnsi="Times New Roman"/>
          <w:sz w:val="24"/>
          <w:szCs w:val="24"/>
        </w:rPr>
        <w:t xml:space="preserve"> al Pueblo Orífuna.</w:t>
      </w:r>
    </w:p>
    <w:p w:rsidR="00420154" w:rsidRPr="0054131B" w:rsidRDefault="00B24983" w:rsidP="003B1275">
      <w:pPr>
        <w:pStyle w:val="Heading3"/>
        <w:spacing w:before="0" w:line="480" w:lineRule="auto"/>
        <w:rPr>
          <w:b w:val="0"/>
          <w:szCs w:val="24"/>
        </w:rPr>
      </w:pPr>
      <w:bookmarkStart w:id="86" w:name="_Toc446715485"/>
      <w:bookmarkStart w:id="87" w:name="_Toc446716839"/>
      <w:bookmarkStart w:id="88" w:name="_Toc446717050"/>
      <w:bookmarkStart w:id="89" w:name="_Toc446776793"/>
      <w:r w:rsidRPr="0054131B">
        <w:rPr>
          <w:szCs w:val="24"/>
        </w:rPr>
        <w:t>B</w:t>
      </w:r>
      <w:r w:rsidR="002E50EA" w:rsidRPr="0054131B">
        <w:rPr>
          <w:szCs w:val="24"/>
        </w:rPr>
        <w:t xml:space="preserve">.5.2 </w:t>
      </w:r>
      <w:r w:rsidR="00420154" w:rsidRPr="0054131B">
        <w:rPr>
          <w:szCs w:val="24"/>
        </w:rPr>
        <w:t>Violación de los arts. 8 y 25 de la CADH</w:t>
      </w:r>
      <w:r w:rsidR="002E50EA" w:rsidRPr="0054131B">
        <w:rPr>
          <w:szCs w:val="24"/>
        </w:rPr>
        <w:t xml:space="preserve"> en perjuicio del Pueblo Orífuna</w:t>
      </w:r>
      <w:bookmarkEnd w:id="86"/>
      <w:bookmarkEnd w:id="87"/>
      <w:bookmarkEnd w:id="88"/>
      <w:bookmarkEnd w:id="89"/>
    </w:p>
    <w:p w:rsidR="00E914D3" w:rsidRPr="0054131B" w:rsidRDefault="005F47F8" w:rsidP="003B1275">
      <w:pPr>
        <w:keepNext/>
        <w:widowControl w:val="0"/>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79</w:t>
      </w:r>
      <w:r w:rsidR="007100E7" w:rsidRPr="0054131B">
        <w:rPr>
          <w:rFonts w:ascii="Times New Roman" w:hAnsi="Times New Roman"/>
          <w:sz w:val="24"/>
          <w:szCs w:val="24"/>
        </w:rPr>
        <w:t xml:space="preserve">. </w:t>
      </w:r>
      <w:r w:rsidR="00420154" w:rsidRPr="0054131B">
        <w:rPr>
          <w:rFonts w:ascii="Times New Roman" w:hAnsi="Times New Roman"/>
          <w:sz w:val="24"/>
          <w:szCs w:val="24"/>
        </w:rPr>
        <w:t>L</w:t>
      </w:r>
      <w:r w:rsidR="00E914D3" w:rsidRPr="0054131B">
        <w:rPr>
          <w:rFonts w:ascii="Times New Roman" w:hAnsi="Times New Roman"/>
          <w:sz w:val="24"/>
          <w:szCs w:val="24"/>
        </w:rPr>
        <w:t xml:space="preserve">a Corte IDH </w:t>
      </w:r>
      <w:r w:rsidR="00420154" w:rsidRPr="0054131B">
        <w:rPr>
          <w:rFonts w:ascii="Times New Roman" w:hAnsi="Times New Roman"/>
          <w:sz w:val="24"/>
          <w:szCs w:val="24"/>
        </w:rPr>
        <w:t xml:space="preserve">ha reconocido que </w:t>
      </w:r>
      <w:r w:rsidR="00907CAD" w:rsidRPr="0054131B">
        <w:rPr>
          <w:rFonts w:ascii="Times New Roman" w:hAnsi="Times New Roman"/>
          <w:sz w:val="24"/>
          <w:szCs w:val="24"/>
        </w:rPr>
        <w:t>l</w:t>
      </w:r>
      <w:r w:rsidR="00FA2176" w:rsidRPr="0054131B">
        <w:rPr>
          <w:rFonts w:ascii="Times New Roman" w:hAnsi="Times New Roman"/>
          <w:sz w:val="24"/>
          <w:szCs w:val="24"/>
        </w:rPr>
        <w:t>a</w:t>
      </w:r>
      <w:r w:rsidR="00420154" w:rsidRPr="0054131B">
        <w:rPr>
          <w:rFonts w:ascii="Times New Roman" w:hAnsi="Times New Roman"/>
          <w:sz w:val="24"/>
          <w:szCs w:val="24"/>
        </w:rPr>
        <w:t xml:space="preserve">s garantías </w:t>
      </w:r>
      <w:r w:rsidR="00443180" w:rsidRPr="0054131B">
        <w:rPr>
          <w:rFonts w:ascii="Times New Roman" w:hAnsi="Times New Roman"/>
          <w:sz w:val="24"/>
          <w:szCs w:val="24"/>
        </w:rPr>
        <w:t>consagradas</w:t>
      </w:r>
      <w:r w:rsidR="00907CAD" w:rsidRPr="0054131B">
        <w:rPr>
          <w:rFonts w:ascii="Times New Roman" w:hAnsi="Times New Roman"/>
          <w:sz w:val="24"/>
          <w:szCs w:val="24"/>
        </w:rPr>
        <w:t xml:space="preserve"> en </w:t>
      </w:r>
      <w:r w:rsidR="00E914D3" w:rsidRPr="0054131B">
        <w:rPr>
          <w:rFonts w:ascii="Times New Roman" w:hAnsi="Times New Roman"/>
          <w:sz w:val="24"/>
          <w:szCs w:val="24"/>
        </w:rPr>
        <w:t>los art</w:t>
      </w:r>
      <w:r w:rsidR="00907CAD" w:rsidRPr="0054131B">
        <w:rPr>
          <w:rFonts w:ascii="Times New Roman" w:hAnsi="Times New Roman"/>
          <w:sz w:val="24"/>
          <w:szCs w:val="24"/>
        </w:rPr>
        <w:t>s</w:t>
      </w:r>
      <w:r w:rsidR="00E914D3" w:rsidRPr="0054131B">
        <w:rPr>
          <w:rFonts w:ascii="Times New Roman" w:hAnsi="Times New Roman"/>
          <w:sz w:val="24"/>
          <w:szCs w:val="24"/>
        </w:rPr>
        <w:t>. 8 y 25</w:t>
      </w:r>
      <w:r w:rsidR="00112348" w:rsidRPr="0054131B">
        <w:rPr>
          <w:rFonts w:ascii="Times New Roman" w:hAnsi="Times New Roman"/>
          <w:sz w:val="24"/>
          <w:szCs w:val="24"/>
        </w:rPr>
        <w:t xml:space="preserve"> </w:t>
      </w:r>
      <w:r w:rsidR="00443180" w:rsidRPr="0054131B">
        <w:rPr>
          <w:rFonts w:ascii="Times New Roman" w:hAnsi="Times New Roman"/>
          <w:sz w:val="24"/>
          <w:szCs w:val="24"/>
        </w:rPr>
        <w:t xml:space="preserve">de la CADH </w:t>
      </w:r>
      <w:r w:rsidR="00FA2176" w:rsidRPr="0054131B">
        <w:rPr>
          <w:rFonts w:ascii="Times New Roman" w:hAnsi="Times New Roman"/>
          <w:sz w:val="24"/>
          <w:szCs w:val="24"/>
        </w:rPr>
        <w:t>se aplican en</w:t>
      </w:r>
      <w:r w:rsidR="00420154" w:rsidRPr="0054131B">
        <w:rPr>
          <w:rFonts w:ascii="Times New Roman" w:hAnsi="Times New Roman"/>
          <w:sz w:val="24"/>
          <w:szCs w:val="24"/>
        </w:rPr>
        <w:t xml:space="preserve"> cualquier tipo de</w:t>
      </w:r>
      <w:r w:rsidR="00112348" w:rsidRPr="0054131B">
        <w:rPr>
          <w:rFonts w:ascii="Times New Roman" w:hAnsi="Times New Roman"/>
          <w:sz w:val="24"/>
          <w:szCs w:val="24"/>
        </w:rPr>
        <w:t xml:space="preserve"> </w:t>
      </w:r>
      <w:r w:rsidR="00420154" w:rsidRPr="0054131B">
        <w:rPr>
          <w:rFonts w:ascii="Times New Roman" w:hAnsi="Times New Roman"/>
          <w:sz w:val="24"/>
          <w:szCs w:val="24"/>
        </w:rPr>
        <w:t>acto emanado del Estado</w:t>
      </w:r>
      <w:r w:rsidR="00420154" w:rsidRPr="0054131B">
        <w:rPr>
          <w:rStyle w:val="FootnoteReference"/>
          <w:rFonts w:ascii="Times New Roman" w:hAnsi="Times New Roman"/>
          <w:sz w:val="24"/>
          <w:szCs w:val="24"/>
        </w:rPr>
        <w:footnoteReference w:id="153"/>
      </w:r>
      <w:r w:rsidR="00443180" w:rsidRPr="0054131B">
        <w:rPr>
          <w:rFonts w:ascii="Times New Roman" w:hAnsi="Times New Roman"/>
          <w:sz w:val="24"/>
          <w:szCs w:val="24"/>
        </w:rPr>
        <w:t>;</w:t>
      </w:r>
      <w:r w:rsidR="00112348" w:rsidRPr="0054131B">
        <w:rPr>
          <w:rFonts w:ascii="Times New Roman" w:hAnsi="Times New Roman"/>
          <w:sz w:val="24"/>
          <w:szCs w:val="24"/>
        </w:rPr>
        <w:t xml:space="preserve"> </w:t>
      </w:r>
      <w:r w:rsidR="00443180" w:rsidRPr="0054131B">
        <w:rPr>
          <w:rFonts w:ascii="Times New Roman" w:hAnsi="Times New Roman"/>
          <w:sz w:val="24"/>
          <w:szCs w:val="24"/>
          <w:lang w:val="es-ES_tradnl"/>
        </w:rPr>
        <w:t>e</w:t>
      </w:r>
      <w:r w:rsidR="00423BB0" w:rsidRPr="0054131B">
        <w:rPr>
          <w:rFonts w:ascii="Times New Roman" w:hAnsi="Times New Roman"/>
          <w:sz w:val="24"/>
          <w:szCs w:val="24"/>
          <w:lang w:val="es-ES_tradnl"/>
        </w:rPr>
        <w:t>stas</w:t>
      </w:r>
      <w:r w:rsidR="00420154" w:rsidRPr="0054131B">
        <w:rPr>
          <w:rFonts w:ascii="Times New Roman" w:hAnsi="Times New Roman"/>
          <w:sz w:val="24"/>
          <w:szCs w:val="24"/>
          <w:lang w:val="es-ES_tradnl"/>
        </w:rPr>
        <w:t xml:space="preserve"> garantías mínimas deben respetarse en el procedimiento administrativo</w:t>
      </w:r>
      <w:r w:rsidR="00420154" w:rsidRPr="0054131B">
        <w:rPr>
          <w:rStyle w:val="FootnoteReference"/>
          <w:rFonts w:ascii="Times New Roman" w:hAnsi="Times New Roman"/>
          <w:sz w:val="24"/>
          <w:szCs w:val="24"/>
          <w:lang w:val="es-ES_tradnl"/>
        </w:rPr>
        <w:footnoteReference w:id="154"/>
      </w:r>
      <w:r w:rsidR="00420154" w:rsidRPr="0054131B">
        <w:rPr>
          <w:rFonts w:ascii="Times New Roman" w:hAnsi="Times New Roman"/>
          <w:sz w:val="24"/>
          <w:szCs w:val="24"/>
          <w:lang w:val="es-ES_tradnl"/>
        </w:rPr>
        <w:t>.</w:t>
      </w:r>
      <w:r w:rsidR="00FC4137" w:rsidRPr="0054131B">
        <w:rPr>
          <w:rFonts w:ascii="Times New Roman" w:hAnsi="Times New Roman"/>
          <w:sz w:val="24"/>
          <w:szCs w:val="24"/>
        </w:rPr>
        <w:t xml:space="preserve"> Dado que el otorgamiento de una</w:t>
      </w:r>
      <w:r w:rsidR="00420154" w:rsidRPr="0054131B">
        <w:rPr>
          <w:rFonts w:ascii="Times New Roman" w:hAnsi="Times New Roman"/>
          <w:sz w:val="24"/>
          <w:szCs w:val="24"/>
        </w:rPr>
        <w:t xml:space="preserve"> licencia </w:t>
      </w:r>
      <w:r w:rsidR="00112348" w:rsidRPr="0054131B">
        <w:rPr>
          <w:rFonts w:ascii="Times New Roman" w:hAnsi="Times New Roman"/>
          <w:sz w:val="24"/>
          <w:szCs w:val="24"/>
        </w:rPr>
        <w:t xml:space="preserve">de </w:t>
      </w:r>
      <w:r w:rsidR="00FC4137" w:rsidRPr="0054131B">
        <w:rPr>
          <w:rFonts w:ascii="Times New Roman" w:hAnsi="Times New Roman"/>
          <w:sz w:val="24"/>
          <w:szCs w:val="24"/>
        </w:rPr>
        <w:t xml:space="preserve">explotación </w:t>
      </w:r>
      <w:r w:rsidR="00420154" w:rsidRPr="0054131B">
        <w:rPr>
          <w:rFonts w:ascii="Times New Roman" w:hAnsi="Times New Roman"/>
          <w:sz w:val="24"/>
          <w:szCs w:val="24"/>
        </w:rPr>
        <w:t>constituye un acto administrativo con potencial de afectación al Pueblo Orífuna</w:t>
      </w:r>
      <w:r w:rsidR="00112348" w:rsidRPr="0054131B">
        <w:rPr>
          <w:rStyle w:val="FootnoteReference"/>
          <w:rFonts w:ascii="Times New Roman" w:hAnsi="Times New Roman"/>
          <w:sz w:val="24"/>
          <w:szCs w:val="24"/>
        </w:rPr>
        <w:footnoteReference w:id="155"/>
      </w:r>
      <w:r w:rsidR="00420154" w:rsidRPr="0054131B">
        <w:rPr>
          <w:rFonts w:ascii="Times New Roman" w:hAnsi="Times New Roman"/>
          <w:sz w:val="24"/>
          <w:szCs w:val="24"/>
        </w:rPr>
        <w:t xml:space="preserve">, Santa Clara debió </w:t>
      </w:r>
      <w:r w:rsidR="0045409E" w:rsidRPr="0054131B">
        <w:rPr>
          <w:rFonts w:ascii="Times New Roman" w:hAnsi="Times New Roman"/>
          <w:sz w:val="24"/>
          <w:szCs w:val="24"/>
        </w:rPr>
        <w:t>realizar un proceso de consulta previa, libre e informada, para garantizar</w:t>
      </w:r>
      <w:r w:rsidR="00E914D3" w:rsidRPr="0054131B">
        <w:rPr>
          <w:rFonts w:ascii="Times New Roman" w:hAnsi="Times New Roman"/>
          <w:sz w:val="24"/>
          <w:szCs w:val="24"/>
        </w:rPr>
        <w:t xml:space="preserve"> el derecho a ser oído</w:t>
      </w:r>
      <w:r w:rsidR="0045409E" w:rsidRPr="0054131B">
        <w:rPr>
          <w:rFonts w:ascii="Times New Roman" w:hAnsi="Times New Roman"/>
          <w:sz w:val="24"/>
          <w:szCs w:val="24"/>
        </w:rPr>
        <w:t xml:space="preserve"> del Pueblo </w:t>
      </w:r>
      <w:r w:rsidR="00112348" w:rsidRPr="0054131B">
        <w:rPr>
          <w:rFonts w:ascii="Times New Roman" w:hAnsi="Times New Roman"/>
          <w:sz w:val="24"/>
          <w:szCs w:val="24"/>
        </w:rPr>
        <w:t>Orífuna</w:t>
      </w:r>
      <w:r w:rsidR="00E914D3" w:rsidRPr="0054131B">
        <w:rPr>
          <w:rFonts w:ascii="Times New Roman" w:hAnsi="Times New Roman"/>
          <w:sz w:val="24"/>
          <w:szCs w:val="24"/>
        </w:rPr>
        <w:t xml:space="preserve">, </w:t>
      </w:r>
      <w:r w:rsidR="00FC4137" w:rsidRPr="0054131B">
        <w:rPr>
          <w:rFonts w:ascii="Times New Roman" w:hAnsi="Times New Roman"/>
          <w:sz w:val="24"/>
          <w:szCs w:val="24"/>
        </w:rPr>
        <w:t>consagrado</w:t>
      </w:r>
      <w:r w:rsidR="0045409E" w:rsidRPr="0054131B">
        <w:rPr>
          <w:rFonts w:ascii="Times New Roman" w:hAnsi="Times New Roman"/>
          <w:sz w:val="24"/>
          <w:szCs w:val="24"/>
        </w:rPr>
        <w:t xml:space="preserve"> en estos artículos.</w:t>
      </w:r>
    </w:p>
    <w:p w:rsidR="0022492F" w:rsidRPr="0054131B"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80.</w:t>
      </w:r>
      <w:r w:rsidR="00865CCF" w:rsidRPr="0054131B">
        <w:rPr>
          <w:rFonts w:ascii="Times New Roman" w:hAnsi="Times New Roman"/>
          <w:sz w:val="24"/>
          <w:szCs w:val="24"/>
        </w:rPr>
        <w:t xml:space="preserve"> </w:t>
      </w:r>
      <w:r w:rsidR="00103743" w:rsidRPr="0054131B">
        <w:rPr>
          <w:rFonts w:ascii="Times New Roman" w:hAnsi="Times New Roman"/>
          <w:sz w:val="24"/>
          <w:szCs w:val="24"/>
        </w:rPr>
        <w:t>Todo</w:t>
      </w:r>
      <w:r w:rsidR="00420154" w:rsidRPr="0054131B">
        <w:rPr>
          <w:rFonts w:ascii="Times New Roman" w:hAnsi="Times New Roman"/>
          <w:sz w:val="24"/>
          <w:szCs w:val="24"/>
        </w:rPr>
        <w:t xml:space="preserve"> Estado tiene la obligación de consultar cualquier restricción a los derechos de propiedad, </w:t>
      </w:r>
      <w:r w:rsidR="00865CCF" w:rsidRPr="0054131B">
        <w:rPr>
          <w:rFonts w:ascii="Times New Roman" w:hAnsi="Times New Roman"/>
          <w:sz w:val="24"/>
          <w:szCs w:val="24"/>
        </w:rPr>
        <w:t>incluyendo los</w:t>
      </w:r>
      <w:r w:rsidR="00420154" w:rsidRPr="0054131B">
        <w:rPr>
          <w:rFonts w:ascii="Times New Roman" w:hAnsi="Times New Roman"/>
          <w:sz w:val="24"/>
          <w:szCs w:val="24"/>
        </w:rPr>
        <w:t xml:space="preserve"> planes de desarrollo o inversión dentro </w:t>
      </w:r>
      <w:r w:rsidR="00865CCF" w:rsidRPr="0054131B">
        <w:rPr>
          <w:rFonts w:ascii="Times New Roman" w:hAnsi="Times New Roman"/>
          <w:sz w:val="24"/>
          <w:szCs w:val="24"/>
        </w:rPr>
        <w:t xml:space="preserve">o fuera </w:t>
      </w:r>
      <w:r w:rsidR="00420154" w:rsidRPr="0054131B">
        <w:rPr>
          <w:rFonts w:ascii="Times New Roman" w:hAnsi="Times New Roman"/>
          <w:sz w:val="24"/>
          <w:szCs w:val="24"/>
        </w:rPr>
        <w:t xml:space="preserve">del territorio indígena, </w:t>
      </w:r>
      <w:r w:rsidR="00263B1E" w:rsidRPr="0054131B">
        <w:rPr>
          <w:rFonts w:ascii="Times New Roman" w:hAnsi="Times New Roman"/>
          <w:sz w:val="24"/>
          <w:szCs w:val="24"/>
        </w:rPr>
        <w:lastRenderedPageBreak/>
        <w:t>siempre que exista afectación</w:t>
      </w:r>
      <w:r w:rsidR="00420154" w:rsidRPr="0054131B">
        <w:rPr>
          <w:rStyle w:val="FootnoteReference"/>
          <w:rFonts w:ascii="Times New Roman" w:hAnsi="Times New Roman"/>
          <w:sz w:val="24"/>
          <w:szCs w:val="24"/>
        </w:rPr>
        <w:footnoteReference w:id="156"/>
      </w:r>
      <w:r w:rsidR="00420154" w:rsidRPr="0054131B">
        <w:rPr>
          <w:rFonts w:ascii="Times New Roman" w:hAnsi="Times New Roman"/>
          <w:sz w:val="24"/>
          <w:szCs w:val="24"/>
        </w:rPr>
        <w:t>. Si bien los representantes de la empresa Silverfield sostuvieron reuniones co</w:t>
      </w:r>
      <w:r w:rsidR="00263B1E" w:rsidRPr="0054131B">
        <w:rPr>
          <w:rFonts w:ascii="Times New Roman" w:hAnsi="Times New Roman"/>
          <w:sz w:val="24"/>
          <w:szCs w:val="24"/>
        </w:rPr>
        <w:t xml:space="preserve">n los presidentes de </w:t>
      </w:r>
      <w:r w:rsidR="00025806" w:rsidRPr="0054131B">
        <w:rPr>
          <w:rFonts w:ascii="Times New Roman" w:hAnsi="Times New Roman"/>
          <w:sz w:val="24"/>
          <w:szCs w:val="24"/>
        </w:rPr>
        <w:t xml:space="preserve">trece </w:t>
      </w:r>
      <w:r w:rsidR="00263B1E" w:rsidRPr="0054131B">
        <w:rPr>
          <w:rFonts w:ascii="Times New Roman" w:hAnsi="Times New Roman"/>
          <w:sz w:val="24"/>
          <w:szCs w:val="24"/>
        </w:rPr>
        <w:t>ejidos o</w:t>
      </w:r>
      <w:r w:rsidR="00420154" w:rsidRPr="0054131B">
        <w:rPr>
          <w:rFonts w:ascii="Times New Roman" w:hAnsi="Times New Roman"/>
          <w:sz w:val="24"/>
          <w:szCs w:val="24"/>
        </w:rPr>
        <w:t>rífunas, dichas reuniones no pueden ser considerad</w:t>
      </w:r>
      <w:r w:rsidR="00C7168B" w:rsidRPr="0054131B">
        <w:rPr>
          <w:rFonts w:ascii="Times New Roman" w:hAnsi="Times New Roman"/>
          <w:sz w:val="24"/>
          <w:szCs w:val="24"/>
        </w:rPr>
        <w:t>as como un proceso de consulta, pues ésta</w:t>
      </w:r>
      <w:r w:rsidR="00420154" w:rsidRPr="0054131B">
        <w:rPr>
          <w:rFonts w:ascii="Times New Roman" w:hAnsi="Times New Roman"/>
          <w:sz w:val="24"/>
          <w:szCs w:val="24"/>
        </w:rPr>
        <w:t xml:space="preserve"> debe realizar</w:t>
      </w:r>
      <w:r w:rsidR="00C7168B" w:rsidRPr="0054131B">
        <w:rPr>
          <w:rFonts w:ascii="Times New Roman" w:hAnsi="Times New Roman"/>
          <w:sz w:val="24"/>
          <w:szCs w:val="24"/>
        </w:rPr>
        <w:t>se</w:t>
      </w:r>
      <w:r w:rsidR="00420154" w:rsidRPr="0054131B">
        <w:rPr>
          <w:rFonts w:ascii="Times New Roman" w:hAnsi="Times New Roman"/>
          <w:sz w:val="24"/>
          <w:szCs w:val="24"/>
        </w:rPr>
        <w:t xml:space="preserve"> de conformidad con las costumbres y t</w:t>
      </w:r>
      <w:r w:rsidR="00A46242" w:rsidRPr="0054131B">
        <w:rPr>
          <w:rFonts w:ascii="Times New Roman" w:hAnsi="Times New Roman"/>
          <w:sz w:val="24"/>
          <w:szCs w:val="24"/>
        </w:rPr>
        <w:t>radiciones del pueblo indígena, por lo que, q</w:t>
      </w:r>
      <w:r w:rsidR="00420154" w:rsidRPr="0054131B">
        <w:rPr>
          <w:rFonts w:ascii="Times New Roman" w:hAnsi="Times New Roman"/>
          <w:sz w:val="24"/>
          <w:szCs w:val="24"/>
        </w:rPr>
        <w:t>uien debe decidir sobre quién o quiénes lo representarán es el pueblo indígena y no el Estado</w:t>
      </w:r>
      <w:r w:rsidR="00420154" w:rsidRPr="0054131B">
        <w:rPr>
          <w:rStyle w:val="FootnoteReference"/>
          <w:rFonts w:ascii="Times New Roman" w:hAnsi="Times New Roman"/>
          <w:sz w:val="24"/>
          <w:szCs w:val="24"/>
        </w:rPr>
        <w:footnoteReference w:id="157"/>
      </w:r>
      <w:r w:rsidR="00420154" w:rsidRPr="0054131B">
        <w:rPr>
          <w:rFonts w:ascii="Times New Roman" w:hAnsi="Times New Roman"/>
          <w:sz w:val="24"/>
          <w:szCs w:val="24"/>
        </w:rPr>
        <w:t xml:space="preserve">. </w:t>
      </w:r>
    </w:p>
    <w:p w:rsidR="00420154" w:rsidRPr="0054131B"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81</w:t>
      </w:r>
      <w:r w:rsidR="00263B1E" w:rsidRPr="0054131B">
        <w:rPr>
          <w:rFonts w:ascii="Times New Roman" w:hAnsi="Times New Roman"/>
          <w:sz w:val="24"/>
          <w:szCs w:val="24"/>
        </w:rPr>
        <w:t xml:space="preserve">. </w:t>
      </w:r>
      <w:r w:rsidR="00420154" w:rsidRPr="0054131B">
        <w:rPr>
          <w:rFonts w:ascii="Times New Roman" w:hAnsi="Times New Roman"/>
          <w:sz w:val="24"/>
          <w:szCs w:val="24"/>
        </w:rPr>
        <w:t>Ba</w:t>
      </w:r>
      <w:r w:rsidR="00263B1E" w:rsidRPr="0054131B">
        <w:rPr>
          <w:rFonts w:ascii="Times New Roman" w:hAnsi="Times New Roman"/>
          <w:sz w:val="24"/>
          <w:szCs w:val="24"/>
        </w:rPr>
        <w:t>jo las tradiciones ancestrales o</w:t>
      </w:r>
      <w:r w:rsidR="00420154" w:rsidRPr="0054131B">
        <w:rPr>
          <w:rFonts w:ascii="Times New Roman" w:hAnsi="Times New Roman"/>
          <w:sz w:val="24"/>
          <w:szCs w:val="24"/>
        </w:rPr>
        <w:t>rífunas, la Asamblea del Pueblo, conformada por un/a repr</w:t>
      </w:r>
      <w:r w:rsidR="00845D8B" w:rsidRPr="0054131B">
        <w:rPr>
          <w:rFonts w:ascii="Times New Roman" w:hAnsi="Times New Roman"/>
          <w:sz w:val="24"/>
          <w:szCs w:val="24"/>
        </w:rPr>
        <w:t xml:space="preserve">esentante de cada uno de los veinticinco </w:t>
      </w:r>
      <w:r w:rsidR="00420154" w:rsidRPr="0054131B">
        <w:rPr>
          <w:rFonts w:ascii="Times New Roman" w:hAnsi="Times New Roman"/>
          <w:sz w:val="24"/>
          <w:szCs w:val="24"/>
        </w:rPr>
        <w:t>ejidos, es la única entidad facultada a tomar decisiones sobre la gestión del territorio</w:t>
      </w:r>
      <w:r w:rsidR="00420154" w:rsidRPr="0054131B">
        <w:rPr>
          <w:rStyle w:val="FootnoteReference"/>
          <w:rFonts w:ascii="Times New Roman" w:hAnsi="Times New Roman"/>
          <w:sz w:val="24"/>
          <w:szCs w:val="24"/>
        </w:rPr>
        <w:footnoteReference w:id="158"/>
      </w:r>
      <w:r w:rsidR="00845D8B" w:rsidRPr="0054131B">
        <w:rPr>
          <w:rFonts w:ascii="Times New Roman" w:hAnsi="Times New Roman"/>
          <w:sz w:val="24"/>
          <w:szCs w:val="24"/>
        </w:rPr>
        <w:t>. Santa Clara</w:t>
      </w:r>
      <w:r w:rsidR="00420154" w:rsidRPr="0054131B">
        <w:rPr>
          <w:rFonts w:ascii="Times New Roman" w:hAnsi="Times New Roman"/>
          <w:sz w:val="24"/>
          <w:szCs w:val="24"/>
        </w:rPr>
        <w:t xml:space="preserve"> podría argumentar que las reuniones se lleva</w:t>
      </w:r>
      <w:r w:rsidR="00845D8B" w:rsidRPr="0054131B">
        <w:rPr>
          <w:rFonts w:ascii="Times New Roman" w:hAnsi="Times New Roman"/>
          <w:sz w:val="24"/>
          <w:szCs w:val="24"/>
        </w:rPr>
        <w:t>ron a cabo con presidentes de trece</w:t>
      </w:r>
      <w:r w:rsidR="00420154" w:rsidRPr="0054131B">
        <w:rPr>
          <w:rFonts w:ascii="Times New Roman" w:hAnsi="Times New Roman"/>
          <w:sz w:val="24"/>
          <w:szCs w:val="24"/>
        </w:rPr>
        <w:t xml:space="preserve"> ejidos pues sólo ellos, por estar cercanos al </w:t>
      </w:r>
      <w:r w:rsidR="007140FD" w:rsidRPr="0054131B">
        <w:rPr>
          <w:rFonts w:ascii="Times New Roman" w:hAnsi="Times New Roman"/>
          <w:sz w:val="24"/>
          <w:szCs w:val="24"/>
        </w:rPr>
        <w:t>Río Doce, podrían ser afectados; s</w:t>
      </w:r>
      <w:r w:rsidR="00420154" w:rsidRPr="0054131B">
        <w:rPr>
          <w:rFonts w:ascii="Times New Roman" w:hAnsi="Times New Roman"/>
          <w:sz w:val="24"/>
          <w:szCs w:val="24"/>
        </w:rPr>
        <w:t xml:space="preserve">in embargo, dado el carácter sagrado del río, era necesaria la intervención de los </w:t>
      </w:r>
      <w:r w:rsidR="00845D8B" w:rsidRPr="0054131B">
        <w:rPr>
          <w:rFonts w:ascii="Times New Roman" w:hAnsi="Times New Roman"/>
          <w:sz w:val="24"/>
          <w:szCs w:val="24"/>
        </w:rPr>
        <w:t>veinticinco</w:t>
      </w:r>
      <w:r w:rsidR="00420154" w:rsidRPr="0054131B">
        <w:rPr>
          <w:rFonts w:ascii="Times New Roman" w:hAnsi="Times New Roman"/>
          <w:sz w:val="24"/>
          <w:szCs w:val="24"/>
        </w:rPr>
        <w:t xml:space="preserve"> ejidos, pues una afectación a este recurso hídrico afectaría la cosmovisión y espiritualidad </w:t>
      </w:r>
      <w:r w:rsidR="00845D8B" w:rsidRPr="0054131B">
        <w:rPr>
          <w:rFonts w:ascii="Times New Roman" w:hAnsi="Times New Roman"/>
          <w:sz w:val="24"/>
          <w:szCs w:val="24"/>
        </w:rPr>
        <w:t>de todos los ejidos.</w:t>
      </w:r>
    </w:p>
    <w:p w:rsidR="00420154" w:rsidRPr="0054131B"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82</w:t>
      </w:r>
      <w:r w:rsidR="00845D8B" w:rsidRPr="0054131B">
        <w:rPr>
          <w:rFonts w:ascii="Times New Roman" w:hAnsi="Times New Roman"/>
          <w:sz w:val="24"/>
          <w:szCs w:val="24"/>
        </w:rPr>
        <w:t xml:space="preserve">. </w:t>
      </w:r>
      <w:r w:rsidR="00420154" w:rsidRPr="0054131B">
        <w:rPr>
          <w:rFonts w:ascii="Times New Roman" w:hAnsi="Times New Roman"/>
          <w:sz w:val="24"/>
          <w:szCs w:val="24"/>
        </w:rPr>
        <w:t>Santa Clara no debió otorgar la licencia de funcionamiento hasta que no se</w:t>
      </w:r>
      <w:r w:rsidR="0022492F" w:rsidRPr="0054131B">
        <w:rPr>
          <w:rFonts w:ascii="Times New Roman" w:hAnsi="Times New Roman"/>
          <w:sz w:val="24"/>
          <w:szCs w:val="24"/>
        </w:rPr>
        <w:t xml:space="preserve"> realice una consulta</w:t>
      </w:r>
      <w:r w:rsidR="006C016D" w:rsidRPr="0054131B">
        <w:rPr>
          <w:rFonts w:ascii="Times New Roman" w:hAnsi="Times New Roman"/>
          <w:sz w:val="24"/>
          <w:szCs w:val="24"/>
        </w:rPr>
        <w:t xml:space="preserve"> con carácter previo</w:t>
      </w:r>
      <w:r w:rsidR="00420154" w:rsidRPr="0054131B">
        <w:rPr>
          <w:rFonts w:ascii="Times New Roman" w:hAnsi="Times New Roman"/>
          <w:sz w:val="24"/>
          <w:szCs w:val="24"/>
        </w:rPr>
        <w:t xml:space="preserve"> a cargo de las autoridades estatales de Madruga </w:t>
      </w:r>
      <w:r w:rsidR="006C016D" w:rsidRPr="0054131B">
        <w:rPr>
          <w:rFonts w:ascii="Times New Roman" w:hAnsi="Times New Roman"/>
          <w:sz w:val="24"/>
          <w:szCs w:val="24"/>
        </w:rPr>
        <w:t>(</w:t>
      </w:r>
      <w:r w:rsidR="00420154" w:rsidRPr="0054131B">
        <w:rPr>
          <w:rFonts w:ascii="Times New Roman" w:hAnsi="Times New Roman"/>
          <w:sz w:val="24"/>
          <w:szCs w:val="24"/>
        </w:rPr>
        <w:t>y no de representantes de la</w:t>
      </w:r>
      <w:r w:rsidR="00793B1A" w:rsidRPr="0054131B">
        <w:rPr>
          <w:rFonts w:ascii="Times New Roman" w:hAnsi="Times New Roman"/>
          <w:sz w:val="24"/>
          <w:szCs w:val="24"/>
        </w:rPr>
        <w:t xml:space="preserve"> empresa interesada</w:t>
      </w:r>
      <w:r w:rsidR="006C016D" w:rsidRPr="0054131B">
        <w:rPr>
          <w:rFonts w:ascii="Times New Roman" w:hAnsi="Times New Roman"/>
          <w:sz w:val="24"/>
          <w:szCs w:val="24"/>
        </w:rPr>
        <w:t>)</w:t>
      </w:r>
      <w:r w:rsidR="00793B1A" w:rsidRPr="0054131B">
        <w:rPr>
          <w:rFonts w:ascii="Times New Roman" w:hAnsi="Times New Roman"/>
          <w:sz w:val="24"/>
          <w:szCs w:val="24"/>
        </w:rPr>
        <w:t>. D</w:t>
      </w:r>
      <w:r w:rsidR="00420154" w:rsidRPr="0054131B">
        <w:rPr>
          <w:rFonts w:ascii="Times New Roman" w:hAnsi="Times New Roman"/>
          <w:sz w:val="24"/>
          <w:szCs w:val="24"/>
        </w:rPr>
        <w:t>icha consulta</w:t>
      </w:r>
      <w:r w:rsidR="00144D99" w:rsidRPr="0054131B">
        <w:rPr>
          <w:rFonts w:ascii="Times New Roman" w:hAnsi="Times New Roman"/>
          <w:sz w:val="24"/>
          <w:szCs w:val="24"/>
        </w:rPr>
        <w:t>, para que proteja de manera efectiva los derechos consagrados en los artículos 8 y 25 de la CADH,</w:t>
      </w:r>
      <w:r w:rsidR="00420154" w:rsidRPr="0054131B">
        <w:rPr>
          <w:rFonts w:ascii="Times New Roman" w:hAnsi="Times New Roman"/>
          <w:sz w:val="24"/>
          <w:szCs w:val="24"/>
        </w:rPr>
        <w:t xml:space="preserve"> debe tomar en cuenta las particularidades propias del pueblo, sus características económicas y sociales, </w:t>
      </w:r>
      <w:r w:rsidR="00FF6EAA" w:rsidRPr="0054131B">
        <w:rPr>
          <w:rFonts w:ascii="Times New Roman" w:hAnsi="Times New Roman"/>
          <w:sz w:val="24"/>
          <w:szCs w:val="24"/>
        </w:rPr>
        <w:t>su</w:t>
      </w:r>
      <w:r w:rsidR="00420154" w:rsidRPr="0054131B">
        <w:rPr>
          <w:rFonts w:ascii="Times New Roman" w:hAnsi="Times New Roman"/>
          <w:sz w:val="24"/>
          <w:szCs w:val="24"/>
        </w:rPr>
        <w:t xml:space="preserve"> situación de especial vulnerabilidad, su derecho consuetudinario, sus valores</w:t>
      </w:r>
      <w:r w:rsidR="00FF6EAA" w:rsidRPr="0054131B">
        <w:rPr>
          <w:rFonts w:ascii="Times New Roman" w:hAnsi="Times New Roman"/>
          <w:sz w:val="24"/>
          <w:szCs w:val="24"/>
        </w:rPr>
        <w:t>, sus usos y costumbres</w:t>
      </w:r>
      <w:r w:rsidR="00420154" w:rsidRPr="0054131B">
        <w:rPr>
          <w:rStyle w:val="FootnoteReference"/>
          <w:rFonts w:ascii="Times New Roman" w:hAnsi="Times New Roman"/>
          <w:sz w:val="24"/>
          <w:szCs w:val="24"/>
        </w:rPr>
        <w:footnoteReference w:id="159"/>
      </w:r>
      <w:r w:rsidR="00420154" w:rsidRPr="0054131B">
        <w:rPr>
          <w:rFonts w:ascii="Times New Roman" w:hAnsi="Times New Roman"/>
          <w:sz w:val="24"/>
          <w:szCs w:val="24"/>
        </w:rPr>
        <w:t xml:space="preserve">. </w:t>
      </w:r>
    </w:p>
    <w:p w:rsidR="009B2B31"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83</w:t>
      </w:r>
      <w:r w:rsidR="00BF032F" w:rsidRPr="0054131B">
        <w:rPr>
          <w:rFonts w:ascii="Times New Roman" w:hAnsi="Times New Roman"/>
          <w:sz w:val="24"/>
          <w:szCs w:val="24"/>
        </w:rPr>
        <w:t xml:space="preserve">. </w:t>
      </w:r>
      <w:r w:rsidR="009D244A" w:rsidRPr="0054131B">
        <w:rPr>
          <w:rFonts w:ascii="Times New Roman" w:hAnsi="Times New Roman"/>
          <w:sz w:val="24"/>
          <w:szCs w:val="24"/>
        </w:rPr>
        <w:t xml:space="preserve">Santa Clara, al otorgar la licencia de funcionamiento sin </w:t>
      </w:r>
      <w:r w:rsidR="001D1ADA" w:rsidRPr="0054131B">
        <w:rPr>
          <w:rFonts w:ascii="Times New Roman" w:hAnsi="Times New Roman"/>
          <w:sz w:val="24"/>
          <w:szCs w:val="24"/>
        </w:rPr>
        <w:t>realizar una consulta previa</w:t>
      </w:r>
      <w:r w:rsidR="009D244A" w:rsidRPr="0054131B">
        <w:rPr>
          <w:rFonts w:ascii="Times New Roman" w:hAnsi="Times New Roman"/>
          <w:sz w:val="24"/>
          <w:szCs w:val="24"/>
        </w:rPr>
        <w:t>,</w:t>
      </w:r>
      <w:r w:rsidR="001D1ADA" w:rsidRPr="0054131B">
        <w:rPr>
          <w:rFonts w:ascii="Times New Roman" w:hAnsi="Times New Roman"/>
          <w:sz w:val="24"/>
          <w:szCs w:val="24"/>
        </w:rPr>
        <w:t xml:space="preserve"> vulneró el derecho a ser oído</w:t>
      </w:r>
      <w:r w:rsidR="00BF510D" w:rsidRPr="0054131B">
        <w:rPr>
          <w:rFonts w:ascii="Times New Roman" w:hAnsi="Times New Roman"/>
          <w:sz w:val="24"/>
          <w:szCs w:val="24"/>
        </w:rPr>
        <w:t xml:space="preserve"> </w:t>
      </w:r>
      <w:r w:rsidR="001D1ADA" w:rsidRPr="0054131B">
        <w:rPr>
          <w:rFonts w:ascii="Times New Roman" w:hAnsi="Times New Roman"/>
          <w:sz w:val="24"/>
          <w:szCs w:val="24"/>
        </w:rPr>
        <w:t xml:space="preserve">del Pueblo Orífuna, </w:t>
      </w:r>
      <w:r w:rsidR="00BF032F" w:rsidRPr="0054131B">
        <w:rPr>
          <w:rFonts w:ascii="Times New Roman" w:hAnsi="Times New Roman"/>
          <w:sz w:val="24"/>
          <w:szCs w:val="24"/>
        </w:rPr>
        <w:t>y consecuentemente violó</w:t>
      </w:r>
      <w:r w:rsidR="009D244A" w:rsidRPr="0054131B">
        <w:rPr>
          <w:rFonts w:ascii="Times New Roman" w:hAnsi="Times New Roman"/>
          <w:sz w:val="24"/>
          <w:szCs w:val="24"/>
        </w:rPr>
        <w:t xml:space="preserve"> los arts. 8 y 25</w:t>
      </w:r>
      <w:r w:rsidR="00BF032F" w:rsidRPr="0054131B">
        <w:rPr>
          <w:rFonts w:ascii="Times New Roman" w:hAnsi="Times New Roman"/>
          <w:sz w:val="24"/>
          <w:szCs w:val="24"/>
        </w:rPr>
        <w:t xml:space="preserve">  de la CADH</w:t>
      </w:r>
      <w:r w:rsidR="009D244A" w:rsidRPr="0054131B">
        <w:rPr>
          <w:rFonts w:ascii="Times New Roman" w:hAnsi="Times New Roman"/>
          <w:sz w:val="24"/>
          <w:szCs w:val="24"/>
        </w:rPr>
        <w:t>.</w:t>
      </w:r>
    </w:p>
    <w:p w:rsidR="008E5A4C" w:rsidRPr="0054131B" w:rsidRDefault="008E5A4C" w:rsidP="003B1275">
      <w:pPr>
        <w:keepNext/>
        <w:widowControl w:val="0"/>
        <w:spacing w:after="0" w:line="480" w:lineRule="auto"/>
        <w:jc w:val="both"/>
        <w:rPr>
          <w:rFonts w:ascii="Times New Roman" w:hAnsi="Times New Roman"/>
          <w:sz w:val="24"/>
          <w:szCs w:val="24"/>
        </w:rPr>
      </w:pPr>
    </w:p>
    <w:p w:rsidR="00B24983" w:rsidRPr="0054131B" w:rsidRDefault="00F82788" w:rsidP="003B1275">
      <w:pPr>
        <w:pStyle w:val="Heading1"/>
        <w:spacing w:before="0" w:line="480" w:lineRule="auto"/>
        <w:rPr>
          <w:rFonts w:ascii="Times New Roman" w:hAnsi="Times New Roman" w:cs="Times New Roman"/>
          <w:b w:val="0"/>
          <w:color w:val="auto"/>
          <w:sz w:val="24"/>
          <w:szCs w:val="24"/>
        </w:rPr>
      </w:pPr>
      <w:bookmarkStart w:id="90" w:name="_Toc446776794"/>
      <w:r>
        <w:rPr>
          <w:rFonts w:ascii="Times New Roman" w:hAnsi="Times New Roman" w:cs="Times New Roman"/>
          <w:color w:val="auto"/>
          <w:sz w:val="24"/>
          <w:szCs w:val="24"/>
        </w:rPr>
        <w:lastRenderedPageBreak/>
        <w:t>V</w:t>
      </w:r>
      <w:r w:rsidR="0055295B">
        <w:rPr>
          <w:rFonts w:ascii="Times New Roman" w:hAnsi="Times New Roman" w:cs="Times New Roman"/>
          <w:color w:val="auto"/>
          <w:sz w:val="24"/>
          <w:szCs w:val="24"/>
        </w:rPr>
        <w:t>I</w:t>
      </w:r>
      <w:r w:rsidR="008868AB" w:rsidRPr="0054131B">
        <w:rPr>
          <w:rFonts w:ascii="Times New Roman" w:hAnsi="Times New Roman" w:cs="Times New Roman"/>
          <w:color w:val="auto"/>
          <w:sz w:val="24"/>
          <w:szCs w:val="24"/>
        </w:rPr>
        <w:t>.</w:t>
      </w:r>
      <w:r w:rsidR="002E2709">
        <w:rPr>
          <w:rFonts w:ascii="Times New Roman" w:hAnsi="Times New Roman" w:cs="Times New Roman"/>
          <w:color w:val="auto"/>
          <w:sz w:val="24"/>
          <w:szCs w:val="24"/>
        </w:rPr>
        <w:t>-</w:t>
      </w:r>
      <w:r w:rsidR="008868AB" w:rsidRPr="0054131B">
        <w:rPr>
          <w:rFonts w:ascii="Times New Roman" w:hAnsi="Times New Roman" w:cs="Times New Roman"/>
          <w:color w:val="auto"/>
          <w:sz w:val="24"/>
          <w:szCs w:val="24"/>
        </w:rPr>
        <w:t xml:space="preserve"> </w:t>
      </w:r>
      <w:bookmarkEnd w:id="90"/>
      <w:r>
        <w:rPr>
          <w:rFonts w:ascii="Times New Roman" w:hAnsi="Times New Roman" w:cs="Times New Roman"/>
          <w:color w:val="auto"/>
          <w:sz w:val="24"/>
          <w:szCs w:val="24"/>
        </w:rPr>
        <w:t>PETITORIO</w:t>
      </w:r>
    </w:p>
    <w:p w:rsidR="00C82E7E"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84</w:t>
      </w:r>
      <w:r w:rsidR="00D74870" w:rsidRPr="0054131B">
        <w:rPr>
          <w:rFonts w:ascii="Times New Roman" w:hAnsi="Times New Roman"/>
          <w:sz w:val="24"/>
          <w:szCs w:val="24"/>
        </w:rPr>
        <w:t xml:space="preserve">. </w:t>
      </w:r>
      <w:r w:rsidR="00F82788">
        <w:rPr>
          <w:rFonts w:ascii="Times New Roman" w:hAnsi="Times New Roman"/>
          <w:sz w:val="24"/>
          <w:szCs w:val="24"/>
        </w:rPr>
        <w:t>P</w:t>
      </w:r>
      <w:r w:rsidR="00F82788" w:rsidRPr="0054131B">
        <w:rPr>
          <w:rFonts w:ascii="Times New Roman" w:hAnsi="Times New Roman"/>
          <w:sz w:val="24"/>
          <w:szCs w:val="24"/>
        </w:rPr>
        <w:t xml:space="preserve">or los argumentos de hecho y derecho expuestos, se solicita a la Honorable </w:t>
      </w:r>
      <w:r w:rsidR="00F82788">
        <w:rPr>
          <w:rFonts w:ascii="Times New Roman" w:hAnsi="Times New Roman"/>
          <w:sz w:val="24"/>
          <w:szCs w:val="24"/>
        </w:rPr>
        <w:t xml:space="preserve">Corte </w:t>
      </w:r>
      <w:r w:rsidR="00CA57AB">
        <w:rPr>
          <w:rFonts w:ascii="Times New Roman" w:hAnsi="Times New Roman"/>
          <w:sz w:val="24"/>
          <w:szCs w:val="24"/>
        </w:rPr>
        <w:t>Interamericana de Derechos Humanos</w:t>
      </w:r>
      <w:r w:rsidR="00F82788">
        <w:rPr>
          <w:rFonts w:ascii="Times New Roman" w:hAnsi="Times New Roman"/>
          <w:sz w:val="24"/>
          <w:szCs w:val="24"/>
        </w:rPr>
        <w:t>,</w:t>
      </w:r>
      <w:r w:rsidR="00C82E7E">
        <w:rPr>
          <w:rFonts w:ascii="Times New Roman" w:hAnsi="Times New Roman"/>
          <w:sz w:val="24"/>
          <w:szCs w:val="24"/>
        </w:rPr>
        <w:t xml:space="preserve"> </w:t>
      </w:r>
      <w:r w:rsidR="00C82E7E" w:rsidRPr="0054131B">
        <w:rPr>
          <w:rFonts w:ascii="Times New Roman" w:hAnsi="Times New Roman"/>
          <w:sz w:val="24"/>
          <w:szCs w:val="24"/>
        </w:rPr>
        <w:t xml:space="preserve">desestime la excepción preliminar de </w:t>
      </w:r>
      <w:r w:rsidR="00C82E7E" w:rsidRPr="0054131B">
        <w:rPr>
          <w:rFonts w:ascii="Times New Roman" w:hAnsi="Times New Roman"/>
          <w:i/>
          <w:sz w:val="24"/>
          <w:szCs w:val="24"/>
        </w:rPr>
        <w:t>ratione loci</w:t>
      </w:r>
      <w:r w:rsidR="00C82E7E" w:rsidRPr="0054131B">
        <w:rPr>
          <w:rFonts w:ascii="Times New Roman" w:hAnsi="Times New Roman"/>
          <w:sz w:val="24"/>
          <w:szCs w:val="24"/>
        </w:rPr>
        <w:t xml:space="preserve"> y, en su conocimiento del caso, declare la responsabilidad internacional del Estado de Santa Clara por la violación de los siguientes artículos de la </w:t>
      </w:r>
      <w:r w:rsidR="00CA57AB">
        <w:rPr>
          <w:rFonts w:ascii="Times New Roman" w:hAnsi="Times New Roman"/>
          <w:sz w:val="24"/>
          <w:szCs w:val="24"/>
        </w:rPr>
        <w:t>Convención Americana sobre Derechos Humanos</w:t>
      </w:r>
      <w:r w:rsidR="00C82E7E" w:rsidRPr="0054131B">
        <w:rPr>
          <w:rFonts w:ascii="Times New Roman" w:hAnsi="Times New Roman"/>
          <w:sz w:val="24"/>
          <w:szCs w:val="24"/>
        </w:rPr>
        <w:t xml:space="preserve">: 4, </w:t>
      </w:r>
      <w:r w:rsidR="00BA3FC8">
        <w:rPr>
          <w:rFonts w:ascii="Times New Roman" w:hAnsi="Times New Roman"/>
          <w:sz w:val="24"/>
          <w:szCs w:val="24"/>
        </w:rPr>
        <w:t>5, 8, 16, 17, y 25 en perjuicio</w:t>
      </w:r>
      <w:r w:rsidR="00C82E7E" w:rsidRPr="0054131B">
        <w:rPr>
          <w:rFonts w:ascii="Times New Roman" w:hAnsi="Times New Roman"/>
          <w:sz w:val="24"/>
          <w:szCs w:val="24"/>
        </w:rPr>
        <w:t xml:space="preserve"> Edmundo Camana y su familia; 5 y 17 en perjuicio de Lucía y sus familiares; 5, 8, 21, 25 y 26 en perjuicio del Pueblo Pichicha y sus integrantes (sentando un precedente histórico sobre la justiciabilidad del art. 26) y; 8 y 25 en perjuicio del Pueblo Orífuna; todos en </w:t>
      </w:r>
      <w:r w:rsidR="00BA3FC8">
        <w:rPr>
          <w:rFonts w:ascii="Times New Roman" w:hAnsi="Times New Roman"/>
          <w:sz w:val="24"/>
          <w:szCs w:val="24"/>
        </w:rPr>
        <w:t>relación al art. 1.1 de la CADH; en consecuencia:</w:t>
      </w:r>
    </w:p>
    <w:p w:rsidR="008868AB" w:rsidRPr="00F82788" w:rsidRDefault="005F47F8" w:rsidP="003B1275">
      <w:pPr>
        <w:keepNext/>
        <w:widowControl w:val="0"/>
        <w:spacing w:after="0" w:line="480" w:lineRule="auto"/>
        <w:jc w:val="both"/>
        <w:rPr>
          <w:rFonts w:ascii="Times New Roman" w:hAnsi="Times New Roman"/>
          <w:sz w:val="24"/>
          <w:szCs w:val="24"/>
        </w:rPr>
      </w:pPr>
      <w:r>
        <w:rPr>
          <w:rFonts w:ascii="Times New Roman" w:hAnsi="Times New Roman"/>
          <w:sz w:val="24"/>
          <w:szCs w:val="24"/>
        </w:rPr>
        <w:t>85</w:t>
      </w:r>
      <w:r w:rsidR="00C82E7E" w:rsidRPr="0054131B">
        <w:rPr>
          <w:rFonts w:ascii="Times New Roman" w:hAnsi="Times New Roman"/>
          <w:sz w:val="24"/>
          <w:szCs w:val="24"/>
        </w:rPr>
        <w:t xml:space="preserve">. </w:t>
      </w:r>
      <w:r w:rsidR="00684061">
        <w:rPr>
          <w:rFonts w:ascii="Times New Roman" w:hAnsi="Times New Roman"/>
          <w:sz w:val="24"/>
          <w:szCs w:val="24"/>
        </w:rPr>
        <w:t>A</w:t>
      </w:r>
      <w:r w:rsidR="00F82788" w:rsidRPr="0054131B">
        <w:rPr>
          <w:rFonts w:ascii="Times New Roman" w:hAnsi="Times New Roman"/>
          <w:sz w:val="24"/>
          <w:szCs w:val="24"/>
        </w:rPr>
        <w:t>l amparo</w:t>
      </w:r>
      <w:r w:rsidR="00F82788">
        <w:rPr>
          <w:rFonts w:ascii="Times New Roman" w:hAnsi="Times New Roman"/>
          <w:sz w:val="24"/>
          <w:szCs w:val="24"/>
        </w:rPr>
        <w:t xml:space="preserve"> del artículo 63.1 de la CADH, </w:t>
      </w:r>
      <w:r w:rsidR="008E6999">
        <w:rPr>
          <w:rFonts w:ascii="Times New Roman" w:hAnsi="Times New Roman"/>
          <w:sz w:val="24"/>
          <w:szCs w:val="24"/>
        </w:rPr>
        <w:t>este Tribunal deberá dictar</w:t>
      </w:r>
      <w:r w:rsidR="000D57C3" w:rsidRPr="0054131B">
        <w:rPr>
          <w:rFonts w:ascii="Times New Roman" w:hAnsi="Times New Roman"/>
          <w:sz w:val="24"/>
          <w:szCs w:val="24"/>
        </w:rPr>
        <w:t xml:space="preserve"> las siguientes medidas de reparación: </w:t>
      </w:r>
      <w:r w:rsidR="000D57C3" w:rsidRPr="0054131B">
        <w:rPr>
          <w:rFonts w:ascii="Times New Roman" w:hAnsi="Times New Roman"/>
          <w:i/>
          <w:sz w:val="24"/>
          <w:szCs w:val="24"/>
        </w:rPr>
        <w:t>(i)</w:t>
      </w:r>
      <w:r w:rsidR="00F52C45" w:rsidRPr="0054131B">
        <w:rPr>
          <w:rFonts w:ascii="Times New Roman" w:hAnsi="Times New Roman"/>
          <w:i/>
          <w:sz w:val="24"/>
          <w:szCs w:val="24"/>
        </w:rPr>
        <w:t xml:space="preserve"> </w:t>
      </w:r>
      <w:r w:rsidR="000D57C3" w:rsidRPr="0054131B">
        <w:rPr>
          <w:rFonts w:ascii="Times New Roman" w:hAnsi="Times New Roman"/>
          <w:i/>
          <w:sz w:val="24"/>
          <w:szCs w:val="24"/>
        </w:rPr>
        <w:t xml:space="preserve">medidas de satisfacción, </w:t>
      </w:r>
      <w:r w:rsidR="00F52C45" w:rsidRPr="0054131B">
        <w:rPr>
          <w:rFonts w:ascii="Times New Roman" w:hAnsi="Times New Roman"/>
          <w:sz w:val="24"/>
          <w:szCs w:val="24"/>
        </w:rPr>
        <w:t xml:space="preserve">se ordene a Santa Clara </w:t>
      </w:r>
      <w:r w:rsidR="000D57C3" w:rsidRPr="0054131B">
        <w:rPr>
          <w:rFonts w:ascii="Times New Roman" w:hAnsi="Times New Roman"/>
          <w:sz w:val="24"/>
          <w:szCs w:val="24"/>
        </w:rPr>
        <w:t xml:space="preserve">realizar un evento en el que se </w:t>
      </w:r>
      <w:r w:rsidR="00BA3FC8">
        <w:rPr>
          <w:rFonts w:ascii="Times New Roman" w:hAnsi="Times New Roman"/>
          <w:sz w:val="24"/>
          <w:szCs w:val="24"/>
        </w:rPr>
        <w:t>pida</w:t>
      </w:r>
      <w:r w:rsidR="000D57C3" w:rsidRPr="0054131B">
        <w:rPr>
          <w:rFonts w:ascii="Times New Roman" w:hAnsi="Times New Roman"/>
          <w:sz w:val="24"/>
          <w:szCs w:val="24"/>
        </w:rPr>
        <w:t xml:space="preserve"> disculpas públicas a todas las víctimas, investigar penalmente a los señores David Nelson y Eliot Klein, fiscalizar a Miningcorp y reconocer judicialmente las violaciones a los DDHH en perjuicio del Pueblo Pichicha; </w:t>
      </w:r>
      <w:r w:rsidR="000D57C3" w:rsidRPr="0054131B">
        <w:rPr>
          <w:rFonts w:ascii="Times New Roman" w:hAnsi="Times New Roman"/>
          <w:i/>
          <w:sz w:val="24"/>
          <w:szCs w:val="24"/>
        </w:rPr>
        <w:t>(ii)</w:t>
      </w:r>
      <w:r w:rsidR="00F52C45" w:rsidRPr="0054131B">
        <w:rPr>
          <w:rFonts w:ascii="Times New Roman" w:hAnsi="Times New Roman"/>
          <w:i/>
          <w:sz w:val="24"/>
          <w:szCs w:val="24"/>
        </w:rPr>
        <w:t xml:space="preserve"> </w:t>
      </w:r>
      <w:r w:rsidR="000D57C3" w:rsidRPr="0054131B">
        <w:rPr>
          <w:rFonts w:ascii="Times New Roman" w:hAnsi="Times New Roman"/>
          <w:i/>
          <w:sz w:val="24"/>
          <w:szCs w:val="24"/>
        </w:rPr>
        <w:t>garantías de no repetición,</w:t>
      </w:r>
      <w:r w:rsidR="000D57C3" w:rsidRPr="0054131B">
        <w:rPr>
          <w:rFonts w:ascii="Times New Roman" w:hAnsi="Times New Roman"/>
          <w:sz w:val="24"/>
          <w:szCs w:val="24"/>
        </w:rPr>
        <w:t xml:space="preserve"> se ordene a Santa Clara subordinar sus políticas económicas a los estándares internacionales sobre DDHH, establecer una política de cooperación internacional en materia de DDHH con Madruga, adoptar las medidas necesarias para asegurar la protección del riachuelo de Mandí, informar a Madruga </w:t>
      </w:r>
      <w:r w:rsidR="008E6999">
        <w:rPr>
          <w:rFonts w:ascii="Times New Roman" w:hAnsi="Times New Roman"/>
          <w:sz w:val="24"/>
          <w:szCs w:val="24"/>
        </w:rPr>
        <w:t xml:space="preserve">sobre </w:t>
      </w:r>
      <w:r w:rsidR="000D57C3" w:rsidRPr="0054131B">
        <w:rPr>
          <w:rFonts w:ascii="Times New Roman" w:hAnsi="Times New Roman"/>
          <w:sz w:val="24"/>
          <w:szCs w:val="24"/>
        </w:rPr>
        <w:t>el peligro de daño transfronterizo del proyecto Wirikuya y declarar la nulidad de la licencia de exp</w:t>
      </w:r>
      <w:r w:rsidR="00F52C45" w:rsidRPr="0054131B">
        <w:rPr>
          <w:rFonts w:ascii="Times New Roman" w:hAnsi="Times New Roman"/>
          <w:sz w:val="24"/>
          <w:szCs w:val="24"/>
        </w:rPr>
        <w:t>lotación otorgada a Silverfield</w:t>
      </w:r>
      <w:r w:rsidR="000D57C3" w:rsidRPr="0054131B">
        <w:rPr>
          <w:rFonts w:ascii="Times New Roman" w:hAnsi="Times New Roman"/>
          <w:sz w:val="24"/>
          <w:szCs w:val="24"/>
        </w:rPr>
        <w:t xml:space="preserve">; </w:t>
      </w:r>
      <w:r w:rsidR="000D57C3" w:rsidRPr="0054131B">
        <w:rPr>
          <w:rFonts w:ascii="Times New Roman" w:hAnsi="Times New Roman"/>
          <w:i/>
          <w:sz w:val="24"/>
          <w:szCs w:val="24"/>
        </w:rPr>
        <w:t>(iii)</w:t>
      </w:r>
      <w:r w:rsidR="00F52C45" w:rsidRPr="0054131B">
        <w:rPr>
          <w:rFonts w:ascii="Times New Roman" w:hAnsi="Times New Roman"/>
          <w:i/>
          <w:sz w:val="24"/>
          <w:szCs w:val="24"/>
        </w:rPr>
        <w:t xml:space="preserve"> </w:t>
      </w:r>
      <w:r w:rsidR="000D57C3" w:rsidRPr="0054131B">
        <w:rPr>
          <w:rFonts w:ascii="Times New Roman" w:hAnsi="Times New Roman"/>
          <w:i/>
          <w:sz w:val="24"/>
          <w:szCs w:val="24"/>
        </w:rPr>
        <w:t>indemnización compensatoria,</w:t>
      </w:r>
      <w:r w:rsidR="00F52C45" w:rsidRPr="0054131B">
        <w:rPr>
          <w:rFonts w:ascii="Times New Roman" w:hAnsi="Times New Roman"/>
          <w:sz w:val="24"/>
          <w:szCs w:val="24"/>
        </w:rPr>
        <w:t xml:space="preserve"> se ordene a Santa Clara pagar</w:t>
      </w:r>
      <w:r w:rsidR="000D57C3" w:rsidRPr="0054131B">
        <w:rPr>
          <w:rFonts w:ascii="Times New Roman" w:hAnsi="Times New Roman"/>
          <w:sz w:val="24"/>
          <w:szCs w:val="24"/>
        </w:rPr>
        <w:t xml:space="preserve"> a todas</w:t>
      </w:r>
      <w:r w:rsidR="00476F9A">
        <w:rPr>
          <w:rFonts w:ascii="Times New Roman" w:hAnsi="Times New Roman"/>
          <w:sz w:val="24"/>
          <w:szCs w:val="24"/>
        </w:rPr>
        <w:t xml:space="preserve"> las víctimas del presente caso</w:t>
      </w:r>
      <w:r w:rsidR="000D57C3" w:rsidRPr="0054131B">
        <w:rPr>
          <w:rFonts w:ascii="Times New Roman" w:hAnsi="Times New Roman"/>
          <w:sz w:val="24"/>
          <w:szCs w:val="24"/>
        </w:rPr>
        <w:t xml:space="preserve"> la indemnización que este Tribunal considere </w:t>
      </w:r>
      <w:r w:rsidR="001D3FDB" w:rsidRPr="0054131B">
        <w:rPr>
          <w:rFonts w:ascii="Times New Roman" w:hAnsi="Times New Roman"/>
          <w:sz w:val="24"/>
          <w:szCs w:val="24"/>
        </w:rPr>
        <w:t>pertinente.</w:t>
      </w:r>
    </w:p>
    <w:p w:rsidR="00730C98" w:rsidRPr="0054131B" w:rsidRDefault="00730C98" w:rsidP="003B1275">
      <w:pPr>
        <w:keepNext/>
        <w:widowControl w:val="0"/>
        <w:spacing w:after="0" w:line="480" w:lineRule="auto"/>
        <w:jc w:val="both"/>
        <w:rPr>
          <w:rFonts w:ascii="Times New Roman" w:hAnsi="Times New Roman"/>
          <w:sz w:val="24"/>
          <w:szCs w:val="24"/>
        </w:rPr>
      </w:pPr>
    </w:p>
    <w:p w:rsidR="00644A33" w:rsidRPr="0054131B" w:rsidRDefault="00644A33" w:rsidP="003B1275">
      <w:pPr>
        <w:keepNext/>
        <w:widowControl w:val="0"/>
        <w:spacing w:after="0" w:line="480" w:lineRule="auto"/>
        <w:jc w:val="both"/>
        <w:rPr>
          <w:rFonts w:ascii="Times New Roman" w:hAnsi="Times New Roman"/>
          <w:sz w:val="24"/>
          <w:szCs w:val="24"/>
        </w:rPr>
      </w:pPr>
    </w:p>
    <w:p w:rsidR="00644A33" w:rsidRPr="0054131B" w:rsidRDefault="00644A33" w:rsidP="003B1275">
      <w:pPr>
        <w:keepNext/>
        <w:widowControl w:val="0"/>
        <w:spacing w:after="0" w:line="480" w:lineRule="auto"/>
        <w:jc w:val="both"/>
        <w:rPr>
          <w:rFonts w:ascii="Times New Roman" w:hAnsi="Times New Roman"/>
          <w:sz w:val="24"/>
          <w:szCs w:val="24"/>
        </w:rPr>
      </w:pPr>
    </w:p>
    <w:sectPr w:rsidR="00644A33" w:rsidRPr="0054131B" w:rsidSect="00F34327">
      <w:footnotePr>
        <w:pos w:val="beneathText"/>
      </w:footnotePr>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0A" w:rsidRDefault="00BB310A" w:rsidP="00421198">
      <w:pPr>
        <w:spacing w:after="0" w:line="240" w:lineRule="auto"/>
      </w:pPr>
      <w:r>
        <w:separator/>
      </w:r>
    </w:p>
  </w:endnote>
  <w:endnote w:type="continuationSeparator" w:id="0">
    <w:p w:rsidR="00BB310A" w:rsidRDefault="00BB310A" w:rsidP="0042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itstreamVeraSans-Roma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75" w:rsidRDefault="003B1275" w:rsidP="005E6246">
    <w:pPr>
      <w:pStyle w:val="Footer"/>
      <w:tabs>
        <w:tab w:val="clear" w:pos="4252"/>
        <w:tab w:val="clear" w:pos="8504"/>
        <w:tab w:val="left" w:pos="3540"/>
      </w:tabs>
      <w:jc w:val="center"/>
    </w:pPr>
  </w:p>
  <w:p w:rsidR="003B1275" w:rsidRDefault="003B1275" w:rsidP="005E6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2145725892"/>
      <w:docPartObj>
        <w:docPartGallery w:val="Page Numbers (Bottom of Page)"/>
        <w:docPartUnique/>
      </w:docPartObj>
    </w:sdtPr>
    <w:sdtEndPr/>
    <w:sdtContent>
      <w:p w:rsidR="003B1275" w:rsidRPr="00264133" w:rsidRDefault="003B1275">
        <w:pPr>
          <w:pStyle w:val="Footer"/>
          <w:jc w:val="right"/>
          <w:rPr>
            <w:rFonts w:ascii="Times New Roman" w:hAnsi="Times New Roman"/>
            <w:sz w:val="24"/>
          </w:rPr>
        </w:pPr>
        <w:r w:rsidRPr="00264133">
          <w:rPr>
            <w:rFonts w:ascii="Times New Roman" w:hAnsi="Times New Roman"/>
            <w:sz w:val="24"/>
          </w:rPr>
          <w:fldChar w:fldCharType="begin"/>
        </w:r>
        <w:r w:rsidRPr="00264133">
          <w:rPr>
            <w:rFonts w:ascii="Times New Roman" w:hAnsi="Times New Roman"/>
            <w:sz w:val="24"/>
          </w:rPr>
          <w:instrText>PAGE   \* MERGEFORMAT</w:instrText>
        </w:r>
        <w:r w:rsidRPr="00264133">
          <w:rPr>
            <w:rFonts w:ascii="Times New Roman" w:hAnsi="Times New Roman"/>
            <w:sz w:val="24"/>
          </w:rPr>
          <w:fldChar w:fldCharType="separate"/>
        </w:r>
        <w:r w:rsidR="00A66814" w:rsidRPr="00A66814">
          <w:rPr>
            <w:rFonts w:ascii="Times New Roman" w:hAnsi="Times New Roman"/>
            <w:noProof/>
            <w:sz w:val="24"/>
            <w:lang w:val="es-ES"/>
          </w:rPr>
          <w:t>20</w:t>
        </w:r>
        <w:r w:rsidRPr="00264133">
          <w:rPr>
            <w:rFonts w:ascii="Times New Roman" w:hAnsi="Times New Roman"/>
            <w:sz w:val="24"/>
          </w:rPr>
          <w:fldChar w:fldCharType="end"/>
        </w:r>
      </w:p>
    </w:sdtContent>
  </w:sdt>
  <w:p w:rsidR="003B1275" w:rsidRPr="00264133" w:rsidRDefault="003B1275">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0A" w:rsidRDefault="00BB310A" w:rsidP="00421198">
      <w:pPr>
        <w:spacing w:after="0" w:line="240" w:lineRule="auto"/>
      </w:pPr>
      <w:r>
        <w:separator/>
      </w:r>
    </w:p>
  </w:footnote>
  <w:footnote w:type="continuationSeparator" w:id="0">
    <w:p w:rsidR="00BB310A" w:rsidRDefault="00BB310A" w:rsidP="00421198">
      <w:pPr>
        <w:spacing w:after="0" w:line="240" w:lineRule="auto"/>
      </w:pPr>
      <w:r>
        <w:continuationSeparator/>
      </w:r>
    </w:p>
  </w:footnote>
  <w:footnote w:id="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Corte IDH. Caso Pueblo Indígena Kichwa de Sarayaku vs. Ecuador. Fondo y reparaciones. Sentencia de 27 de junio de 2012. Serie C No. 245, párr. 231. </w:t>
      </w:r>
    </w:p>
  </w:footnote>
  <w:footnote w:id="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Reglamento de la CIDH. Aprobado en noviembre del 2009, art. 29.5. </w:t>
      </w:r>
    </w:p>
  </w:footnote>
  <w:footnote w:id="3">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CADH. Suscrita en la Conferencia Especializada Interamericana sobre DDHH. San José, Costa Rica, 22 de noviembre de 1969, artículo 1.1.</w:t>
      </w:r>
    </w:p>
  </w:footnote>
  <w:footnote w:id="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ES_tradnl"/>
        </w:rPr>
      </w:pPr>
      <w:r w:rsidRPr="003B1275">
        <w:rPr>
          <w:rStyle w:val="FootnoteReference"/>
          <w:rFonts w:ascii="Times New Roman" w:hAnsi="Times New Roman"/>
          <w:sz w:val="20"/>
          <w:szCs w:val="20"/>
        </w:rPr>
        <w:footnoteRef/>
      </w:r>
      <w:r w:rsidRPr="003B1275">
        <w:rPr>
          <w:rFonts w:ascii="Times New Roman" w:hAnsi="Times New Roman"/>
          <w:sz w:val="20"/>
          <w:szCs w:val="20"/>
        </w:rPr>
        <w:t xml:space="preserve">CIDH. </w:t>
      </w:r>
      <w:r w:rsidRPr="003B1275">
        <w:rPr>
          <w:rFonts w:ascii="Times New Roman" w:hAnsi="Times New Roman"/>
          <w:sz w:val="20"/>
          <w:szCs w:val="20"/>
          <w:lang w:val="es-US"/>
        </w:rPr>
        <w:t>Caso Coard y otros vs. EE.UU. Informe 109/99, 29 de septiembre de 1999, párr. 37; Caso Armando Alejandre JR. y otros vs. Cuba. Informe 86/99, 29 de septiembre de 1999, párr. 25; Caso Franklin Guillermo Aisalla Molina. Petición Interestatal PI-02. Ecuador vs. Colombia. Informe de Admisibilidad No. 112/10, 21 de octubre de 2010, párr. 91.</w:t>
      </w:r>
    </w:p>
  </w:footnote>
  <w:footnote w:id="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TEDH. Caso Bankovic vs. Bélgica y otros. Solicitud 52207/99. Sentencia del 12 de diciembre de 2001, párr. 73.</w:t>
      </w:r>
    </w:p>
  </w:footnote>
  <w:footnote w:id="6">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CIDH. Caso Víctor Saldaño vs. Argentina. Informe 38/99</w:t>
      </w:r>
      <w:r w:rsidRPr="003B1275">
        <w:rPr>
          <w:rFonts w:ascii="Times New Roman" w:hAnsi="Times New Roman"/>
          <w:sz w:val="20"/>
          <w:szCs w:val="20"/>
          <w:lang w:val="es-US"/>
        </w:rPr>
        <w:t xml:space="preserve">, </w:t>
      </w:r>
      <w:r w:rsidRPr="003B1275">
        <w:rPr>
          <w:rFonts w:ascii="Times New Roman" w:hAnsi="Times New Roman"/>
          <w:sz w:val="20"/>
          <w:szCs w:val="20"/>
        </w:rPr>
        <w:t>11 de marzo de 1999, párr. 17; TEDH. Caso Drozd y otro vs. Francia y España. Solicitud 54657/91. Sentencia de 26 de junio de 1992, párr. 91.</w:t>
      </w:r>
    </w:p>
  </w:footnote>
  <w:footnote w:id="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 44 del caso.</w:t>
      </w:r>
    </w:p>
  </w:footnote>
  <w:footnote w:id="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Corte IDH. Caso Mejía Idrovo vs. Ecuador. Excepciones Preliminares, Fondo, reparaciones y costas. Sentencia del 5 de julio de 2011. Serie C No. 228, párr. 19.</w:t>
      </w:r>
    </w:p>
  </w:footnote>
  <w:footnote w:id="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Corte IDH. Caso Familia Pacheco Tineo vs. Bolivia. Excepciones Preliminares, Fondo, Reparaciones y Costas. Sentencia del 25 de noviembre de 2013. Serie C No. 272, párr. 33; TEDH. Caso Rantsev vs. Chipre y Rusia. Solicitud 25965/05. Sentencia del 7 de enero de 2010, párr. 208.</w:t>
      </w:r>
    </w:p>
  </w:footnote>
  <w:footnote w:id="1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AGUIAR A, Asdrúbal. </w:t>
      </w:r>
      <w:r w:rsidRPr="003B1275">
        <w:rPr>
          <w:rFonts w:ascii="Times New Roman" w:hAnsi="Times New Roman" w:cs="Times New Roman"/>
          <w:i/>
          <w:sz w:val="20"/>
          <w:szCs w:val="20"/>
        </w:rPr>
        <w:t>La responsabilidad internacional del Estado por violaciones de DDHH</w:t>
      </w:r>
      <w:r w:rsidRPr="003B1275">
        <w:rPr>
          <w:rFonts w:ascii="Times New Roman" w:hAnsi="Times New Roman" w:cs="Times New Roman"/>
          <w:sz w:val="20"/>
          <w:szCs w:val="20"/>
        </w:rPr>
        <w:t>, Instituto de DDHH, Tomo I, Caracas, 1992, pág. 136, párr. 40.</w:t>
      </w:r>
    </w:p>
  </w:footnote>
  <w:footnote w:id="1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 xml:space="preserve">CERQUERIA, Daniel. </w:t>
      </w:r>
      <w:r w:rsidRPr="003B1275">
        <w:rPr>
          <w:rFonts w:ascii="Times New Roman" w:hAnsi="Times New Roman" w:cs="Times New Roman"/>
          <w:i/>
          <w:sz w:val="20"/>
          <w:szCs w:val="20"/>
          <w:lang w:val="es-US"/>
        </w:rPr>
        <w:t>La atribución de responsabilidad extraterritorial por actos de particulares en el sistema interamericano: contribuciones al debate sobre empresas y DDHH</w:t>
      </w:r>
      <w:r w:rsidRPr="003B1275">
        <w:rPr>
          <w:rFonts w:ascii="Times New Roman" w:hAnsi="Times New Roman" w:cs="Times New Roman"/>
          <w:sz w:val="20"/>
          <w:szCs w:val="20"/>
          <w:lang w:val="es-US"/>
        </w:rPr>
        <w:t>. Revista Aportes DPLF, Washington DC, 2015, párr. 12.</w:t>
      </w:r>
    </w:p>
  </w:footnote>
  <w:footnote w:id="1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PILLAY, Sukanya.</w:t>
      </w:r>
      <w:r w:rsidRPr="003B1275">
        <w:rPr>
          <w:rFonts w:ascii="Times New Roman" w:hAnsi="Times New Roman"/>
          <w:i/>
          <w:sz w:val="20"/>
          <w:szCs w:val="20"/>
        </w:rPr>
        <w:t xml:space="preserve"> ¿Y justicia para todos? Globalización, empresas multinacionales y la necesidad de protecciones legalmente ejecutables de los DDHH</w:t>
      </w:r>
      <w:r w:rsidRPr="003B1275">
        <w:rPr>
          <w:rFonts w:ascii="Times New Roman" w:hAnsi="Times New Roman"/>
          <w:sz w:val="20"/>
          <w:szCs w:val="20"/>
        </w:rPr>
        <w:t>. Universidad de Detroit, Detroit, 2004, pág. 629.</w:t>
      </w:r>
    </w:p>
  </w:footnote>
  <w:footnote w:id="13">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PILLAY, Sukanya, (supra nota 12), pág. 641.</w:t>
      </w:r>
    </w:p>
  </w:footnote>
  <w:footnote w:id="1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 xml:space="preserve">SALMÓN, Elizabeth. </w:t>
      </w:r>
      <w:r w:rsidRPr="003B1275">
        <w:rPr>
          <w:rFonts w:ascii="Times New Roman" w:hAnsi="Times New Roman"/>
          <w:i/>
          <w:sz w:val="20"/>
          <w:szCs w:val="20"/>
          <w:lang w:val="es-US"/>
        </w:rPr>
        <w:t>La progresiva incorporación de las empresas multinacionales en la lógica de los DDHH</w:t>
      </w:r>
      <w:r w:rsidRPr="003B1275">
        <w:rPr>
          <w:rFonts w:ascii="Times New Roman" w:hAnsi="Times New Roman"/>
          <w:sz w:val="20"/>
          <w:szCs w:val="20"/>
          <w:lang w:val="es-US"/>
        </w:rPr>
        <w:t>. Fundación Konrad Adenauer, Lima, 2012, pág. 30.</w:t>
      </w:r>
    </w:p>
  </w:footnote>
  <w:footnote w:id="1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párrs. 12, 13 y 15 del caso.</w:t>
      </w:r>
    </w:p>
  </w:footnote>
  <w:footnote w:id="1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González y otras ("Campo Algodonero") vs. México. Excepción preliminar, fondo, reparaciones y costas. Sentencia del 16 de noviembre de 2009. Serie C No. 205, párr. 463.</w:t>
      </w:r>
    </w:p>
  </w:footnote>
  <w:footnote w:id="1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TEDH. Caso </w:t>
      </w:r>
      <w:r w:rsidRPr="003B1275">
        <w:rPr>
          <w:rFonts w:ascii="Times New Roman" w:hAnsi="Times New Roman" w:cs="Times New Roman"/>
          <w:iCs/>
          <w:sz w:val="20"/>
          <w:szCs w:val="20"/>
        </w:rPr>
        <w:t>X y Y vs. Países Bajos. Solicitud</w:t>
      </w:r>
      <w:r w:rsidRPr="003B1275">
        <w:rPr>
          <w:rFonts w:ascii="Times New Roman" w:hAnsi="Times New Roman" w:cs="Times New Roman"/>
          <w:sz w:val="20"/>
          <w:szCs w:val="20"/>
        </w:rPr>
        <w:t xml:space="preserve"> 8978/80. Sentencia del 14 de junio de1985, párr. 23.</w:t>
      </w:r>
    </w:p>
  </w:footnote>
  <w:footnote w:id="1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Style w:val="Strong"/>
          <w:rFonts w:ascii="Times New Roman" w:hAnsi="Times New Roman" w:cs="Times New Roman"/>
          <w:b w:val="0"/>
          <w:sz w:val="20"/>
          <w:szCs w:val="20"/>
        </w:rPr>
        <w:t>Corte IDH. Caso Blake vs. Guatemala. Fondo. Sentencia del 24 de enero de 1998. Serie C No. 36</w:t>
      </w:r>
      <w:r w:rsidRPr="003B1275">
        <w:rPr>
          <w:rFonts w:ascii="Times New Roman" w:hAnsi="Times New Roman" w:cs="Times New Roman"/>
          <w:sz w:val="20"/>
          <w:szCs w:val="20"/>
        </w:rPr>
        <w:t>, párr. 78.</w:t>
      </w:r>
    </w:p>
  </w:footnote>
  <w:footnote w:id="1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Condición Jurídica y Derechos de los Migrantes Indocumentados. Opinión Consultiva OC-18/03 de 17 de septiembre de 2003. Serie A No. 18, párr. 140.</w:t>
      </w:r>
    </w:p>
  </w:footnote>
  <w:footnote w:id="2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ONU. RUGGIE, John. Relatoría sobre DDHH y empresas transnacionales. Principios rectores sobre las empresas y los DDHH, Ginebra, 2011, principio 1.</w:t>
      </w:r>
    </w:p>
  </w:footnote>
  <w:footnote w:id="2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TEDH. Caso Fadeyeva vs. Rusia. </w:t>
      </w:r>
      <w:r w:rsidRPr="003B1275">
        <w:rPr>
          <w:rFonts w:ascii="Times New Roman" w:hAnsi="Times New Roman" w:cs="Times New Roman"/>
          <w:sz w:val="20"/>
          <w:szCs w:val="20"/>
        </w:rPr>
        <w:t>Solicitud 55723/00. Sentencia del 9 de junio de 2005, párrafo 68.</w:t>
      </w:r>
    </w:p>
  </w:footnote>
  <w:footnote w:id="2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Caso Xímenes López vs. Brasil. </w:t>
      </w:r>
      <w:r w:rsidRPr="003B1275">
        <w:rPr>
          <w:rFonts w:ascii="Times New Roman" w:hAnsi="Times New Roman" w:cs="Times New Roman"/>
          <w:sz w:val="20"/>
          <w:szCs w:val="20"/>
        </w:rPr>
        <w:t>Fondo, reparaciones y costas. Sentencia del 4 julio de 2006. Serie C No. 149, párrs. 86 y 87.</w:t>
      </w:r>
    </w:p>
  </w:footnote>
  <w:footnote w:id="2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Comisión Africana de DDHH. Caso Centro de Acción Social y Económica y otros vs. Nigeria. Comunicación 155/96, 27 de octubre de 2001, párr. 67.</w:t>
      </w:r>
    </w:p>
  </w:footnote>
  <w:footnote w:id="2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de la "Masacre de Mapiripán" vs. Colombia. Sentencia del 15 de septiembre de 2005. Serie C No. 134, párr. 117.</w:t>
      </w:r>
    </w:p>
  </w:footnote>
  <w:footnote w:id="2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Corte IDH. Caso Velásquez Rodríguez vs. Honduras. Fondo. Sentencia de 29 de julio de 1988. Serie C No. 4, párr. 177.</w:t>
      </w:r>
    </w:p>
  </w:footnote>
  <w:footnote w:id="26">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CIDH. Caso Corumbiara vs. Brasil. Informe 32/04, 11 de marzo de 2004, párr. 167.</w:t>
      </w:r>
    </w:p>
  </w:footnote>
  <w:footnote w:id="27">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 xml:space="preserve">Corte IDH. </w:t>
      </w:r>
      <w:r w:rsidRPr="00B521A4">
        <w:rPr>
          <w:rFonts w:ascii="Times New Roman" w:hAnsi="Times New Roman"/>
          <w:sz w:val="20"/>
          <w:szCs w:val="20"/>
          <w:lang w:val="en-US"/>
        </w:rPr>
        <w:t xml:space="preserve">Caso Myrna Mack Chang vs. Guatemala. </w:t>
      </w:r>
      <w:r w:rsidRPr="003B1275">
        <w:rPr>
          <w:rFonts w:ascii="Times New Roman" w:hAnsi="Times New Roman"/>
          <w:sz w:val="20"/>
          <w:szCs w:val="20"/>
        </w:rPr>
        <w:t>Fondo, reparaciones y costas. Sentencia del 25 de noviembre de 2003. Serie C No. 101, párr. 156.</w:t>
      </w:r>
    </w:p>
  </w:footnote>
  <w:footnote w:id="28">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Juan Humberto Sánchez vs. Honduras. Excepciones preliminares, fondo, reparaciones y costas. Sentencia del 7 de junio de 2003. Serie C No. 99, párr. 134.</w:t>
      </w:r>
    </w:p>
  </w:footnote>
  <w:footnote w:id="2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Cantos vs. Argentina. Fondo, reparaciones y costas. Sentencia del 28 de noviembre de 2002. Serie C No. 97, párr. 52.</w:t>
      </w:r>
    </w:p>
  </w:footnote>
  <w:footnote w:id="3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 la “Masacre de Mapiripán” vs. Colombia, (supra nota 24), párr. 117.</w:t>
      </w:r>
    </w:p>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p>
  </w:footnote>
  <w:footnote w:id="31">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Bayarri vs. Argentina. Excepción preliminar, fondo, reparaciones y costas. Sentencia del 30 de octubre de 2008. Serie C No. 187, párr. 92.</w:t>
      </w:r>
    </w:p>
  </w:footnote>
  <w:footnote w:id="3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Ríos y otros vs. Venezuela. Excepciones preliminares, fondo, reparaciones y costas. Sentencia del 28 de enero de 2009. Serie C No. 194, párr. 110; CIDH. Caso James Zapata Valencia y otro vs. Colombia. Informe 79/11, 21 de julio de 2011, párr. 65.</w:t>
      </w:r>
    </w:p>
  </w:footnote>
  <w:footnote w:id="3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respuesta aclaratoria 21 del caso.</w:t>
      </w:r>
    </w:p>
  </w:footnote>
  <w:footnote w:id="3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Baldeón García vs. Perú. Fondo, reparaciones y costas. Sentencia del 6 de abril de 2006. Serie C No. 147, párr. 97.</w:t>
      </w:r>
    </w:p>
  </w:footnote>
  <w:footnote w:id="3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Tribunal Militar Internacional de Núremberg. Caso Farben Krauch vs. EE.UU., vol. VIII, 30 de julio de 1948, pág.1086; Tribunal Penal Internacional para Ruanda. Caso El Fiscal vs. Musema. Sentencia del 27 de enero de 2000. Archivo ICTR9613T, párr. 274.</w:t>
      </w:r>
    </w:p>
  </w:footnote>
  <w:footnote w:id="36">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Tribunal Especial para Sierra Leona. Caso El Fiscal vs. Charles Ghankay Taylor. Sentencia del 18 de mayo de 2012. Archivo SCSL-03-01-T, párr. 4060.</w:t>
      </w:r>
    </w:p>
  </w:footnote>
  <w:footnote w:id="37">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Tribunal Penal Internacional para la ex-Yugoslavia. Caso El Fiscal vs. Tadić. Sentencia de apelación del 27 de febrero de 2001. Archivo IT-94-1-A-AR77, párr. 196.</w:t>
      </w:r>
    </w:p>
  </w:footnote>
  <w:footnote w:id="38">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Segunda sesión del centésimo sexto congreso de los EE.UU. Ley de Víctimas de Trata y Protección contra la Violencia, 28 de octubre del 2000.</w:t>
      </w:r>
    </w:p>
  </w:footnote>
  <w:footnote w:id="3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Congreso de los EE.UU. Ley de Reclamaciones Extranjeras, 1789.</w:t>
      </w:r>
    </w:p>
  </w:footnote>
  <w:footnote w:id="40">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Suprema de los EE.UU. Caso Kiobel vs. Royal Duch, 17 de abril del 2013, pág. 11.</w:t>
      </w:r>
    </w:p>
  </w:footnote>
  <w:footnote w:id="41">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ONU. Principios Rectores sobre las Empresas y los DDHH, (supra nota 20), principio 4.</w:t>
      </w:r>
    </w:p>
  </w:footnote>
  <w:footnote w:id="42">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Ver párr. 31 del caso.</w:t>
      </w:r>
    </w:p>
  </w:footnote>
  <w:footnote w:id="43">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Tribunal Federal del Distrito de New Jersey. Caso Faat vs. Honeywell, 5 de octubre del 2005; Tribunal Federal de California. Caso Spanair, 20 de agosto del 2008.</w:t>
      </w:r>
    </w:p>
  </w:footnote>
  <w:footnote w:id="4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CIDH. Resolución 01/03. Sobre juzgamiento de crímenes internacionales. 24 de octubre del 2003, punto 4 y preámbulo.</w:t>
      </w:r>
    </w:p>
  </w:footnote>
  <w:footnote w:id="4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Ver párr. 19 del caso.</w:t>
      </w:r>
    </w:p>
  </w:footnote>
  <w:footnote w:id="46">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González y otras ("Campo Algodonero") vs. México, (supra nota 16), párr. 374.</w:t>
      </w:r>
    </w:p>
  </w:footnote>
  <w:footnote w:id="4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González y otras ("Campo Algodonero") vs. México, (supra nota 16), párr. 378.</w:t>
      </w:r>
    </w:p>
  </w:footnote>
  <w:footnote w:id="48">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Ver párr.22 del caso.</w:t>
      </w:r>
    </w:p>
  </w:footnote>
  <w:footnote w:id="49">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Baldeón García vs. Perú, (supra nota 34), párr. 97.</w:t>
      </w:r>
    </w:p>
  </w:footnote>
  <w:footnote w:id="50">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Ríos y otros vs. Venezuela,  (supra nota 32), párr. 100.</w:t>
      </w:r>
    </w:p>
  </w:footnote>
  <w:footnote w:id="51">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de la “Masacre de Mapiripán” vs. Colombia, (supra nota 24), párr. 215.</w:t>
      </w:r>
    </w:p>
  </w:footnote>
  <w:footnote w:id="5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vertAlign w:val="subscript"/>
        </w:rPr>
        <w:footnoteRef/>
      </w:r>
      <w:r w:rsidRPr="003B1275">
        <w:rPr>
          <w:rFonts w:ascii="Times New Roman" w:hAnsi="Times New Roman"/>
          <w:sz w:val="20"/>
          <w:szCs w:val="20"/>
        </w:rPr>
        <w:t xml:space="preserve">Corte IDH. Caso de la Masacre de La Rochela vs. Colombia. Fondo, reparaciones y costas. Sentencia del 11 de mayo de 2007. Serie C No. 163, párr. </w:t>
      </w:r>
      <w:r w:rsidRPr="003B1275">
        <w:rPr>
          <w:rFonts w:ascii="Times New Roman" w:hAnsi="Times New Roman"/>
          <w:sz w:val="20"/>
          <w:szCs w:val="20"/>
          <w:lang w:val="es-US"/>
        </w:rPr>
        <w:t>215</w:t>
      </w:r>
      <w:r w:rsidRPr="003B1275">
        <w:rPr>
          <w:rFonts w:ascii="Times New Roman" w:hAnsi="Times New Roman"/>
          <w:sz w:val="20"/>
          <w:szCs w:val="20"/>
        </w:rPr>
        <w:t>.</w:t>
      </w:r>
    </w:p>
  </w:footnote>
  <w:footnote w:id="53">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iCs/>
          <w:sz w:val="20"/>
          <w:szCs w:val="20"/>
        </w:rPr>
        <w:t>Corte IDH. Caso Heliodoro Portugal vs. Panamá. Excepciones preliminares, fondo, reparaciones y costas. Sentencia del 12 de agosto de 2008. Serie C No. 186</w:t>
      </w:r>
      <w:r w:rsidRPr="003B1275">
        <w:rPr>
          <w:rFonts w:ascii="Times New Roman" w:hAnsi="Times New Roman"/>
          <w:sz w:val="20"/>
          <w:szCs w:val="20"/>
        </w:rPr>
        <w:t xml:space="preserve">, párr. 203. </w:t>
      </w:r>
    </w:p>
  </w:footnote>
  <w:footnote w:id="54">
    <w:p w:rsidR="003B1275" w:rsidRPr="003B1275" w:rsidRDefault="003B1275" w:rsidP="003B1275">
      <w:pPr>
        <w:pStyle w:val="NoSpacing"/>
        <w:keepNext/>
        <w:keepLines/>
        <w:pageBreakBefore/>
        <w:suppressLineNumbers/>
        <w:tabs>
          <w:tab w:val="left" w:pos="2396"/>
        </w:tab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ONU. Conjunto de principios actualizado para la protección y la promoción de los DDHH mediante la lucha contra la impunidad, definiciones, acápite a.</w:t>
      </w:r>
      <w:r w:rsidRPr="003B1275">
        <w:rPr>
          <w:rFonts w:ascii="Times New Roman" w:hAnsi="Times New Roman"/>
          <w:sz w:val="20"/>
          <w:szCs w:val="20"/>
        </w:rPr>
        <w:tab/>
      </w:r>
    </w:p>
  </w:footnote>
  <w:footnote w:id="5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Convención de Viena sobre Relaciones Diplomáticas. Suscrita el 18 de abril de 1961, art. 31.4.</w:t>
      </w:r>
    </w:p>
  </w:footnote>
  <w:footnote w:id="5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 25 del caso.</w:t>
      </w:r>
    </w:p>
  </w:footnote>
  <w:footnote w:id="5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Ríos y otros vs. Venezuela, (supra nota 32), párr. 110.</w:t>
      </w:r>
    </w:p>
  </w:footnote>
  <w:footnote w:id="5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Corte IDH. Caso La Cantuta vs. Perú. Fondo, reparaciones y costas. Sentencia de 29 de noviembre de 2006. Serie C No. 162, párr. 160; Corte IDH. Caso Goiburú y otros vs. Paraguay. Fondo, reparaciones y costas. Sentencia de 22 de septiembre de 2006. Serie C No. 153, párr. 130.</w:t>
      </w:r>
    </w:p>
  </w:footnote>
  <w:footnote w:id="5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Carta de la OEA. Firmada en Bogotá el 30 de abril de 1948, art. 3.e.</w:t>
      </w:r>
    </w:p>
  </w:footnote>
  <w:footnote w:id="6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del Tribunal Constitucional vs. Perú. Fondo, reparaciones y costas. Sentencia del 31 de enero de 2001. Serie C No. 71, párr. 71.</w:t>
      </w:r>
    </w:p>
  </w:footnote>
  <w:footnote w:id="61">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CIDH. Caso Masacre de Santa Domingo. Informe 31/11, 24 de marzo del 2011, párr. 168.</w:t>
      </w:r>
    </w:p>
  </w:footnote>
  <w:footnote w:id="6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ONU, Convención Contra la Delincuencia Organizada Transnacional. Suscrita el 15 diciembre del 2000, anexo I, art. 31.2.d.</w:t>
      </w:r>
    </w:p>
  </w:footnote>
  <w:footnote w:id="6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Velásquez Paiz y otros vs. Guatemala. Excepciones preliminares, fondo, reparaciones y costas. Sentencia de 19 de noviembre de 2015. Serie C No. 307, párr. 170.</w:t>
      </w:r>
    </w:p>
  </w:footnote>
  <w:footnote w:id="6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ACOSTA, Juana Inés y ÁLVAREZ, Lina. </w:t>
      </w:r>
      <w:r w:rsidRPr="003B1275">
        <w:rPr>
          <w:rFonts w:ascii="Times New Roman" w:hAnsi="Times New Roman" w:cs="Times New Roman"/>
          <w:i/>
          <w:sz w:val="20"/>
          <w:szCs w:val="20"/>
        </w:rPr>
        <w:t>Las líneas lógicas de investigación: una contribución del sistema interamericano de derechos humanos al juzgamiento de los crímenes de sistema en marcos de justicia transnacional</w:t>
      </w:r>
      <w:r w:rsidRPr="003B1275">
        <w:rPr>
          <w:rFonts w:ascii="Times New Roman" w:hAnsi="Times New Roman" w:cs="Times New Roman"/>
          <w:sz w:val="20"/>
          <w:szCs w:val="20"/>
        </w:rPr>
        <w:t xml:space="preserve"> Revista Colombiana de Derecho Internacional, Bogotá, 2011, pág. 72.</w:t>
      </w:r>
    </w:p>
  </w:footnote>
  <w:footnote w:id="6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Ver párr. 24 del caso.</w:t>
      </w:r>
    </w:p>
  </w:footnote>
  <w:footnote w:id="6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Ver respuesta aclaratoria 23 del caso.</w:t>
      </w:r>
    </w:p>
  </w:footnote>
  <w:footnote w:id="67">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Style w:val="Strong"/>
          <w:rFonts w:ascii="Times New Roman" w:hAnsi="Times New Roman"/>
          <w:b w:val="0"/>
          <w:sz w:val="20"/>
          <w:szCs w:val="20"/>
        </w:rPr>
        <w:t>Corte IDH. Caso Baena Ricardo y otros vs. Panamá. Excepciones preliminares. Sentencia de 18 de noviembre de 1999. Serie C No. 61.</w:t>
      </w:r>
      <w:r w:rsidRPr="003B1275">
        <w:rPr>
          <w:rFonts w:ascii="Times New Roman" w:hAnsi="Times New Roman"/>
          <w:sz w:val="20"/>
          <w:szCs w:val="20"/>
        </w:rPr>
        <w:t>párr. 156.</w:t>
      </w:r>
    </w:p>
  </w:footnote>
  <w:footnote w:id="68">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CADH, (supra nota 3), artículo 16.</w:t>
      </w:r>
    </w:p>
  </w:footnote>
  <w:footnote w:id="6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CIDH. Informe sobre democracia y DDHH en Venezuela, 30 de diciembre del 2009, párr. 1134; Corte IDH. Caso Huilca Tecse vs. Perú. Fondo, reparaciones y costas. Sentencia del 3 de marzo de 2005. Serie C No. 121, párr. 75.</w:t>
      </w:r>
    </w:p>
  </w:footnote>
  <w:footnote w:id="70">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OIT. Comité de Libertad Sindical. Informe provisional Nro. 233, 1984. Caso Nro. 1233, El Salvador, párr. 682.</w:t>
      </w:r>
    </w:p>
  </w:footnote>
  <w:footnote w:id="71">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OIT. Comité de Libertad Sindical. Informe provisional Nro. 259, 1988. Caso Nro. 1457, Colombia, párr. 607.</w:t>
      </w:r>
    </w:p>
  </w:footnote>
  <w:footnote w:id="7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Ver párr. 22 del caso.</w:t>
      </w:r>
    </w:p>
  </w:footnote>
  <w:footnote w:id="73">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Supra párrs. 30, 34 y 40.</w:t>
      </w:r>
    </w:p>
  </w:footnote>
  <w:footnote w:id="74">
    <w:p w:rsidR="003B1275" w:rsidRPr="003B1275" w:rsidRDefault="003B1275" w:rsidP="003B1275">
      <w:pPr>
        <w:pStyle w:val="NoSpacing"/>
        <w:keepNext/>
        <w:keepLines/>
        <w:pageBreakBefore/>
        <w:suppressLineNumbers/>
        <w:suppressAutoHyphens/>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Myrna Mack Chang vs. Guatemala, (supra nota 27), párr. 156.</w:t>
      </w:r>
    </w:p>
  </w:footnote>
  <w:footnote w:id="7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pt-BR"/>
        </w:rPr>
      </w:pPr>
      <w:r w:rsidRPr="003B1275">
        <w:rPr>
          <w:rStyle w:val="FootnoteReference"/>
          <w:rFonts w:ascii="Times New Roman" w:hAnsi="Times New Roman"/>
          <w:sz w:val="20"/>
          <w:szCs w:val="20"/>
        </w:rPr>
        <w:footnoteRef/>
      </w:r>
      <w:r w:rsidRPr="00B521A4">
        <w:rPr>
          <w:rFonts w:ascii="Times New Roman" w:hAnsi="Times New Roman"/>
          <w:sz w:val="20"/>
          <w:szCs w:val="20"/>
        </w:rPr>
        <w:t xml:space="preserve">Corte IDH. </w:t>
      </w:r>
      <w:r w:rsidRPr="003B1275">
        <w:rPr>
          <w:rFonts w:ascii="Times New Roman" w:hAnsi="Times New Roman"/>
          <w:sz w:val="20"/>
          <w:szCs w:val="20"/>
          <w:lang w:val="pt-BR"/>
        </w:rPr>
        <w:t>Caso Huilca Tecse vs. Perú, (supra nota 69), párr. 70.</w:t>
      </w:r>
    </w:p>
  </w:footnote>
  <w:footnote w:id="76">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pt-BR"/>
        </w:rPr>
      </w:pPr>
      <w:r w:rsidRPr="003B1275">
        <w:rPr>
          <w:rStyle w:val="FootnoteReference"/>
          <w:rFonts w:ascii="Times New Roman" w:hAnsi="Times New Roman"/>
          <w:sz w:val="20"/>
          <w:szCs w:val="20"/>
        </w:rPr>
        <w:footnoteRef/>
      </w:r>
      <w:r w:rsidRPr="003B1275">
        <w:rPr>
          <w:rFonts w:ascii="Times New Roman" w:hAnsi="Times New Roman"/>
          <w:sz w:val="20"/>
          <w:szCs w:val="20"/>
          <w:lang w:val="pt-BR"/>
        </w:rPr>
        <w:t>Corte IDH. Caso Huilca Tecse vs. Perú, (supra nota 69), párr. 78.</w:t>
      </w:r>
    </w:p>
  </w:footnote>
  <w:footnote w:id="77">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pt-BR"/>
        </w:rPr>
        <w:t xml:space="preserve">Corte IDH. </w:t>
      </w:r>
      <w:r w:rsidRPr="00B521A4">
        <w:rPr>
          <w:rFonts w:ascii="Times New Roman" w:hAnsi="Times New Roman"/>
          <w:sz w:val="20"/>
          <w:szCs w:val="20"/>
          <w:lang w:val="es-ES"/>
        </w:rPr>
        <w:t xml:space="preserve">Caso Masacres de Río Negro vs. Guatemala. </w:t>
      </w:r>
      <w:r w:rsidRPr="003B1275">
        <w:rPr>
          <w:rFonts w:ascii="Times New Roman" w:hAnsi="Times New Roman"/>
          <w:sz w:val="20"/>
          <w:szCs w:val="20"/>
        </w:rPr>
        <w:t>Excepción preliminar, fondo, reparaciones y costas. Sentencia del 4 de septiembre de 2012 Serie C No. 250, párr. 167.</w:t>
      </w:r>
    </w:p>
  </w:footnote>
  <w:footnote w:id="7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respuesta aclaratoria 61 del caso.</w:t>
      </w:r>
    </w:p>
  </w:footnote>
  <w:footnote w:id="7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lang w:val="es-US"/>
        </w:rPr>
        <w:t>Supra párr. 19.</w:t>
      </w:r>
    </w:p>
  </w:footnote>
  <w:footnote w:id="80">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CIDH. Informe sobre democracia y DDHH en Venezuela, (supra nota 69), párr. 1117.</w:t>
      </w:r>
    </w:p>
  </w:footnote>
  <w:footnote w:id="81">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de los "Niños de la Calle" (Villagrán Morales y otros) vs. Guatemala. Reparaciones y costas. Sentencia del 26 de mayo de 2001. Serie C No. 77, párr. 174.</w:t>
      </w:r>
    </w:p>
  </w:footnote>
  <w:footnote w:id="82">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Blake vs. Guatemala, (supra nota 18), párrs. 114 y 116.</w:t>
      </w:r>
    </w:p>
  </w:footnote>
  <w:footnote w:id="83">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Luna López vs. Honduras. Fondo, reparaciones y costas. Sentencia del 10 de octubre de 2013. Serie C No. 269, párr. 201.</w:t>
      </w:r>
    </w:p>
  </w:footnote>
  <w:footnote w:id="84">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González y otras ("Campo Algodonero") vs. México, (supra nota 16),</w:t>
      </w:r>
      <w:r w:rsidRPr="003B1275">
        <w:rPr>
          <w:rFonts w:ascii="Times New Roman" w:hAnsi="Times New Roman"/>
          <w:sz w:val="20"/>
          <w:szCs w:val="20"/>
          <w:lang w:val="es-US"/>
        </w:rPr>
        <w:t xml:space="preserve"> párr. 242.</w:t>
      </w:r>
    </w:p>
  </w:footnote>
  <w:footnote w:id="85">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 xml:space="preserve">Corte IDH. Caso Tarazona Arrieta y Otros vs. Perú. Excepción preliminar, fondo, reparaciones y costas. Sentencia del 15 de octubre de 2014. Serie C No. 286, párr. </w:t>
      </w:r>
      <w:r w:rsidRPr="003B1275">
        <w:rPr>
          <w:rFonts w:ascii="Times New Roman" w:hAnsi="Times New Roman"/>
          <w:sz w:val="20"/>
          <w:szCs w:val="20"/>
          <w:lang w:val="es-US"/>
        </w:rPr>
        <w:t>145.</w:t>
      </w:r>
    </w:p>
  </w:footnote>
  <w:footnote w:id="86">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Corte IDH. Caso Valle Jaramillo y otros vs. Colombia. Fondo, reparaciones y costas. Sentencia del 27 de noviembre de 2008. Serie C No. 192, párr. 119.</w:t>
      </w:r>
    </w:p>
  </w:footnote>
  <w:footnote w:id="87">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 xml:space="preserve">Corte IDH. Caso Veliz Franco y otros vs. Guatemala. Excepciones preliminares, fondo, reparaciones y costas. Sentencia del 19 de mayo de 2014. Serie C No. 277, </w:t>
      </w:r>
      <w:r w:rsidRPr="003B1275">
        <w:rPr>
          <w:rFonts w:ascii="Times New Roman" w:hAnsi="Times New Roman"/>
          <w:sz w:val="20"/>
          <w:szCs w:val="20"/>
          <w:lang w:val="es-US"/>
        </w:rPr>
        <w:t>párr. 250.</w:t>
      </w:r>
    </w:p>
  </w:footnote>
  <w:footnote w:id="8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Bámaca Velásquez vs. Guatemala. Fondo. Sentencia del 25 de noviembre de 2000. Serie C No. 70, párrs 162 y 163.</w:t>
      </w:r>
    </w:p>
  </w:footnote>
  <w:footnote w:id="89">
    <w:p w:rsidR="003B1275" w:rsidRPr="003B1275" w:rsidRDefault="003B1275" w:rsidP="003B1275">
      <w:pPr>
        <w:pStyle w:val="NoSpacing"/>
        <w:keepNext/>
        <w:keepLines/>
        <w:pageBreakBefore/>
        <w:suppressLineNumbers/>
        <w:suppressAutoHyphens/>
        <w:jc w:val="both"/>
        <w:rPr>
          <w:rFonts w:ascii="Times New Roman" w:hAnsi="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sz w:val="20"/>
          <w:szCs w:val="20"/>
        </w:rPr>
        <w:t>Ver respuesta aclaratoria 42 del caso.</w:t>
      </w:r>
    </w:p>
  </w:footnote>
  <w:footnote w:id="9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ONU. Convención sobre los Derechos del niño. Adoptada el 20 de noviembre de 1989, artículo 1.</w:t>
      </w:r>
    </w:p>
  </w:footnote>
  <w:footnote w:id="9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Ruano Torres vs. El Salvador. Fondo, reparaciones y costas. Sentencia del 5 de octubre del 2015. Serie C No. 303, párr. 185.</w:t>
      </w:r>
    </w:p>
  </w:footnote>
  <w:footnote w:id="9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ONU. Convención sobre los Derechos del Niño, (supra nota 90), artículo 8.2.</w:t>
      </w:r>
    </w:p>
  </w:footnote>
  <w:footnote w:id="9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pt-BR"/>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CADH, (supra nota 3), art. 25.</w:t>
      </w:r>
    </w:p>
  </w:footnote>
  <w:footnote w:id="9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w:t>
      </w:r>
      <w:r w:rsidRPr="003B1275">
        <w:rPr>
          <w:rFonts w:ascii="Times New Roman" w:hAnsi="Times New Roman" w:cs="Times New Roman"/>
          <w:sz w:val="20"/>
          <w:szCs w:val="20"/>
        </w:rPr>
        <w:t>Caso Chocrón Chocrón vs. Venezuela. Excepción preliminar, fondo, reparaciones y costas. Sentencia del 1 de julio de 2011. Serie C No. 227 párr. 127.</w:t>
      </w:r>
    </w:p>
  </w:footnote>
  <w:footnote w:id="9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iCs/>
          <w:sz w:val="20"/>
          <w:szCs w:val="20"/>
        </w:rPr>
        <w:t xml:space="preserve">Corte IDH. Caso Apitz Barbera y otros vs. Venezuela. Excepción preliminar, fondo, reparaciones y costas. Sentencia del 5 de agosto de 2008. Serie C No. 182, </w:t>
      </w:r>
      <w:r w:rsidRPr="003B1275">
        <w:rPr>
          <w:rFonts w:ascii="Times New Roman" w:hAnsi="Times New Roman" w:cs="Times New Roman"/>
          <w:sz w:val="20"/>
          <w:szCs w:val="20"/>
        </w:rPr>
        <w:t>párr. 78.</w:t>
      </w:r>
      <w:r w:rsidRPr="003B1275">
        <w:rPr>
          <w:rStyle w:val="apple-converted-space"/>
          <w:rFonts w:ascii="Times New Roman" w:hAnsi="Times New Roman"/>
          <w:sz w:val="20"/>
          <w:szCs w:val="20"/>
        </w:rPr>
        <w:t> </w:t>
      </w:r>
    </w:p>
  </w:footnote>
  <w:footnote w:id="9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Chaparro Álvarez y Lapo Íñiguez vs. Ecuador. Excepción preliminar, fondo, reparaciones y costas. Sentencia del 21 de noviembre de 2007. Serie C No. 170, párr. 118.</w:t>
      </w:r>
    </w:p>
  </w:footnote>
  <w:footnote w:id="9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párr.40 del caso.</w:t>
      </w:r>
    </w:p>
  </w:footnote>
  <w:footnote w:id="9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párr.40 del caso.</w:t>
      </w:r>
    </w:p>
  </w:footnote>
  <w:footnote w:id="9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Corte IDH. Garantías Judiciales en Estados de Emergencia (arts. 27.2, 25 y 8 CADH). Opinión Consultiva OC-9/87 del 6 de octubre de 1987. Serie A No. 9, párr. 23.</w:t>
      </w:r>
    </w:p>
  </w:footnote>
  <w:footnote w:id="10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Furlan y Familiares vs. Argentina. Excepciones preliminares, fondo, reparaciones y costas. Sentencia del 31 de agosto de 2012 Serie C No. 246, párr. 303.</w:t>
      </w:r>
    </w:p>
  </w:footnote>
  <w:footnote w:id="10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U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"La Última Tentación de Cristo" (Olmedo Bustos y otros) vs. Chile. Fondo, reparaciones y costas. Sentencia del 5 de febrero de 2001. Serie C No. 73, párr.  99.</w:t>
      </w:r>
    </w:p>
  </w:footnote>
  <w:footnote w:id="10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Fermín Ramírez vs. Guatemala. Fondo, reparaciones y costas. Sentencia del 20 de junio de 2005. Serie C No. 126, párr. 74.</w:t>
      </w:r>
    </w:p>
  </w:footnote>
  <w:footnote w:id="10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LOUTAYF RANEA, Roberto, </w:t>
      </w:r>
      <w:r w:rsidRPr="003B1275">
        <w:rPr>
          <w:rFonts w:ascii="Times New Roman" w:hAnsi="Times New Roman" w:cs="Times New Roman"/>
          <w:i/>
          <w:sz w:val="20"/>
          <w:szCs w:val="20"/>
        </w:rPr>
        <w:t>El recurso ordinario de apelación en el proceso civil</w:t>
      </w:r>
      <w:r w:rsidRPr="003B1275">
        <w:rPr>
          <w:rFonts w:ascii="Times New Roman" w:hAnsi="Times New Roman" w:cs="Times New Roman"/>
          <w:sz w:val="20"/>
          <w:szCs w:val="20"/>
        </w:rPr>
        <w:t>,  editorial Astrea, 2009, Buenos Aires, Argentina, pág. 117.</w:t>
      </w:r>
    </w:p>
  </w:footnote>
  <w:footnote w:id="10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Caso Comunidad Indígena Sawhoyamaxa vs. Paraguay. </w:t>
      </w:r>
      <w:r w:rsidRPr="003B1275">
        <w:rPr>
          <w:rFonts w:ascii="Times New Roman" w:hAnsi="Times New Roman" w:cs="Times New Roman"/>
          <w:sz w:val="20"/>
          <w:szCs w:val="20"/>
          <w:lang w:val="es-ES_tradnl"/>
        </w:rPr>
        <w:t>Fondo, reparaciones y costas. Sentencia del 29 de marzo de 2006. Serie C No. 146</w:t>
      </w:r>
      <w:r w:rsidRPr="003B1275">
        <w:rPr>
          <w:rFonts w:ascii="Times New Roman" w:hAnsi="Times New Roman" w:cs="Times New Roman"/>
          <w:sz w:val="20"/>
          <w:szCs w:val="20"/>
        </w:rPr>
        <w:t>, párr. 120.</w:t>
      </w:r>
    </w:p>
  </w:footnote>
  <w:footnote w:id="10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 la Comunidad Mayagna (Sumo) Awas Tingni vs. Nicaragua. Fondo, reparaciones y costas. Sentencia del 31 de agosto de 2001. Serie C No. 79, párrs. 148 y 149.</w:t>
      </w:r>
    </w:p>
  </w:footnote>
  <w:footnote w:id="10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Comunidad Garífuna Triunfo de la Cruz y sus Miembros vs. Honduras. Fondo, reparaciones y costas. Sentencia del 08 de octubre de 2015. Serie C No. 305, párr. 101.</w:t>
      </w:r>
    </w:p>
  </w:footnote>
  <w:footnote w:id="10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Comunidad Garífuna Triunfo de la Cruz y sus Miembros vs. Honduras, (supra nota 106), párr. 103.</w:t>
      </w:r>
    </w:p>
  </w:footnote>
  <w:footnote w:id="10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OIT. Convenio 169 sobre Pueblos Indígenas y Tribales en Países Independientes, art. 6 y Declaración de las Naciones Unidas sobre los derechos de los pueblos indígenas, art. 19.</w:t>
      </w:r>
    </w:p>
  </w:footnote>
  <w:footnote w:id="10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Caso Palamara Iribarne vs. Chile. </w:t>
      </w:r>
      <w:r w:rsidRPr="003B1275">
        <w:rPr>
          <w:rFonts w:ascii="Times New Roman" w:hAnsi="Times New Roman" w:cs="Times New Roman"/>
          <w:sz w:val="20"/>
          <w:szCs w:val="20"/>
        </w:rPr>
        <w:t>Fondo, reparaciones y costas. Sentencia del 22 de noviembre de 2005. Serie C No. 135, párr. 85.</w:t>
      </w:r>
    </w:p>
  </w:footnote>
  <w:footnote w:id="11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Comunidad Indígena Yakye Axa vs. Paraguay. Fondo reparaciones y costas. Sentencia del 17 de junio de 2005. Serie C No. 125, párrs. 124, 135 y 137.</w:t>
      </w:r>
    </w:p>
  </w:footnote>
  <w:footnote w:id="11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Comunidad Garífuna Triunfo de la Cruz y sus Miembros vs. Honduras, (supra nota 106), párr. 155.</w:t>
      </w:r>
    </w:p>
  </w:footnote>
  <w:footnote w:id="11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 Corte IDH. Caso Pueblo Indígena Kichwa de Sarayaku vs. Ecuador, (supra nota 1), párr. 156.</w:t>
      </w:r>
    </w:p>
  </w:footnote>
  <w:footnote w:id="11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La Expresión "Leyes" en el Artículo 30 de la CADH. Opinión Consultiva OC-6/86 del 9 de mayo de 1986. Serie A No. 6, párr. 37</w:t>
      </w:r>
    </w:p>
  </w:footnote>
  <w:footnote w:id="11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Acevedo Buendía y otros (“Cesantes y Jubilados de la Contraloría”) vs. Perú. Supervisión de cumplimiento de sentencia. Resolución de la Corte IDH del 28 de enero de 2015, párr. 100.</w:t>
      </w:r>
    </w:p>
  </w:footnote>
  <w:footnote w:id="11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Acevedo Buendía y otros (“Cesantes y Jubilados de la Contraloría”) vs. Perú. Excepción preliminar, fondo, reparaciones y costas. Sentencia del 1 de julio de 2009 Serie C No. 198, párr. 97</w:t>
      </w:r>
    </w:p>
  </w:footnote>
  <w:footnote w:id="11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Voto conjunto concurrente de los jueces Roberto F. Caldas Y Eduardo Ferrer Mac-Gregor Poisot, Caso Canales Huapaya y otros vs. Perú. Excepciones preliminares, fondo, reparaciones y costas. Sentencia del 24 de junio de 2015. Serie C No. 296, párr. 19.</w:t>
      </w:r>
    </w:p>
  </w:footnote>
  <w:footnote w:id="11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Acevedo Buendía y otros vs. Perú, (supra nota 115), párr. 100.</w:t>
      </w:r>
    </w:p>
  </w:footnote>
  <w:footnote w:id="11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Voto conjunto concurrente de los jueces Roberto F. Caldas y Eduardo Ferrer Mac-Gregor Poisot, Caso Canales Huapaya y otros vs. Perú, (supra nota 116), párr. 21.</w:t>
      </w:r>
    </w:p>
  </w:footnote>
  <w:footnote w:id="11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 la “Masacre de Mapiripán” vs. Colombia. Supervisión de cumplimiento de sentencia. Resolución de la Corte IDH del 23 de noviembre de 2012, párr. 188.</w:t>
      </w:r>
    </w:p>
  </w:footnote>
  <w:footnote w:id="120">
    <w:p w:rsidR="003B1275" w:rsidRPr="003B1275" w:rsidRDefault="003B1275" w:rsidP="003B1275">
      <w:pPr>
        <w:pStyle w:val="FootnoteText"/>
        <w:keepNext/>
        <w:keepLines/>
        <w:pageBreakBefore/>
        <w:suppressLineNumbers/>
        <w:suppressAutoHyphens/>
        <w:rPr>
          <w:rFonts w:ascii="Times New Roman" w:eastAsia="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OEA. </w:t>
      </w:r>
      <w:r w:rsidRPr="003B1275">
        <w:rPr>
          <w:rFonts w:ascii="Times New Roman" w:eastAsia="Times New Roman" w:hAnsi="Times New Roman" w:cs="Times New Roman"/>
          <w:sz w:val="20"/>
          <w:szCs w:val="20"/>
        </w:rPr>
        <w:t>Protocolo Adicional a la CADH en Materia de DESC,  "Protocolo de San Salvador", 1988, art. 4.</w:t>
      </w:r>
    </w:p>
  </w:footnote>
  <w:footnote w:id="12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Voto conjunto concurrente de los jueces Roberto F. Caldas y Eduardo Ferrer Mac-Gregor Poisot, Caso Canales Huapaya y otros vs. Perú, (supra nota 116), párr. 19.</w:t>
      </w:r>
    </w:p>
  </w:footnote>
  <w:footnote w:id="12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US"/>
        </w:rPr>
        <w:t>CADH, (supra nota 3), preámbulo, párr. 4.</w:t>
      </w:r>
    </w:p>
  </w:footnote>
  <w:footnote w:id="12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Acevedo Buendía y otros vs. Perú, (supra nota 115), párr. 99.</w:t>
      </w:r>
    </w:p>
  </w:footnote>
  <w:footnote w:id="12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"Cinco Pensionistas" vs. Perú. Fondo, reparaciones y costas. Sentencia del 28 de febrero de 2003. Serie C No. 98, párr. 102.</w:t>
      </w:r>
    </w:p>
  </w:footnote>
  <w:footnote w:id="12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Voto concurrente del juez Humberto Sierra Porto, Caso Gonzales Lluy vs. Ecuador. Excepciones preliminares, fondo, reparaciones y costas. Sentencia del 01 de septiembre de 2015. Serie C No. 298, párr. 11.</w:t>
      </w:r>
    </w:p>
  </w:footnote>
  <w:footnote w:id="12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Style w:val="Strong"/>
          <w:rFonts w:ascii="Times New Roman" w:hAnsi="Times New Roman" w:cs="Times New Roman"/>
          <w:b w:val="0"/>
          <w:sz w:val="20"/>
          <w:szCs w:val="20"/>
        </w:rPr>
        <w:t>Corte IDH. Caso Canales Huapaya y otros vs. Perú. Excepciones preliminares, fondo, reparaciones y costas. Sentencia de 24 de junio de 2015. Serie C No. 296</w:t>
      </w:r>
      <w:r w:rsidRPr="003B1275">
        <w:rPr>
          <w:rFonts w:ascii="Times New Roman" w:hAnsi="Times New Roman" w:cs="Times New Roman"/>
          <w:sz w:val="20"/>
          <w:szCs w:val="20"/>
        </w:rPr>
        <w:t xml:space="preserve"> párrs, 31, 35, 45 y 46; </w:t>
      </w:r>
      <w:r w:rsidRPr="003B1275">
        <w:rPr>
          <w:rStyle w:val="Strong"/>
          <w:rFonts w:ascii="Times New Roman" w:hAnsi="Times New Roman" w:cs="Times New Roman"/>
          <w:b w:val="0"/>
          <w:sz w:val="20"/>
          <w:szCs w:val="20"/>
        </w:rPr>
        <w:t>Caso Gonzales Lluy y otros vs. Ecuador. Excepciones preliminares, fondo, reparaciones y costas. Sentencia del 01 de septiembre de 2015. Serie C No. 298,</w:t>
      </w:r>
      <w:r w:rsidRPr="003B1275">
        <w:rPr>
          <w:rFonts w:ascii="Times New Roman" w:hAnsi="Times New Roman" w:cs="Times New Roman"/>
          <w:sz w:val="20"/>
          <w:szCs w:val="20"/>
        </w:rPr>
        <w:t xml:space="preserve"> párrs. 193, 234, 253, 254.</w:t>
      </w:r>
    </w:p>
  </w:footnote>
  <w:footnote w:id="12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Comité de las Naciones Unidas sobre los DESC. Observación general Nº 15 El derecho al agua (arts. 11 y 12 del Pacto Internacional de Derechos Económicos, Sociales y Culturales), 34º período de sesiones, 2005, párr. 19.</w:t>
      </w:r>
    </w:p>
  </w:footnote>
  <w:footnote w:id="12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Acevedo Buendía y otros vs. Perú, (supra nota 115), párr. 103.</w:t>
      </w:r>
    </w:p>
  </w:footnote>
  <w:footnote w:id="12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CIDH, Caso 12.670, “Asociación Nacional de Ex Servidores del Instituto Peruano de Seguridad Social y otras vs. Perú”, Informe Nº38/09, Admisibilidad y fondo, 27 de marzo de 2009, párrs. 140 - 147</w:t>
      </w:r>
    </w:p>
  </w:footnote>
  <w:footnote w:id="130">
    <w:p w:rsidR="003B1275" w:rsidRPr="003B1275" w:rsidRDefault="003B1275" w:rsidP="003B1275">
      <w:pPr>
        <w:keepNext/>
        <w:keepLines/>
        <w:pageBreakBefore/>
        <w:suppressLineNumbers/>
        <w:suppressAutoHyphens/>
        <w:spacing w:after="0" w:line="240" w:lineRule="auto"/>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sz w:val="20"/>
          <w:szCs w:val="20"/>
          <w:shd w:val="clear" w:color="auto" w:fill="FEFEFE"/>
        </w:rPr>
        <w:t>Declaración de Kyoto de los pueblos indígenas sobre el agua, Tercer Foro Mundial, Tokio, Japón, 2003, párr. 3.</w:t>
      </w:r>
    </w:p>
  </w:footnote>
  <w:footnote w:id="13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Comité de las Naciones Unidas sobre los DESC, (supra nota 127), párr. 6.</w:t>
      </w:r>
    </w:p>
  </w:footnote>
  <w:footnote w:id="13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ES_tradnl"/>
        </w:rPr>
      </w:pPr>
      <w:r w:rsidRPr="003B1275">
        <w:rPr>
          <w:rStyle w:val="FootnoteReference"/>
          <w:rFonts w:ascii="Times New Roman" w:hAnsi="Times New Roman"/>
          <w:sz w:val="20"/>
          <w:szCs w:val="20"/>
          <w:lang w:val="es-ES_tradnl"/>
        </w:rPr>
        <w:footnoteRef/>
      </w:r>
      <w:r w:rsidRPr="003B1275">
        <w:rPr>
          <w:rFonts w:ascii="Times New Roman" w:hAnsi="Times New Roman" w:cs="Times New Roman"/>
          <w:sz w:val="20"/>
          <w:szCs w:val="20"/>
          <w:lang w:val="es-ES_tradnl"/>
        </w:rPr>
        <w:t>Corte IDH. Caso Comunidad Indígena Yakye Axa vs. Paraguay. Interpretación de la sentencia de fondo, reparaciones y costas. Sentencia del 6 de febrero de 2006. Serie C No. 142, párrs. 124 y 137; Caso Comunidad Indígena Sawhoyamaxa vs. Paraguay, (supra nota 104), párrs. 118 y 121.</w:t>
      </w:r>
    </w:p>
  </w:footnote>
  <w:footnote w:id="13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pt-BR"/>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Comité de las Naciones Unidas sobre los DESC. Observación general Nº 3, la índole de las obligaciones de los Estado parte, 5° periodo de sesiones, 1990, párr. </w:t>
      </w:r>
      <w:r w:rsidRPr="003B1275">
        <w:rPr>
          <w:rFonts w:ascii="Times New Roman" w:hAnsi="Times New Roman" w:cs="Times New Roman"/>
          <w:sz w:val="20"/>
          <w:szCs w:val="20"/>
          <w:lang w:val="pt-BR"/>
        </w:rPr>
        <w:t>10.</w:t>
      </w:r>
    </w:p>
  </w:footnote>
  <w:footnote w:id="13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Caso "Cinco Pensionistas" vs. Perú, (supra nota 124), párr. </w:t>
      </w:r>
      <w:r w:rsidRPr="003B1275">
        <w:rPr>
          <w:rFonts w:ascii="Times New Roman" w:hAnsi="Times New Roman" w:cs="Times New Roman"/>
          <w:sz w:val="20"/>
          <w:szCs w:val="20"/>
        </w:rPr>
        <w:t>147; Voto concurrente razonado del juez Sergio García Ramírez en el mismo caso, pág 3; CIDH, Informe Nº 38/09, Admisibilidad y Fondo. Caso 12.670, “Asociación Nacional de Ex Servidores del Instituto Peruano de Seguridad Social y otras vs. Perú”, (supra nota 129), párr. 140.</w:t>
      </w:r>
    </w:p>
  </w:footnote>
  <w:footnote w:id="13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pt-BR"/>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Corte IDH. Voto conjunto concurrente de los Jueces Roberto F. Caldas y Eduardo Ferrer Mac-Gregor Poisot, Caso Canales Huapaya y otros vs. Perú, (supra nota 116), párr. </w:t>
      </w:r>
      <w:r w:rsidRPr="003B1275">
        <w:rPr>
          <w:rFonts w:ascii="Times New Roman" w:hAnsi="Times New Roman" w:cs="Times New Roman"/>
          <w:sz w:val="20"/>
          <w:szCs w:val="20"/>
          <w:lang w:val="pt-BR"/>
        </w:rPr>
        <w:t>31.</w:t>
      </w:r>
    </w:p>
  </w:footnote>
  <w:footnote w:id="13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pt-BR"/>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Corte IDH. Caso Comunidad Indígena Yakye Axa vs. Paraguay, (supra nota 110), párr. 147.</w:t>
      </w:r>
    </w:p>
  </w:footnote>
  <w:footnote w:id="13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pt-BR"/>
        </w:rPr>
        <w:t xml:space="preserve">Corte IDH. </w:t>
      </w:r>
      <w:r w:rsidRPr="003B1275">
        <w:rPr>
          <w:rFonts w:ascii="Times New Roman" w:hAnsi="Times New Roman" w:cs="Times New Roman"/>
          <w:sz w:val="20"/>
          <w:szCs w:val="20"/>
        </w:rPr>
        <w:t>Caso del Pueblo Saramaka. vs. Surinam. Excepciones preliminares, fondo, reparaciones y costas. Sentencia del 28 de noviembre de 2007. Serie C No. 172, párr. 121.</w:t>
      </w:r>
    </w:p>
  </w:footnote>
  <w:footnote w:id="138">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del Pueblo Saramaka vs. Surinam. Interpretación de la sentencia de excepciones preliminares, fondo, reparaciones y costas. Sentencia del 12 de agosto de 2008 Serie C No. 185, párr. 29.</w:t>
      </w:r>
    </w:p>
  </w:footnote>
  <w:footnote w:id="13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Corte IDH. Caso Comunidad Indígena Yakye Axa vs. Paraguay, (supra nota 110), párr. 154; </w:t>
      </w:r>
      <w:r w:rsidRPr="003B1275">
        <w:rPr>
          <w:rFonts w:ascii="Times New Roman" w:hAnsi="Times New Roman" w:cs="Times New Roman"/>
          <w:sz w:val="20"/>
          <w:szCs w:val="20"/>
          <w:lang w:val="es-ES_tradnl"/>
        </w:rPr>
        <w:t>CDH. Comentario General No. 23, Los derechos de las minorías, quincuagésima sesión, 1994, art. 27.</w:t>
      </w:r>
    </w:p>
  </w:footnote>
  <w:footnote w:id="140">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OIT. Convenio 169 sobre Pueblos Indígenas y Tribales, 1989,</w:t>
      </w:r>
      <w:r w:rsidRPr="003B1275">
        <w:rPr>
          <w:rFonts w:ascii="Times New Roman" w:hAnsi="Times New Roman" w:cs="Times New Roman"/>
          <w:color w:val="373E4D"/>
          <w:sz w:val="20"/>
          <w:szCs w:val="20"/>
          <w:shd w:val="clear" w:color="auto" w:fill="FEFEFE"/>
        </w:rPr>
        <w:t xml:space="preserve"> </w:t>
      </w:r>
      <w:r w:rsidRPr="003B1275">
        <w:rPr>
          <w:rFonts w:ascii="Times New Roman" w:hAnsi="Times New Roman" w:cs="Times New Roman"/>
          <w:color w:val="000000" w:themeColor="text1"/>
          <w:sz w:val="20"/>
          <w:szCs w:val="20"/>
          <w:shd w:val="clear" w:color="auto" w:fill="FEFEFE"/>
        </w:rPr>
        <w:t>Presentación, párr. 8.</w:t>
      </w:r>
    </w:p>
  </w:footnote>
  <w:footnote w:id="14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Pueblo Indígena Kichwa de Sarayaku vs. Ecuador, (supra nota 1),  párrs. 219 y 220.</w:t>
      </w:r>
    </w:p>
  </w:footnote>
  <w:footnote w:id="14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shd w:val="clear" w:color="auto" w:fill="FFFFFF"/>
        </w:rPr>
        <w:t xml:space="preserve">ANAYA, James. </w:t>
      </w:r>
      <w:r w:rsidRPr="003B1275">
        <w:rPr>
          <w:rFonts w:ascii="Times New Roman" w:hAnsi="Times New Roman" w:cs="Times New Roman"/>
          <w:i/>
          <w:sz w:val="20"/>
          <w:szCs w:val="20"/>
        </w:rPr>
        <w:t>Los pueblos indígenas y el Estado multicultural</w:t>
      </w:r>
      <w:r w:rsidRPr="003B1275">
        <w:rPr>
          <w:rFonts w:ascii="Times New Roman" w:hAnsi="Times New Roman" w:cs="Times New Roman"/>
          <w:sz w:val="20"/>
          <w:szCs w:val="20"/>
          <w:shd w:val="clear" w:color="auto" w:fill="FFFFFF"/>
        </w:rPr>
        <w:t>, Biblioteca Jurídica Virtual del Instituto de Investigaciones Jurídicas de la UNAM, México, 2012, pág 21</w:t>
      </w:r>
    </w:p>
  </w:footnote>
  <w:footnote w:id="14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Voto disidente conjunto de los jueces Antonio Cançado Trindade y Manuel Ventura Robles, Caso Comunidad Indígena Yakye Axa vs. Paraguay, (supra nota 110), párr. 18.</w:t>
      </w:r>
    </w:p>
  </w:footnote>
  <w:footnote w:id="14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 la Comunidad Moiwana vs. Surinam. Excepciones preliminares, fondo, reparaciones y costas. Sentencia del 15 de junio de 2005. Serie C No. 124, párrs. 101 - 103.</w:t>
      </w:r>
    </w:p>
  </w:footnote>
  <w:footnote w:id="145">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 la Comunidad Moiwana vs. Surinam, (supra nota 144), párrs. 101 - 103.</w:t>
      </w:r>
    </w:p>
  </w:footnote>
  <w:footnote w:id="146">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Comisión Internacional de Juristas, Principios de Maastricht sobre las Obligaciones Extraterritoriales de los </w:t>
      </w:r>
    </w:p>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Fonts w:ascii="Times New Roman" w:hAnsi="Times New Roman" w:cs="Times New Roman"/>
          <w:sz w:val="20"/>
          <w:szCs w:val="20"/>
        </w:rPr>
        <w:t>Estados en el Área de los DESC, tercer principio.</w:t>
      </w:r>
    </w:p>
  </w:footnote>
  <w:footnote w:id="14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 xml:space="preserve">GALVIS, María. </w:t>
      </w:r>
      <w:r w:rsidRPr="003B1275">
        <w:rPr>
          <w:rFonts w:ascii="Times New Roman" w:hAnsi="Times New Roman" w:cs="Times New Roman"/>
          <w:i/>
          <w:sz w:val="20"/>
          <w:szCs w:val="20"/>
          <w:lang w:val="es-US"/>
        </w:rPr>
        <w:t>La obligación estatal de prevenir las conductas de particulares contrarias al derecho</w:t>
      </w:r>
      <w:r w:rsidRPr="003B1275">
        <w:rPr>
          <w:rFonts w:ascii="Times New Roman" w:hAnsi="Times New Roman" w:cs="Times New Roman"/>
          <w:sz w:val="20"/>
          <w:szCs w:val="20"/>
          <w:lang w:val="es-US"/>
        </w:rPr>
        <w:t>. Revista de la Fundación para el Debido Proceso, Washington D.C, 2011, pág. 14.</w:t>
      </w:r>
    </w:p>
  </w:footnote>
  <w:footnote w:id="148">
    <w:p w:rsidR="003B1275" w:rsidRPr="003B1275" w:rsidRDefault="003B1275" w:rsidP="003B1275">
      <w:pPr>
        <w:keepNext/>
        <w:keepLines/>
        <w:pageBreakBefore/>
        <w:suppressLineNumbers/>
        <w:suppressAutoHyphens/>
        <w:autoSpaceDE w:val="0"/>
        <w:autoSpaceDN w:val="0"/>
        <w:adjustRightInd w:val="0"/>
        <w:spacing w:after="0" w:line="240" w:lineRule="auto"/>
        <w:jc w:val="both"/>
        <w:rPr>
          <w:rFonts w:ascii="Times New Roman" w:eastAsia="BitstreamVeraSans-Roman" w:hAnsi="Times New Roman"/>
          <w:sz w:val="20"/>
          <w:szCs w:val="20"/>
        </w:rPr>
      </w:pPr>
      <w:r w:rsidRPr="003B1275">
        <w:rPr>
          <w:rStyle w:val="FootnoteReference"/>
          <w:rFonts w:ascii="Times New Roman" w:hAnsi="Times New Roman"/>
          <w:sz w:val="20"/>
          <w:szCs w:val="20"/>
        </w:rPr>
        <w:footnoteRef/>
      </w:r>
      <w:r w:rsidRPr="003B1275">
        <w:rPr>
          <w:rFonts w:ascii="Times New Roman" w:eastAsia="BitstreamVeraSans-Roman" w:hAnsi="Times New Roman"/>
          <w:sz w:val="20"/>
          <w:szCs w:val="20"/>
        </w:rPr>
        <w:t>ONU. Convención de Noumea sobre la protección de los Recursos Naturales y el Medio Ambiente del Pacifico Sur, 1986, art. 4.6.</w:t>
      </w:r>
    </w:p>
  </w:footnote>
  <w:footnote w:id="149">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E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lang w:val="es-ES"/>
        </w:rPr>
        <w:t>TEDH. Caso Soering vs Reino Unido. Solicitud 88/90. Sentencia, 1989, párr. 52; Caso</w:t>
      </w:r>
      <w:r w:rsidRPr="003B1275">
        <w:rPr>
          <w:rFonts w:ascii="Times New Roman" w:hAnsi="Times New Roman" w:cs="Times New Roman"/>
          <w:sz w:val="20"/>
          <w:szCs w:val="20"/>
        </w:rPr>
        <w:t xml:space="preserve"> Drozd y otro vs. Francia y España. Solicitud 54657/91. Sentencia, 1992</w:t>
      </w:r>
      <w:r w:rsidRPr="003B1275">
        <w:rPr>
          <w:rFonts w:ascii="Times New Roman" w:hAnsi="Times New Roman" w:cs="Times New Roman"/>
          <w:sz w:val="20"/>
          <w:szCs w:val="20"/>
          <w:lang w:val="es-ES"/>
        </w:rPr>
        <w:t>, párr. 91.</w:t>
      </w:r>
    </w:p>
  </w:footnote>
  <w:footnote w:id="150">
    <w:p w:rsidR="003B1275" w:rsidRPr="003B1275" w:rsidRDefault="003B1275" w:rsidP="003B1275">
      <w:pPr>
        <w:pStyle w:val="FootnoteText"/>
        <w:keepNext/>
        <w:keepLines/>
        <w:pageBreakBefore/>
        <w:suppressLineNumbers/>
        <w:suppressAutoHyphens/>
        <w:ind w:left="708" w:hanging="708"/>
        <w:jc w:val="both"/>
        <w:rPr>
          <w:rFonts w:ascii="Times New Roman" w:hAnsi="Times New Roman" w:cs="Times New Roman"/>
          <w:sz w:val="20"/>
          <w:szCs w:val="20"/>
          <w:shd w:val="clear" w:color="auto" w:fill="FFFFFF"/>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CIJ. Caso “Plantas de celulosa sobre el río Uruguay” (Argentina vs. Uruguay). Sentencia del 20 de abril del 2010</w:t>
      </w:r>
      <w:r w:rsidRPr="003B1275">
        <w:rPr>
          <w:rFonts w:ascii="Times New Roman" w:hAnsi="Times New Roman" w:cs="Times New Roman"/>
          <w:sz w:val="20"/>
          <w:szCs w:val="20"/>
          <w:shd w:val="clear" w:color="auto" w:fill="FFFFFF"/>
        </w:rPr>
        <w:t xml:space="preserve">, </w:t>
      </w:r>
    </w:p>
    <w:p w:rsidR="003B1275" w:rsidRPr="003B1275" w:rsidRDefault="003B1275" w:rsidP="003B1275">
      <w:pPr>
        <w:pStyle w:val="FootnoteText"/>
        <w:keepNext/>
        <w:keepLines/>
        <w:pageBreakBefore/>
        <w:suppressLineNumbers/>
        <w:suppressAutoHyphens/>
        <w:ind w:left="708" w:hanging="708"/>
        <w:jc w:val="both"/>
        <w:rPr>
          <w:rFonts w:ascii="Times New Roman" w:hAnsi="Times New Roman" w:cs="Times New Roman"/>
          <w:sz w:val="20"/>
          <w:szCs w:val="20"/>
        </w:rPr>
      </w:pPr>
      <w:r w:rsidRPr="003B1275">
        <w:rPr>
          <w:rFonts w:ascii="Times New Roman" w:hAnsi="Times New Roman" w:cs="Times New Roman"/>
          <w:sz w:val="20"/>
          <w:szCs w:val="20"/>
        </w:rPr>
        <w:t xml:space="preserve">párr. </w:t>
      </w:r>
      <w:r w:rsidRPr="003B1275">
        <w:rPr>
          <w:rFonts w:ascii="Times New Roman" w:hAnsi="Times New Roman" w:cs="Times New Roman"/>
          <w:sz w:val="20"/>
          <w:szCs w:val="20"/>
          <w:shd w:val="clear" w:color="auto" w:fill="FFFFFF"/>
        </w:rPr>
        <w:t>119.</w:t>
      </w:r>
    </w:p>
  </w:footnote>
  <w:footnote w:id="151">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CIJ. Caso “Ciertas actividades llevadas a cabo por Nicaragua en la zona fronteriza” (Costa Rica vs. Nicaragua). Sentencia del 16 de diciembre de 2015, párr. 153.</w:t>
      </w:r>
    </w:p>
  </w:footnote>
  <w:footnote w:id="152">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lang w:val="es-ES"/>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CIJ. Caso “Ciertas actividades llevadas a cabo por Nicaragua en la zona fronteriza” (Costa Rica vs. Nicaragua), (supra nota 151), párr. 104.</w:t>
      </w:r>
    </w:p>
  </w:footnote>
  <w:footnote w:id="153">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del Tribunal Constitucional vs. Perú, (supra nota 60), párr. 69.</w:t>
      </w:r>
    </w:p>
  </w:footnote>
  <w:footnote w:id="154">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Corte IDH. Caso Baena Ricardo y otros vs. Panamá, (supra nota 67), párr. 127.</w:t>
      </w:r>
    </w:p>
  </w:footnote>
  <w:footnote w:id="155">
    <w:p w:rsidR="003B1275" w:rsidRPr="003B1275" w:rsidRDefault="003B1275" w:rsidP="003B1275">
      <w:pPr>
        <w:pStyle w:val="FootnoteText"/>
        <w:keepNext/>
        <w:keepLines/>
        <w:pageBreakBefore/>
        <w:suppressLineNumbers/>
        <w:suppressAutoHyphens/>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párr. 34 del caso.</w:t>
      </w:r>
    </w:p>
  </w:footnote>
  <w:footnote w:id="156">
    <w:p w:rsidR="003B1275" w:rsidRPr="003B1275" w:rsidRDefault="003B1275" w:rsidP="003B1275">
      <w:pPr>
        <w:keepNext/>
        <w:keepLines/>
        <w:pageBreakBefore/>
        <w:suppressLineNumbers/>
        <w:suppressAutoHyphens/>
        <w:autoSpaceDE w:val="0"/>
        <w:autoSpaceDN w:val="0"/>
        <w:adjustRightInd w:val="0"/>
        <w:spacing w:after="0" w:line="240" w:lineRule="auto"/>
        <w:jc w:val="both"/>
        <w:rPr>
          <w:rFonts w:ascii="Times New Roman" w:hAnsi="Times New Roman"/>
          <w:sz w:val="20"/>
          <w:szCs w:val="20"/>
        </w:rPr>
      </w:pPr>
      <w:r w:rsidRPr="003B1275">
        <w:rPr>
          <w:rStyle w:val="FootnoteReference"/>
          <w:rFonts w:ascii="Times New Roman" w:hAnsi="Times New Roman"/>
          <w:sz w:val="20"/>
          <w:szCs w:val="20"/>
        </w:rPr>
        <w:footnoteRef/>
      </w:r>
      <w:r w:rsidRPr="003B1275">
        <w:rPr>
          <w:rStyle w:val="Strong"/>
          <w:rFonts w:ascii="Times New Roman" w:eastAsia="MS Gothic" w:hAnsi="Times New Roman"/>
          <w:b w:val="0"/>
          <w:sz w:val="20"/>
          <w:szCs w:val="20"/>
        </w:rPr>
        <w:t>Corte IDH. Caso del Pueblo Saramaka vs. Surinam, (supra nota 137)</w:t>
      </w:r>
      <w:r w:rsidRPr="003B1275">
        <w:rPr>
          <w:rFonts w:ascii="Times New Roman" w:hAnsi="Times New Roman"/>
          <w:sz w:val="20"/>
          <w:szCs w:val="20"/>
        </w:rPr>
        <w:t>, párr. 16.</w:t>
      </w:r>
    </w:p>
  </w:footnote>
  <w:footnote w:id="157">
    <w:p w:rsidR="003B1275" w:rsidRPr="003B1275" w:rsidRDefault="003B1275" w:rsidP="003B1275">
      <w:pPr>
        <w:pStyle w:val="FootnoteText"/>
        <w:keepNext/>
        <w:keepLines/>
        <w:pageBreakBefore/>
        <w:suppressLineNumbers/>
        <w:suppressAutoHyphens/>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Style w:val="Strong"/>
          <w:rFonts w:ascii="Times New Roman" w:hAnsi="Times New Roman" w:cs="Times New Roman"/>
          <w:b w:val="0"/>
          <w:sz w:val="20"/>
          <w:szCs w:val="20"/>
        </w:rPr>
        <w:t xml:space="preserve">Corte IDH. Caso del Pueblo Saramaka vs. Surinam, </w:t>
      </w:r>
      <w:r w:rsidRPr="003B1275">
        <w:rPr>
          <w:rStyle w:val="Strong"/>
          <w:rFonts w:ascii="Times New Roman" w:eastAsia="MS Gothic" w:hAnsi="Times New Roman" w:cs="Times New Roman"/>
          <w:b w:val="0"/>
          <w:sz w:val="20"/>
          <w:szCs w:val="20"/>
        </w:rPr>
        <w:t>(supra nota 137)</w:t>
      </w:r>
      <w:r w:rsidRPr="003B1275">
        <w:rPr>
          <w:rFonts w:ascii="Times New Roman" w:hAnsi="Times New Roman" w:cs="Times New Roman"/>
          <w:sz w:val="20"/>
          <w:szCs w:val="20"/>
        </w:rPr>
        <w:t>, párr. 42.</w:t>
      </w:r>
    </w:p>
  </w:footnote>
  <w:footnote w:id="158">
    <w:p w:rsidR="003B1275" w:rsidRPr="003B1275" w:rsidRDefault="003B1275" w:rsidP="003B1275">
      <w:pPr>
        <w:pStyle w:val="FootnoteText"/>
        <w:keepNext/>
        <w:keepLines/>
        <w:pageBreakBefore/>
        <w:suppressLineNumbers/>
        <w:suppressAutoHyphens/>
        <w:ind w:left="708" w:hanging="708"/>
        <w:jc w:val="both"/>
        <w:rPr>
          <w:rFonts w:ascii="Times New Roman" w:hAnsi="Times New Roman" w:cs="Times New Roman"/>
          <w:sz w:val="20"/>
          <w:szCs w:val="20"/>
        </w:rPr>
      </w:pPr>
      <w:r w:rsidRPr="003B1275">
        <w:rPr>
          <w:rStyle w:val="FootnoteReference"/>
          <w:rFonts w:ascii="Times New Roman" w:hAnsi="Times New Roman"/>
          <w:sz w:val="20"/>
          <w:szCs w:val="20"/>
        </w:rPr>
        <w:footnoteRef/>
      </w:r>
      <w:r w:rsidRPr="003B1275">
        <w:rPr>
          <w:rFonts w:ascii="Times New Roman" w:hAnsi="Times New Roman" w:cs="Times New Roman"/>
          <w:sz w:val="20"/>
          <w:szCs w:val="20"/>
        </w:rPr>
        <w:t>Ver respuestas aclaratorias 33 y 39.</w:t>
      </w:r>
    </w:p>
  </w:footnote>
  <w:footnote w:id="159">
    <w:p w:rsidR="003B1275" w:rsidRPr="003B1275" w:rsidRDefault="003B1275" w:rsidP="003B1275">
      <w:pPr>
        <w:keepNext/>
        <w:keepLines/>
        <w:pageBreakBefore/>
        <w:suppressLineNumbers/>
        <w:suppressAutoHyphens/>
        <w:autoSpaceDE w:val="0"/>
        <w:autoSpaceDN w:val="0"/>
        <w:adjustRightInd w:val="0"/>
        <w:spacing w:after="0" w:line="240" w:lineRule="auto"/>
        <w:jc w:val="both"/>
        <w:rPr>
          <w:rFonts w:ascii="Times New Roman" w:hAnsi="Times New Roman"/>
          <w:i/>
          <w:iCs/>
          <w:sz w:val="20"/>
          <w:szCs w:val="20"/>
        </w:rPr>
      </w:pPr>
      <w:r w:rsidRPr="003B1275">
        <w:rPr>
          <w:rStyle w:val="FootnoteReference"/>
          <w:rFonts w:ascii="Times New Roman" w:hAnsi="Times New Roman"/>
          <w:sz w:val="20"/>
          <w:szCs w:val="20"/>
        </w:rPr>
        <w:footnoteRef/>
      </w:r>
      <w:r w:rsidRPr="003B1275">
        <w:rPr>
          <w:rStyle w:val="Strong"/>
          <w:rFonts w:ascii="Times New Roman" w:eastAsia="MS Gothic" w:hAnsi="Times New Roman"/>
          <w:b w:val="0"/>
          <w:sz w:val="20"/>
          <w:szCs w:val="20"/>
        </w:rPr>
        <w:t xml:space="preserve">Corte IDH. Caso Pueblo Indígena Kichwa de Sarayaku vs. Ecuador, </w:t>
      </w:r>
      <w:r w:rsidRPr="003B1275">
        <w:rPr>
          <w:rFonts w:ascii="Times New Roman" w:hAnsi="Times New Roman"/>
          <w:sz w:val="20"/>
          <w:szCs w:val="20"/>
        </w:rPr>
        <w:t>(supra nota 1), párr. 264</w:t>
      </w:r>
      <w:r w:rsidRPr="003B1275">
        <w:rPr>
          <w:rFonts w:ascii="Times New Roman" w:hAnsi="Times New Roman"/>
          <w:i/>
          <w:iC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75" w:rsidRPr="0042662A" w:rsidRDefault="003B1275" w:rsidP="00C30AD1">
    <w:pPr>
      <w:pStyle w:val="Header"/>
      <w:jc w:val="right"/>
      <w:rPr>
        <w:rFonts w:ascii="Times New Roman" w:hAnsi="Times New Roman"/>
        <w:sz w:val="24"/>
        <w:szCs w:val="24"/>
      </w:rPr>
    </w:pPr>
    <w:r w:rsidRPr="0042662A">
      <w:rPr>
        <w:rFonts w:ascii="Times New Roman" w:hAnsi="Times New Roman"/>
        <w:sz w:val="24"/>
        <w:szCs w:val="24"/>
      </w:rPr>
      <w:t>136</w:t>
    </w:r>
  </w:p>
  <w:p w:rsidR="003B1275" w:rsidRDefault="003B1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75" w:rsidRPr="0042662A" w:rsidRDefault="003B1275" w:rsidP="0042662A">
    <w:pPr>
      <w:pStyle w:val="Header"/>
      <w:jc w:val="right"/>
      <w:rPr>
        <w:rFonts w:ascii="Times New Roman" w:hAnsi="Times New Roman"/>
        <w:sz w:val="24"/>
        <w:szCs w:val="24"/>
      </w:rPr>
    </w:pPr>
    <w:r w:rsidRPr="0042662A">
      <w:rPr>
        <w:rFonts w:ascii="Times New Roman" w:hAnsi="Times New Roman"/>
        <w:sz w:val="24"/>
        <w:szCs w:val="24"/>
      </w:rPr>
      <w:t>136</w:t>
    </w:r>
  </w:p>
  <w:p w:rsidR="003B1275" w:rsidRDefault="003B1275" w:rsidP="00566C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11E40"/>
    <w:multiLevelType w:val="hybridMultilevel"/>
    <w:tmpl w:val="7A8CE1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6674D0B"/>
    <w:multiLevelType w:val="hybridMultilevel"/>
    <w:tmpl w:val="EFE0F0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9007CF"/>
    <w:multiLevelType w:val="hybridMultilevel"/>
    <w:tmpl w:val="684ED0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0F106FC"/>
    <w:multiLevelType w:val="hybridMultilevel"/>
    <w:tmpl w:val="A976B8DE"/>
    <w:lvl w:ilvl="0" w:tplc="6972C4C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6DD0893"/>
    <w:multiLevelType w:val="hybridMultilevel"/>
    <w:tmpl w:val="3EFEF7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7C224B4"/>
    <w:multiLevelType w:val="hybridMultilevel"/>
    <w:tmpl w:val="CE1455E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FDD0AB3"/>
    <w:multiLevelType w:val="hybridMultilevel"/>
    <w:tmpl w:val="97A4D8EA"/>
    <w:lvl w:ilvl="0" w:tplc="8C2C1E8E">
      <w:start w:val="1"/>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PE"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98"/>
    <w:rsid w:val="0000068A"/>
    <w:rsid w:val="00001BF1"/>
    <w:rsid w:val="00001DB5"/>
    <w:rsid w:val="00002896"/>
    <w:rsid w:val="00002AC4"/>
    <w:rsid w:val="00003BCE"/>
    <w:rsid w:val="0000524C"/>
    <w:rsid w:val="000054BA"/>
    <w:rsid w:val="00006A4D"/>
    <w:rsid w:val="00010056"/>
    <w:rsid w:val="00012EE8"/>
    <w:rsid w:val="00016AA5"/>
    <w:rsid w:val="00022066"/>
    <w:rsid w:val="000248A2"/>
    <w:rsid w:val="0002575E"/>
    <w:rsid w:val="00025806"/>
    <w:rsid w:val="000277A2"/>
    <w:rsid w:val="00032C21"/>
    <w:rsid w:val="00033EAE"/>
    <w:rsid w:val="0003667A"/>
    <w:rsid w:val="0004106E"/>
    <w:rsid w:val="00045241"/>
    <w:rsid w:val="00045A01"/>
    <w:rsid w:val="00046401"/>
    <w:rsid w:val="00051531"/>
    <w:rsid w:val="0005512C"/>
    <w:rsid w:val="00056CE1"/>
    <w:rsid w:val="000601AE"/>
    <w:rsid w:val="00062C9B"/>
    <w:rsid w:val="0006541C"/>
    <w:rsid w:val="0006570A"/>
    <w:rsid w:val="000702B7"/>
    <w:rsid w:val="00070B4F"/>
    <w:rsid w:val="00072AEB"/>
    <w:rsid w:val="00073639"/>
    <w:rsid w:val="000749E0"/>
    <w:rsid w:val="00074A53"/>
    <w:rsid w:val="00075982"/>
    <w:rsid w:val="00076487"/>
    <w:rsid w:val="0008049D"/>
    <w:rsid w:val="00080EDF"/>
    <w:rsid w:val="00080F51"/>
    <w:rsid w:val="0008165B"/>
    <w:rsid w:val="00081AB2"/>
    <w:rsid w:val="00082868"/>
    <w:rsid w:val="000832C7"/>
    <w:rsid w:val="0008579A"/>
    <w:rsid w:val="00093456"/>
    <w:rsid w:val="00097932"/>
    <w:rsid w:val="000A0837"/>
    <w:rsid w:val="000A11A4"/>
    <w:rsid w:val="000A123C"/>
    <w:rsid w:val="000A27CE"/>
    <w:rsid w:val="000A3BB5"/>
    <w:rsid w:val="000A52EE"/>
    <w:rsid w:val="000A584D"/>
    <w:rsid w:val="000B2A74"/>
    <w:rsid w:val="000B3976"/>
    <w:rsid w:val="000B49A4"/>
    <w:rsid w:val="000B4A0E"/>
    <w:rsid w:val="000B56F7"/>
    <w:rsid w:val="000C1746"/>
    <w:rsid w:val="000C45DE"/>
    <w:rsid w:val="000C5BDC"/>
    <w:rsid w:val="000C7651"/>
    <w:rsid w:val="000D07D2"/>
    <w:rsid w:val="000D3810"/>
    <w:rsid w:val="000D40CE"/>
    <w:rsid w:val="000D4D37"/>
    <w:rsid w:val="000D5335"/>
    <w:rsid w:val="000D57C3"/>
    <w:rsid w:val="000E101B"/>
    <w:rsid w:val="000E7F51"/>
    <w:rsid w:val="000F12E7"/>
    <w:rsid w:val="000F17AF"/>
    <w:rsid w:val="000F250D"/>
    <w:rsid w:val="000F3630"/>
    <w:rsid w:val="000F43B2"/>
    <w:rsid w:val="0010027E"/>
    <w:rsid w:val="0010062C"/>
    <w:rsid w:val="001012C3"/>
    <w:rsid w:val="00102B5B"/>
    <w:rsid w:val="00103743"/>
    <w:rsid w:val="00103BBE"/>
    <w:rsid w:val="00105F6B"/>
    <w:rsid w:val="00110087"/>
    <w:rsid w:val="001111BF"/>
    <w:rsid w:val="00112348"/>
    <w:rsid w:val="00114394"/>
    <w:rsid w:val="00122DF4"/>
    <w:rsid w:val="00124585"/>
    <w:rsid w:val="00125573"/>
    <w:rsid w:val="00125FF2"/>
    <w:rsid w:val="00126134"/>
    <w:rsid w:val="00127665"/>
    <w:rsid w:val="00133E43"/>
    <w:rsid w:val="0013511D"/>
    <w:rsid w:val="00135A2F"/>
    <w:rsid w:val="00136FC6"/>
    <w:rsid w:val="00140B55"/>
    <w:rsid w:val="00140FAF"/>
    <w:rsid w:val="0014106B"/>
    <w:rsid w:val="00142541"/>
    <w:rsid w:val="00142955"/>
    <w:rsid w:val="001444B3"/>
    <w:rsid w:val="001444D2"/>
    <w:rsid w:val="00144686"/>
    <w:rsid w:val="00144D99"/>
    <w:rsid w:val="00147B22"/>
    <w:rsid w:val="00150707"/>
    <w:rsid w:val="00150CEA"/>
    <w:rsid w:val="00150EE5"/>
    <w:rsid w:val="0015129D"/>
    <w:rsid w:val="001521A8"/>
    <w:rsid w:val="0015255E"/>
    <w:rsid w:val="00152D7B"/>
    <w:rsid w:val="0015422B"/>
    <w:rsid w:val="0015661B"/>
    <w:rsid w:val="00160425"/>
    <w:rsid w:val="0016075E"/>
    <w:rsid w:val="001718CE"/>
    <w:rsid w:val="00177699"/>
    <w:rsid w:val="0017792A"/>
    <w:rsid w:val="00181F0F"/>
    <w:rsid w:val="0018324F"/>
    <w:rsid w:val="00187F00"/>
    <w:rsid w:val="001913E8"/>
    <w:rsid w:val="001925EF"/>
    <w:rsid w:val="00192778"/>
    <w:rsid w:val="00194470"/>
    <w:rsid w:val="001953C6"/>
    <w:rsid w:val="001959D3"/>
    <w:rsid w:val="00195F33"/>
    <w:rsid w:val="0019665E"/>
    <w:rsid w:val="0019779E"/>
    <w:rsid w:val="001A1441"/>
    <w:rsid w:val="001A3CDB"/>
    <w:rsid w:val="001A475D"/>
    <w:rsid w:val="001A7849"/>
    <w:rsid w:val="001A7B7F"/>
    <w:rsid w:val="001B0CA9"/>
    <w:rsid w:val="001B1CD7"/>
    <w:rsid w:val="001B26C9"/>
    <w:rsid w:val="001B431D"/>
    <w:rsid w:val="001B4A15"/>
    <w:rsid w:val="001C255C"/>
    <w:rsid w:val="001C3023"/>
    <w:rsid w:val="001C46F4"/>
    <w:rsid w:val="001C69BA"/>
    <w:rsid w:val="001D1886"/>
    <w:rsid w:val="001D1ADA"/>
    <w:rsid w:val="001D2404"/>
    <w:rsid w:val="001D30E7"/>
    <w:rsid w:val="001D33CD"/>
    <w:rsid w:val="001D3FDB"/>
    <w:rsid w:val="001D7088"/>
    <w:rsid w:val="001D7B34"/>
    <w:rsid w:val="001E11CB"/>
    <w:rsid w:val="001E1200"/>
    <w:rsid w:val="001E22CF"/>
    <w:rsid w:val="001E32F4"/>
    <w:rsid w:val="001E79E5"/>
    <w:rsid w:val="001E7B4B"/>
    <w:rsid w:val="001F1445"/>
    <w:rsid w:val="001F187C"/>
    <w:rsid w:val="001F25B2"/>
    <w:rsid w:val="001F261E"/>
    <w:rsid w:val="001F3762"/>
    <w:rsid w:val="001F3EC7"/>
    <w:rsid w:val="001F4128"/>
    <w:rsid w:val="002002CA"/>
    <w:rsid w:val="002025CC"/>
    <w:rsid w:val="002042C3"/>
    <w:rsid w:val="00207F99"/>
    <w:rsid w:val="00214388"/>
    <w:rsid w:val="0022178B"/>
    <w:rsid w:val="00221DBF"/>
    <w:rsid w:val="00222420"/>
    <w:rsid w:val="00222A74"/>
    <w:rsid w:val="0022474A"/>
    <w:rsid w:val="0022492F"/>
    <w:rsid w:val="00224C58"/>
    <w:rsid w:val="00226322"/>
    <w:rsid w:val="00227DED"/>
    <w:rsid w:val="002315F2"/>
    <w:rsid w:val="0023296B"/>
    <w:rsid w:val="00233C60"/>
    <w:rsid w:val="002347F1"/>
    <w:rsid w:val="00234C2E"/>
    <w:rsid w:val="00236406"/>
    <w:rsid w:val="00236D32"/>
    <w:rsid w:val="00242765"/>
    <w:rsid w:val="00243F91"/>
    <w:rsid w:val="0024787C"/>
    <w:rsid w:val="002521A9"/>
    <w:rsid w:val="00252725"/>
    <w:rsid w:val="00255BFA"/>
    <w:rsid w:val="00261953"/>
    <w:rsid w:val="00261D48"/>
    <w:rsid w:val="00262EFC"/>
    <w:rsid w:val="00263822"/>
    <w:rsid w:val="00263B1E"/>
    <w:rsid w:val="00264133"/>
    <w:rsid w:val="002661F4"/>
    <w:rsid w:val="002672EE"/>
    <w:rsid w:val="00270EA8"/>
    <w:rsid w:val="00275131"/>
    <w:rsid w:val="00277EF9"/>
    <w:rsid w:val="002823DF"/>
    <w:rsid w:val="0028352D"/>
    <w:rsid w:val="0028467E"/>
    <w:rsid w:val="002850E7"/>
    <w:rsid w:val="00287224"/>
    <w:rsid w:val="00292217"/>
    <w:rsid w:val="00293329"/>
    <w:rsid w:val="00293B1B"/>
    <w:rsid w:val="002956BB"/>
    <w:rsid w:val="002957C6"/>
    <w:rsid w:val="00296A37"/>
    <w:rsid w:val="002971C4"/>
    <w:rsid w:val="00297431"/>
    <w:rsid w:val="002A00EF"/>
    <w:rsid w:val="002A22EF"/>
    <w:rsid w:val="002A6876"/>
    <w:rsid w:val="002A6E97"/>
    <w:rsid w:val="002B00E6"/>
    <w:rsid w:val="002B229D"/>
    <w:rsid w:val="002B22C0"/>
    <w:rsid w:val="002B5FA6"/>
    <w:rsid w:val="002C04C8"/>
    <w:rsid w:val="002C0A51"/>
    <w:rsid w:val="002C263C"/>
    <w:rsid w:val="002C759E"/>
    <w:rsid w:val="002D318B"/>
    <w:rsid w:val="002D36BE"/>
    <w:rsid w:val="002D6D61"/>
    <w:rsid w:val="002D707E"/>
    <w:rsid w:val="002E0328"/>
    <w:rsid w:val="002E0CAB"/>
    <w:rsid w:val="002E1603"/>
    <w:rsid w:val="002E1C45"/>
    <w:rsid w:val="002E2709"/>
    <w:rsid w:val="002E4CCD"/>
    <w:rsid w:val="002E50EA"/>
    <w:rsid w:val="002E62FD"/>
    <w:rsid w:val="002E6DBE"/>
    <w:rsid w:val="002F0695"/>
    <w:rsid w:val="002F3865"/>
    <w:rsid w:val="002F402D"/>
    <w:rsid w:val="002F6B56"/>
    <w:rsid w:val="003034E0"/>
    <w:rsid w:val="00305CFE"/>
    <w:rsid w:val="00306D93"/>
    <w:rsid w:val="00307B0D"/>
    <w:rsid w:val="0031169C"/>
    <w:rsid w:val="0031171B"/>
    <w:rsid w:val="003126CF"/>
    <w:rsid w:val="003132E4"/>
    <w:rsid w:val="00313408"/>
    <w:rsid w:val="00313950"/>
    <w:rsid w:val="00316DC8"/>
    <w:rsid w:val="00320674"/>
    <w:rsid w:val="00321A94"/>
    <w:rsid w:val="00322AAA"/>
    <w:rsid w:val="00324530"/>
    <w:rsid w:val="00324D84"/>
    <w:rsid w:val="0032540E"/>
    <w:rsid w:val="00327995"/>
    <w:rsid w:val="003324E8"/>
    <w:rsid w:val="003346E1"/>
    <w:rsid w:val="00334732"/>
    <w:rsid w:val="00334B0C"/>
    <w:rsid w:val="00341452"/>
    <w:rsid w:val="0034272C"/>
    <w:rsid w:val="00345C1C"/>
    <w:rsid w:val="00350C73"/>
    <w:rsid w:val="00351B57"/>
    <w:rsid w:val="00352C28"/>
    <w:rsid w:val="003555A7"/>
    <w:rsid w:val="00356768"/>
    <w:rsid w:val="00360E86"/>
    <w:rsid w:val="00362752"/>
    <w:rsid w:val="00363EAA"/>
    <w:rsid w:val="003653F8"/>
    <w:rsid w:val="00365E53"/>
    <w:rsid w:val="00365EF8"/>
    <w:rsid w:val="00366A13"/>
    <w:rsid w:val="003700BB"/>
    <w:rsid w:val="00375665"/>
    <w:rsid w:val="003772CE"/>
    <w:rsid w:val="00380CA8"/>
    <w:rsid w:val="00381424"/>
    <w:rsid w:val="00383869"/>
    <w:rsid w:val="00384DD2"/>
    <w:rsid w:val="00386D12"/>
    <w:rsid w:val="00387110"/>
    <w:rsid w:val="0038752A"/>
    <w:rsid w:val="003876EC"/>
    <w:rsid w:val="00392DE9"/>
    <w:rsid w:val="00392E09"/>
    <w:rsid w:val="003930BA"/>
    <w:rsid w:val="003A0122"/>
    <w:rsid w:val="003A2459"/>
    <w:rsid w:val="003A392E"/>
    <w:rsid w:val="003A3BB3"/>
    <w:rsid w:val="003A4F93"/>
    <w:rsid w:val="003B1275"/>
    <w:rsid w:val="003B1812"/>
    <w:rsid w:val="003B3D00"/>
    <w:rsid w:val="003B763F"/>
    <w:rsid w:val="003B7B76"/>
    <w:rsid w:val="003C15A7"/>
    <w:rsid w:val="003C1C69"/>
    <w:rsid w:val="003C34A5"/>
    <w:rsid w:val="003C4C2B"/>
    <w:rsid w:val="003C576D"/>
    <w:rsid w:val="003C5FF2"/>
    <w:rsid w:val="003C720A"/>
    <w:rsid w:val="003D073A"/>
    <w:rsid w:val="003D0FB6"/>
    <w:rsid w:val="003D12F5"/>
    <w:rsid w:val="003D2E17"/>
    <w:rsid w:val="003D5FF1"/>
    <w:rsid w:val="003D723E"/>
    <w:rsid w:val="003E35A0"/>
    <w:rsid w:val="003E3CC8"/>
    <w:rsid w:val="003E478F"/>
    <w:rsid w:val="003E5138"/>
    <w:rsid w:val="003E7C2C"/>
    <w:rsid w:val="003F045A"/>
    <w:rsid w:val="003F4BEB"/>
    <w:rsid w:val="003F53D3"/>
    <w:rsid w:val="003F6698"/>
    <w:rsid w:val="003F6EB7"/>
    <w:rsid w:val="00402015"/>
    <w:rsid w:val="0040418A"/>
    <w:rsid w:val="004044A0"/>
    <w:rsid w:val="004057B8"/>
    <w:rsid w:val="00407C2C"/>
    <w:rsid w:val="004108A2"/>
    <w:rsid w:val="0041410D"/>
    <w:rsid w:val="0041621D"/>
    <w:rsid w:val="00420154"/>
    <w:rsid w:val="00421198"/>
    <w:rsid w:val="00421C96"/>
    <w:rsid w:val="004235A2"/>
    <w:rsid w:val="00423BB0"/>
    <w:rsid w:val="00424288"/>
    <w:rsid w:val="0042662A"/>
    <w:rsid w:val="00426B54"/>
    <w:rsid w:val="00432CDD"/>
    <w:rsid w:val="00433137"/>
    <w:rsid w:val="00443180"/>
    <w:rsid w:val="00446722"/>
    <w:rsid w:val="004479D2"/>
    <w:rsid w:val="0045028F"/>
    <w:rsid w:val="0045108B"/>
    <w:rsid w:val="004522BD"/>
    <w:rsid w:val="0045409E"/>
    <w:rsid w:val="00460B6B"/>
    <w:rsid w:val="00460C42"/>
    <w:rsid w:val="00462F9D"/>
    <w:rsid w:val="00465D5F"/>
    <w:rsid w:val="00467772"/>
    <w:rsid w:val="0047295E"/>
    <w:rsid w:val="00473FF9"/>
    <w:rsid w:val="00476F9A"/>
    <w:rsid w:val="00477447"/>
    <w:rsid w:val="00480750"/>
    <w:rsid w:val="0048582B"/>
    <w:rsid w:val="00487C62"/>
    <w:rsid w:val="00490AEA"/>
    <w:rsid w:val="004941DF"/>
    <w:rsid w:val="004949D5"/>
    <w:rsid w:val="00496802"/>
    <w:rsid w:val="0049786F"/>
    <w:rsid w:val="00497F93"/>
    <w:rsid w:val="004A3865"/>
    <w:rsid w:val="004A4641"/>
    <w:rsid w:val="004A537D"/>
    <w:rsid w:val="004A6D52"/>
    <w:rsid w:val="004A7524"/>
    <w:rsid w:val="004B2A27"/>
    <w:rsid w:val="004B3292"/>
    <w:rsid w:val="004B6BDF"/>
    <w:rsid w:val="004B7001"/>
    <w:rsid w:val="004B71C0"/>
    <w:rsid w:val="004C008A"/>
    <w:rsid w:val="004C2527"/>
    <w:rsid w:val="004C37D7"/>
    <w:rsid w:val="004C3804"/>
    <w:rsid w:val="004C49A2"/>
    <w:rsid w:val="004C6CCA"/>
    <w:rsid w:val="004C7676"/>
    <w:rsid w:val="004D0C4D"/>
    <w:rsid w:val="004D304E"/>
    <w:rsid w:val="004D42A2"/>
    <w:rsid w:val="004E0794"/>
    <w:rsid w:val="004E355B"/>
    <w:rsid w:val="004E4420"/>
    <w:rsid w:val="004E4F4A"/>
    <w:rsid w:val="004E534F"/>
    <w:rsid w:val="004F02F4"/>
    <w:rsid w:val="004F0C73"/>
    <w:rsid w:val="004F3AC2"/>
    <w:rsid w:val="004F6534"/>
    <w:rsid w:val="004F6A5F"/>
    <w:rsid w:val="0050248B"/>
    <w:rsid w:val="00504C07"/>
    <w:rsid w:val="00510C8A"/>
    <w:rsid w:val="00511F9F"/>
    <w:rsid w:val="00512648"/>
    <w:rsid w:val="00516B98"/>
    <w:rsid w:val="00523A55"/>
    <w:rsid w:val="005263AE"/>
    <w:rsid w:val="00532A51"/>
    <w:rsid w:val="0053423F"/>
    <w:rsid w:val="0053580C"/>
    <w:rsid w:val="00537637"/>
    <w:rsid w:val="0054131B"/>
    <w:rsid w:val="00542D7D"/>
    <w:rsid w:val="00545E49"/>
    <w:rsid w:val="005471C8"/>
    <w:rsid w:val="00547C77"/>
    <w:rsid w:val="00551FE1"/>
    <w:rsid w:val="0055295B"/>
    <w:rsid w:val="00553339"/>
    <w:rsid w:val="00554233"/>
    <w:rsid w:val="00556413"/>
    <w:rsid w:val="00560876"/>
    <w:rsid w:val="00563139"/>
    <w:rsid w:val="00564305"/>
    <w:rsid w:val="00564469"/>
    <w:rsid w:val="005663D0"/>
    <w:rsid w:val="0056664E"/>
    <w:rsid w:val="00566C51"/>
    <w:rsid w:val="00570E4F"/>
    <w:rsid w:val="00570EC4"/>
    <w:rsid w:val="0057324F"/>
    <w:rsid w:val="00573314"/>
    <w:rsid w:val="00576ED1"/>
    <w:rsid w:val="0057740B"/>
    <w:rsid w:val="005807BA"/>
    <w:rsid w:val="00583B46"/>
    <w:rsid w:val="00584769"/>
    <w:rsid w:val="00590C47"/>
    <w:rsid w:val="00591045"/>
    <w:rsid w:val="00594227"/>
    <w:rsid w:val="00597895"/>
    <w:rsid w:val="00597BE6"/>
    <w:rsid w:val="005A2694"/>
    <w:rsid w:val="005A5E04"/>
    <w:rsid w:val="005B0E3A"/>
    <w:rsid w:val="005B1286"/>
    <w:rsid w:val="005B2414"/>
    <w:rsid w:val="005B25BE"/>
    <w:rsid w:val="005B2A34"/>
    <w:rsid w:val="005B3005"/>
    <w:rsid w:val="005B4F98"/>
    <w:rsid w:val="005C03BE"/>
    <w:rsid w:val="005C2605"/>
    <w:rsid w:val="005C57E1"/>
    <w:rsid w:val="005C6E4F"/>
    <w:rsid w:val="005C7685"/>
    <w:rsid w:val="005D05E2"/>
    <w:rsid w:val="005E18CF"/>
    <w:rsid w:val="005E1C40"/>
    <w:rsid w:val="005E26F2"/>
    <w:rsid w:val="005E43E0"/>
    <w:rsid w:val="005E6246"/>
    <w:rsid w:val="005F20FF"/>
    <w:rsid w:val="005F455B"/>
    <w:rsid w:val="005F47F8"/>
    <w:rsid w:val="005F4FAE"/>
    <w:rsid w:val="005F66F7"/>
    <w:rsid w:val="00601856"/>
    <w:rsid w:val="0060476E"/>
    <w:rsid w:val="00604BA4"/>
    <w:rsid w:val="0060720D"/>
    <w:rsid w:val="00610450"/>
    <w:rsid w:val="0061046D"/>
    <w:rsid w:val="00610AE8"/>
    <w:rsid w:val="00613C85"/>
    <w:rsid w:val="00621E35"/>
    <w:rsid w:val="00621EA2"/>
    <w:rsid w:val="00625267"/>
    <w:rsid w:val="00630D47"/>
    <w:rsid w:val="00637B90"/>
    <w:rsid w:val="00640DB3"/>
    <w:rsid w:val="00641B2F"/>
    <w:rsid w:val="00644A33"/>
    <w:rsid w:val="00651318"/>
    <w:rsid w:val="00651568"/>
    <w:rsid w:val="006544F1"/>
    <w:rsid w:val="00655755"/>
    <w:rsid w:val="00661B67"/>
    <w:rsid w:val="006623CE"/>
    <w:rsid w:val="00664858"/>
    <w:rsid w:val="00666500"/>
    <w:rsid w:val="00667342"/>
    <w:rsid w:val="00672794"/>
    <w:rsid w:val="006729AB"/>
    <w:rsid w:val="00674B4B"/>
    <w:rsid w:val="00674BB7"/>
    <w:rsid w:val="00675FC4"/>
    <w:rsid w:val="00676273"/>
    <w:rsid w:val="00677265"/>
    <w:rsid w:val="00677AAC"/>
    <w:rsid w:val="00683349"/>
    <w:rsid w:val="00684061"/>
    <w:rsid w:val="00685F6D"/>
    <w:rsid w:val="00686470"/>
    <w:rsid w:val="0069281C"/>
    <w:rsid w:val="00693788"/>
    <w:rsid w:val="0069465F"/>
    <w:rsid w:val="00694CC5"/>
    <w:rsid w:val="006A33F7"/>
    <w:rsid w:val="006A6A52"/>
    <w:rsid w:val="006A6C4C"/>
    <w:rsid w:val="006A7B21"/>
    <w:rsid w:val="006B0AC2"/>
    <w:rsid w:val="006B72D0"/>
    <w:rsid w:val="006C016D"/>
    <w:rsid w:val="006C0AFB"/>
    <w:rsid w:val="006C6CA9"/>
    <w:rsid w:val="006D1897"/>
    <w:rsid w:val="006E1416"/>
    <w:rsid w:val="006E365D"/>
    <w:rsid w:val="006E4855"/>
    <w:rsid w:val="006E5725"/>
    <w:rsid w:val="006E7C44"/>
    <w:rsid w:val="006F37CE"/>
    <w:rsid w:val="006F585A"/>
    <w:rsid w:val="006F71B0"/>
    <w:rsid w:val="00701093"/>
    <w:rsid w:val="007016FE"/>
    <w:rsid w:val="00701FF3"/>
    <w:rsid w:val="00702B75"/>
    <w:rsid w:val="00702CB5"/>
    <w:rsid w:val="00703735"/>
    <w:rsid w:val="007050F8"/>
    <w:rsid w:val="007059D6"/>
    <w:rsid w:val="00706193"/>
    <w:rsid w:val="007100E7"/>
    <w:rsid w:val="00710135"/>
    <w:rsid w:val="00712EC9"/>
    <w:rsid w:val="007135E5"/>
    <w:rsid w:val="007140FD"/>
    <w:rsid w:val="00715782"/>
    <w:rsid w:val="00716742"/>
    <w:rsid w:val="0071696C"/>
    <w:rsid w:val="0072034B"/>
    <w:rsid w:val="00722144"/>
    <w:rsid w:val="007224A3"/>
    <w:rsid w:val="00722FDC"/>
    <w:rsid w:val="0072473F"/>
    <w:rsid w:val="00726995"/>
    <w:rsid w:val="00730C98"/>
    <w:rsid w:val="0073398A"/>
    <w:rsid w:val="00735265"/>
    <w:rsid w:val="0073557C"/>
    <w:rsid w:val="00736F73"/>
    <w:rsid w:val="00742327"/>
    <w:rsid w:val="00742F7C"/>
    <w:rsid w:val="00746787"/>
    <w:rsid w:val="00750341"/>
    <w:rsid w:val="00753448"/>
    <w:rsid w:val="00755C24"/>
    <w:rsid w:val="00756BD9"/>
    <w:rsid w:val="00761FD0"/>
    <w:rsid w:val="00767CD0"/>
    <w:rsid w:val="0077155C"/>
    <w:rsid w:val="007719AB"/>
    <w:rsid w:val="007737E7"/>
    <w:rsid w:val="00774E9B"/>
    <w:rsid w:val="00774F01"/>
    <w:rsid w:val="00775C72"/>
    <w:rsid w:val="007764A4"/>
    <w:rsid w:val="0078138A"/>
    <w:rsid w:val="0078197C"/>
    <w:rsid w:val="007832CA"/>
    <w:rsid w:val="0078334A"/>
    <w:rsid w:val="00784D5B"/>
    <w:rsid w:val="007928D9"/>
    <w:rsid w:val="00792E1C"/>
    <w:rsid w:val="00793B1A"/>
    <w:rsid w:val="00794361"/>
    <w:rsid w:val="007952D2"/>
    <w:rsid w:val="00795DD9"/>
    <w:rsid w:val="00796240"/>
    <w:rsid w:val="00796FE3"/>
    <w:rsid w:val="00797248"/>
    <w:rsid w:val="00797FF0"/>
    <w:rsid w:val="007A0ADF"/>
    <w:rsid w:val="007B0A52"/>
    <w:rsid w:val="007B1796"/>
    <w:rsid w:val="007B594D"/>
    <w:rsid w:val="007B76D8"/>
    <w:rsid w:val="007B7EB0"/>
    <w:rsid w:val="007C0ED1"/>
    <w:rsid w:val="007C18C7"/>
    <w:rsid w:val="007C3EE5"/>
    <w:rsid w:val="007C5FA9"/>
    <w:rsid w:val="007D3049"/>
    <w:rsid w:val="007D3828"/>
    <w:rsid w:val="007D593F"/>
    <w:rsid w:val="007D69DE"/>
    <w:rsid w:val="007D7E8E"/>
    <w:rsid w:val="007E3812"/>
    <w:rsid w:val="007E4181"/>
    <w:rsid w:val="007E5591"/>
    <w:rsid w:val="007E645A"/>
    <w:rsid w:val="007E6A51"/>
    <w:rsid w:val="007E7CB1"/>
    <w:rsid w:val="007F042C"/>
    <w:rsid w:val="007F4900"/>
    <w:rsid w:val="007F60D6"/>
    <w:rsid w:val="008000BD"/>
    <w:rsid w:val="008017E9"/>
    <w:rsid w:val="0080327F"/>
    <w:rsid w:val="008057BA"/>
    <w:rsid w:val="00814115"/>
    <w:rsid w:val="00816D15"/>
    <w:rsid w:val="008201EE"/>
    <w:rsid w:val="00822583"/>
    <w:rsid w:val="008231C3"/>
    <w:rsid w:val="008266B6"/>
    <w:rsid w:val="00826BEA"/>
    <w:rsid w:val="00827786"/>
    <w:rsid w:val="00827F53"/>
    <w:rsid w:val="008306DE"/>
    <w:rsid w:val="00833700"/>
    <w:rsid w:val="00835D5E"/>
    <w:rsid w:val="008361CE"/>
    <w:rsid w:val="0083620E"/>
    <w:rsid w:val="00842D9C"/>
    <w:rsid w:val="00843392"/>
    <w:rsid w:val="00843569"/>
    <w:rsid w:val="008454A5"/>
    <w:rsid w:val="00845D8B"/>
    <w:rsid w:val="008512FB"/>
    <w:rsid w:val="008556AE"/>
    <w:rsid w:val="00860842"/>
    <w:rsid w:val="00864757"/>
    <w:rsid w:val="008649EF"/>
    <w:rsid w:val="008655DC"/>
    <w:rsid w:val="00865CCF"/>
    <w:rsid w:val="00866A42"/>
    <w:rsid w:val="0087044A"/>
    <w:rsid w:val="00871108"/>
    <w:rsid w:val="00873686"/>
    <w:rsid w:val="00874CAC"/>
    <w:rsid w:val="008826B2"/>
    <w:rsid w:val="0088283F"/>
    <w:rsid w:val="00883D32"/>
    <w:rsid w:val="00885D2F"/>
    <w:rsid w:val="008868AB"/>
    <w:rsid w:val="00891CEC"/>
    <w:rsid w:val="00892246"/>
    <w:rsid w:val="008A0AEC"/>
    <w:rsid w:val="008A2581"/>
    <w:rsid w:val="008A2C2F"/>
    <w:rsid w:val="008A2FCF"/>
    <w:rsid w:val="008A3B64"/>
    <w:rsid w:val="008A4ACA"/>
    <w:rsid w:val="008A6130"/>
    <w:rsid w:val="008B4CDA"/>
    <w:rsid w:val="008B4F27"/>
    <w:rsid w:val="008B754A"/>
    <w:rsid w:val="008C43B9"/>
    <w:rsid w:val="008C6162"/>
    <w:rsid w:val="008D0833"/>
    <w:rsid w:val="008D1250"/>
    <w:rsid w:val="008D5E74"/>
    <w:rsid w:val="008D656C"/>
    <w:rsid w:val="008E004F"/>
    <w:rsid w:val="008E0825"/>
    <w:rsid w:val="008E1A44"/>
    <w:rsid w:val="008E268F"/>
    <w:rsid w:val="008E27F5"/>
    <w:rsid w:val="008E2C6C"/>
    <w:rsid w:val="008E555C"/>
    <w:rsid w:val="008E5A4C"/>
    <w:rsid w:val="008E673B"/>
    <w:rsid w:val="008E6999"/>
    <w:rsid w:val="008F4642"/>
    <w:rsid w:val="008F6FFD"/>
    <w:rsid w:val="00900B29"/>
    <w:rsid w:val="00902EEF"/>
    <w:rsid w:val="009048B6"/>
    <w:rsid w:val="00904DC8"/>
    <w:rsid w:val="00904F91"/>
    <w:rsid w:val="00907CAD"/>
    <w:rsid w:val="009114BB"/>
    <w:rsid w:val="00911930"/>
    <w:rsid w:val="009135F0"/>
    <w:rsid w:val="00914D49"/>
    <w:rsid w:val="00914DB1"/>
    <w:rsid w:val="009154EF"/>
    <w:rsid w:val="00917211"/>
    <w:rsid w:val="00917608"/>
    <w:rsid w:val="00921B13"/>
    <w:rsid w:val="00921B32"/>
    <w:rsid w:val="00925C3A"/>
    <w:rsid w:val="0092621C"/>
    <w:rsid w:val="00926506"/>
    <w:rsid w:val="00931152"/>
    <w:rsid w:val="0093321B"/>
    <w:rsid w:val="009375B9"/>
    <w:rsid w:val="009375BB"/>
    <w:rsid w:val="00940666"/>
    <w:rsid w:val="00940693"/>
    <w:rsid w:val="00941331"/>
    <w:rsid w:val="0094432C"/>
    <w:rsid w:val="00944F12"/>
    <w:rsid w:val="00945433"/>
    <w:rsid w:val="0094679F"/>
    <w:rsid w:val="0094729E"/>
    <w:rsid w:val="00947E55"/>
    <w:rsid w:val="00950744"/>
    <w:rsid w:val="00952465"/>
    <w:rsid w:val="00954239"/>
    <w:rsid w:val="009546DD"/>
    <w:rsid w:val="00955A89"/>
    <w:rsid w:val="00955D47"/>
    <w:rsid w:val="00956660"/>
    <w:rsid w:val="00962E2B"/>
    <w:rsid w:val="00964B10"/>
    <w:rsid w:val="00966101"/>
    <w:rsid w:val="0097090D"/>
    <w:rsid w:val="00970B9F"/>
    <w:rsid w:val="00973FD7"/>
    <w:rsid w:val="00975007"/>
    <w:rsid w:val="0097737F"/>
    <w:rsid w:val="00977CF4"/>
    <w:rsid w:val="00980687"/>
    <w:rsid w:val="0098220D"/>
    <w:rsid w:val="0098515B"/>
    <w:rsid w:val="00986D5A"/>
    <w:rsid w:val="009878D1"/>
    <w:rsid w:val="00990B51"/>
    <w:rsid w:val="00991E8D"/>
    <w:rsid w:val="0099235C"/>
    <w:rsid w:val="009963E1"/>
    <w:rsid w:val="00996404"/>
    <w:rsid w:val="00997672"/>
    <w:rsid w:val="009A0AED"/>
    <w:rsid w:val="009A1F59"/>
    <w:rsid w:val="009A6DCF"/>
    <w:rsid w:val="009A70CF"/>
    <w:rsid w:val="009B2AAC"/>
    <w:rsid w:val="009B2B31"/>
    <w:rsid w:val="009B302D"/>
    <w:rsid w:val="009B3E28"/>
    <w:rsid w:val="009B5AC0"/>
    <w:rsid w:val="009B6B36"/>
    <w:rsid w:val="009B7DF8"/>
    <w:rsid w:val="009C1847"/>
    <w:rsid w:val="009C3F6F"/>
    <w:rsid w:val="009D197E"/>
    <w:rsid w:val="009D19ED"/>
    <w:rsid w:val="009D244A"/>
    <w:rsid w:val="009D2F58"/>
    <w:rsid w:val="009D3587"/>
    <w:rsid w:val="009D78E9"/>
    <w:rsid w:val="009D7D02"/>
    <w:rsid w:val="009E28F7"/>
    <w:rsid w:val="009E2B7E"/>
    <w:rsid w:val="009E4097"/>
    <w:rsid w:val="009F08DA"/>
    <w:rsid w:val="009F3910"/>
    <w:rsid w:val="009F4961"/>
    <w:rsid w:val="009F5957"/>
    <w:rsid w:val="00A01A5C"/>
    <w:rsid w:val="00A01A96"/>
    <w:rsid w:val="00A029B6"/>
    <w:rsid w:val="00A033E3"/>
    <w:rsid w:val="00A037F3"/>
    <w:rsid w:val="00A1126F"/>
    <w:rsid w:val="00A14F3E"/>
    <w:rsid w:val="00A16E55"/>
    <w:rsid w:val="00A20E9C"/>
    <w:rsid w:val="00A24FF7"/>
    <w:rsid w:val="00A25714"/>
    <w:rsid w:val="00A31DCD"/>
    <w:rsid w:val="00A32E0F"/>
    <w:rsid w:val="00A35630"/>
    <w:rsid w:val="00A36AF8"/>
    <w:rsid w:val="00A401AD"/>
    <w:rsid w:val="00A409B8"/>
    <w:rsid w:val="00A42019"/>
    <w:rsid w:val="00A431CA"/>
    <w:rsid w:val="00A4359B"/>
    <w:rsid w:val="00A44FBB"/>
    <w:rsid w:val="00A46242"/>
    <w:rsid w:val="00A472A3"/>
    <w:rsid w:val="00A47705"/>
    <w:rsid w:val="00A51519"/>
    <w:rsid w:val="00A60CD8"/>
    <w:rsid w:val="00A64383"/>
    <w:rsid w:val="00A66814"/>
    <w:rsid w:val="00A70FEA"/>
    <w:rsid w:val="00A72B14"/>
    <w:rsid w:val="00A76D83"/>
    <w:rsid w:val="00A8039C"/>
    <w:rsid w:val="00A82AA6"/>
    <w:rsid w:val="00A82DE4"/>
    <w:rsid w:val="00A83DC7"/>
    <w:rsid w:val="00A83E7A"/>
    <w:rsid w:val="00A8557E"/>
    <w:rsid w:val="00A858DB"/>
    <w:rsid w:val="00A8719A"/>
    <w:rsid w:val="00A9019A"/>
    <w:rsid w:val="00A90B30"/>
    <w:rsid w:val="00A90C08"/>
    <w:rsid w:val="00A91A24"/>
    <w:rsid w:val="00A92A13"/>
    <w:rsid w:val="00A943FF"/>
    <w:rsid w:val="00A96128"/>
    <w:rsid w:val="00A97882"/>
    <w:rsid w:val="00AA0CA4"/>
    <w:rsid w:val="00AA3755"/>
    <w:rsid w:val="00AA3F3C"/>
    <w:rsid w:val="00AA49A7"/>
    <w:rsid w:val="00AA50A8"/>
    <w:rsid w:val="00AA5EC8"/>
    <w:rsid w:val="00AA79C0"/>
    <w:rsid w:val="00AA7CBF"/>
    <w:rsid w:val="00AB0E12"/>
    <w:rsid w:val="00AB16C9"/>
    <w:rsid w:val="00AB23F5"/>
    <w:rsid w:val="00AB3CED"/>
    <w:rsid w:val="00AB4CD1"/>
    <w:rsid w:val="00AC1EA2"/>
    <w:rsid w:val="00AC209C"/>
    <w:rsid w:val="00AC59A2"/>
    <w:rsid w:val="00AE067E"/>
    <w:rsid w:val="00AE0E52"/>
    <w:rsid w:val="00AE41B7"/>
    <w:rsid w:val="00AE5EC6"/>
    <w:rsid w:val="00AF0196"/>
    <w:rsid w:val="00AF050B"/>
    <w:rsid w:val="00AF0ED1"/>
    <w:rsid w:val="00AF15D5"/>
    <w:rsid w:val="00AF2B4E"/>
    <w:rsid w:val="00AF2B8C"/>
    <w:rsid w:val="00AF414B"/>
    <w:rsid w:val="00AF6931"/>
    <w:rsid w:val="00B014B0"/>
    <w:rsid w:val="00B0271D"/>
    <w:rsid w:val="00B03A91"/>
    <w:rsid w:val="00B043B5"/>
    <w:rsid w:val="00B0728C"/>
    <w:rsid w:val="00B079EA"/>
    <w:rsid w:val="00B10AD9"/>
    <w:rsid w:val="00B12DAA"/>
    <w:rsid w:val="00B1352B"/>
    <w:rsid w:val="00B209BF"/>
    <w:rsid w:val="00B20AA3"/>
    <w:rsid w:val="00B242BD"/>
    <w:rsid w:val="00B24983"/>
    <w:rsid w:val="00B253D4"/>
    <w:rsid w:val="00B26026"/>
    <w:rsid w:val="00B26448"/>
    <w:rsid w:val="00B26DDE"/>
    <w:rsid w:val="00B30C86"/>
    <w:rsid w:val="00B33B0D"/>
    <w:rsid w:val="00B3495B"/>
    <w:rsid w:val="00B3572A"/>
    <w:rsid w:val="00B37409"/>
    <w:rsid w:val="00B4086F"/>
    <w:rsid w:val="00B43DE7"/>
    <w:rsid w:val="00B44D8D"/>
    <w:rsid w:val="00B5001D"/>
    <w:rsid w:val="00B521A4"/>
    <w:rsid w:val="00B55A99"/>
    <w:rsid w:val="00B56F03"/>
    <w:rsid w:val="00B62352"/>
    <w:rsid w:val="00B6446F"/>
    <w:rsid w:val="00B66BF4"/>
    <w:rsid w:val="00B6715B"/>
    <w:rsid w:val="00B70109"/>
    <w:rsid w:val="00B72888"/>
    <w:rsid w:val="00B731DC"/>
    <w:rsid w:val="00B73789"/>
    <w:rsid w:val="00B76C69"/>
    <w:rsid w:val="00B77188"/>
    <w:rsid w:val="00B82A06"/>
    <w:rsid w:val="00B835A5"/>
    <w:rsid w:val="00B841A2"/>
    <w:rsid w:val="00B84828"/>
    <w:rsid w:val="00B84897"/>
    <w:rsid w:val="00B85921"/>
    <w:rsid w:val="00B85D28"/>
    <w:rsid w:val="00B86CA7"/>
    <w:rsid w:val="00B8752A"/>
    <w:rsid w:val="00B9080E"/>
    <w:rsid w:val="00B93055"/>
    <w:rsid w:val="00B95FB5"/>
    <w:rsid w:val="00B9621A"/>
    <w:rsid w:val="00B97D6E"/>
    <w:rsid w:val="00BA283A"/>
    <w:rsid w:val="00BA3E8E"/>
    <w:rsid w:val="00BA3FC8"/>
    <w:rsid w:val="00BA6CA8"/>
    <w:rsid w:val="00BA7721"/>
    <w:rsid w:val="00BB0BDF"/>
    <w:rsid w:val="00BB2C18"/>
    <w:rsid w:val="00BB310A"/>
    <w:rsid w:val="00BB7D38"/>
    <w:rsid w:val="00BB7F67"/>
    <w:rsid w:val="00BC18B2"/>
    <w:rsid w:val="00BC30DD"/>
    <w:rsid w:val="00BC562D"/>
    <w:rsid w:val="00BC60BB"/>
    <w:rsid w:val="00BC69B8"/>
    <w:rsid w:val="00BC7A3E"/>
    <w:rsid w:val="00BD3855"/>
    <w:rsid w:val="00BD38EC"/>
    <w:rsid w:val="00BD5C49"/>
    <w:rsid w:val="00BE1854"/>
    <w:rsid w:val="00BE2D44"/>
    <w:rsid w:val="00BE55B4"/>
    <w:rsid w:val="00BE6436"/>
    <w:rsid w:val="00BF032F"/>
    <w:rsid w:val="00BF510D"/>
    <w:rsid w:val="00C008BD"/>
    <w:rsid w:val="00C022E5"/>
    <w:rsid w:val="00C02C8D"/>
    <w:rsid w:val="00C072AA"/>
    <w:rsid w:val="00C11188"/>
    <w:rsid w:val="00C11192"/>
    <w:rsid w:val="00C11E6A"/>
    <w:rsid w:val="00C1323A"/>
    <w:rsid w:val="00C14D2E"/>
    <w:rsid w:val="00C17029"/>
    <w:rsid w:val="00C170C4"/>
    <w:rsid w:val="00C21ABB"/>
    <w:rsid w:val="00C23063"/>
    <w:rsid w:val="00C235F1"/>
    <w:rsid w:val="00C241BC"/>
    <w:rsid w:val="00C2556E"/>
    <w:rsid w:val="00C26512"/>
    <w:rsid w:val="00C30AD1"/>
    <w:rsid w:val="00C31284"/>
    <w:rsid w:val="00C32ED3"/>
    <w:rsid w:val="00C3424C"/>
    <w:rsid w:val="00C34917"/>
    <w:rsid w:val="00C35465"/>
    <w:rsid w:val="00C360CE"/>
    <w:rsid w:val="00C361F5"/>
    <w:rsid w:val="00C401CA"/>
    <w:rsid w:val="00C4088B"/>
    <w:rsid w:val="00C4165F"/>
    <w:rsid w:val="00C42937"/>
    <w:rsid w:val="00C43B3E"/>
    <w:rsid w:val="00C465EE"/>
    <w:rsid w:val="00C46FA0"/>
    <w:rsid w:val="00C52B0E"/>
    <w:rsid w:val="00C52C42"/>
    <w:rsid w:val="00C54729"/>
    <w:rsid w:val="00C54C56"/>
    <w:rsid w:val="00C551FC"/>
    <w:rsid w:val="00C6030C"/>
    <w:rsid w:val="00C61BB1"/>
    <w:rsid w:val="00C61BC9"/>
    <w:rsid w:val="00C628C9"/>
    <w:rsid w:val="00C65CAE"/>
    <w:rsid w:val="00C7168B"/>
    <w:rsid w:val="00C729EE"/>
    <w:rsid w:val="00C7301E"/>
    <w:rsid w:val="00C7384E"/>
    <w:rsid w:val="00C741D3"/>
    <w:rsid w:val="00C742F2"/>
    <w:rsid w:val="00C75594"/>
    <w:rsid w:val="00C75A95"/>
    <w:rsid w:val="00C77017"/>
    <w:rsid w:val="00C800B4"/>
    <w:rsid w:val="00C80E26"/>
    <w:rsid w:val="00C82E7E"/>
    <w:rsid w:val="00C923FE"/>
    <w:rsid w:val="00C94450"/>
    <w:rsid w:val="00C96E98"/>
    <w:rsid w:val="00CA1D02"/>
    <w:rsid w:val="00CA3232"/>
    <w:rsid w:val="00CA57AB"/>
    <w:rsid w:val="00CA63C7"/>
    <w:rsid w:val="00CA6596"/>
    <w:rsid w:val="00CA739D"/>
    <w:rsid w:val="00CB0663"/>
    <w:rsid w:val="00CB0B47"/>
    <w:rsid w:val="00CB0DAE"/>
    <w:rsid w:val="00CB33B2"/>
    <w:rsid w:val="00CB59E0"/>
    <w:rsid w:val="00CB7DF5"/>
    <w:rsid w:val="00CC057B"/>
    <w:rsid w:val="00CC1563"/>
    <w:rsid w:val="00CC1E0C"/>
    <w:rsid w:val="00CC1ECC"/>
    <w:rsid w:val="00CC2F8D"/>
    <w:rsid w:val="00CC4270"/>
    <w:rsid w:val="00CC6FEB"/>
    <w:rsid w:val="00CD078A"/>
    <w:rsid w:val="00CD15F9"/>
    <w:rsid w:val="00CD2A3B"/>
    <w:rsid w:val="00CD3DC8"/>
    <w:rsid w:val="00CD5198"/>
    <w:rsid w:val="00CD566E"/>
    <w:rsid w:val="00CE2DA1"/>
    <w:rsid w:val="00CE35F2"/>
    <w:rsid w:val="00CE420C"/>
    <w:rsid w:val="00CE74F6"/>
    <w:rsid w:val="00CF2975"/>
    <w:rsid w:val="00CF6A61"/>
    <w:rsid w:val="00D015D2"/>
    <w:rsid w:val="00D01900"/>
    <w:rsid w:val="00D01D42"/>
    <w:rsid w:val="00D02332"/>
    <w:rsid w:val="00D035B0"/>
    <w:rsid w:val="00D03DEA"/>
    <w:rsid w:val="00D06912"/>
    <w:rsid w:val="00D06C97"/>
    <w:rsid w:val="00D06F68"/>
    <w:rsid w:val="00D114EF"/>
    <w:rsid w:val="00D11976"/>
    <w:rsid w:val="00D14992"/>
    <w:rsid w:val="00D1550A"/>
    <w:rsid w:val="00D17905"/>
    <w:rsid w:val="00D2636A"/>
    <w:rsid w:val="00D26947"/>
    <w:rsid w:val="00D2777F"/>
    <w:rsid w:val="00D279E0"/>
    <w:rsid w:val="00D27E44"/>
    <w:rsid w:val="00D321E2"/>
    <w:rsid w:val="00D34173"/>
    <w:rsid w:val="00D341AE"/>
    <w:rsid w:val="00D353A2"/>
    <w:rsid w:val="00D4212A"/>
    <w:rsid w:val="00D437D3"/>
    <w:rsid w:val="00D43D25"/>
    <w:rsid w:val="00D4548C"/>
    <w:rsid w:val="00D50110"/>
    <w:rsid w:val="00D5411F"/>
    <w:rsid w:val="00D55800"/>
    <w:rsid w:val="00D605DA"/>
    <w:rsid w:val="00D61BB6"/>
    <w:rsid w:val="00D62032"/>
    <w:rsid w:val="00D626DA"/>
    <w:rsid w:val="00D659B9"/>
    <w:rsid w:val="00D70319"/>
    <w:rsid w:val="00D70E3F"/>
    <w:rsid w:val="00D7442B"/>
    <w:rsid w:val="00D747F6"/>
    <w:rsid w:val="00D74870"/>
    <w:rsid w:val="00D77D95"/>
    <w:rsid w:val="00D80B3B"/>
    <w:rsid w:val="00D80DAA"/>
    <w:rsid w:val="00D8131C"/>
    <w:rsid w:val="00D821F7"/>
    <w:rsid w:val="00D8326F"/>
    <w:rsid w:val="00D8513C"/>
    <w:rsid w:val="00D859C7"/>
    <w:rsid w:val="00D85FD1"/>
    <w:rsid w:val="00D8605A"/>
    <w:rsid w:val="00D86139"/>
    <w:rsid w:val="00DA6165"/>
    <w:rsid w:val="00DA7206"/>
    <w:rsid w:val="00DA78CB"/>
    <w:rsid w:val="00DC192B"/>
    <w:rsid w:val="00DC2B47"/>
    <w:rsid w:val="00DC3907"/>
    <w:rsid w:val="00DC4AB9"/>
    <w:rsid w:val="00DC5505"/>
    <w:rsid w:val="00DC643D"/>
    <w:rsid w:val="00DC780B"/>
    <w:rsid w:val="00DD0058"/>
    <w:rsid w:val="00DD4FD7"/>
    <w:rsid w:val="00DD63D5"/>
    <w:rsid w:val="00DD6A6D"/>
    <w:rsid w:val="00DD6EFE"/>
    <w:rsid w:val="00DD73CC"/>
    <w:rsid w:val="00DE15C7"/>
    <w:rsid w:val="00DE2D0A"/>
    <w:rsid w:val="00DE3F14"/>
    <w:rsid w:val="00DE4962"/>
    <w:rsid w:val="00DF0707"/>
    <w:rsid w:val="00DF4AB9"/>
    <w:rsid w:val="00DF4C36"/>
    <w:rsid w:val="00DF4F80"/>
    <w:rsid w:val="00DF56DA"/>
    <w:rsid w:val="00DF7328"/>
    <w:rsid w:val="00DF7369"/>
    <w:rsid w:val="00E010A1"/>
    <w:rsid w:val="00E03283"/>
    <w:rsid w:val="00E047D8"/>
    <w:rsid w:val="00E071A4"/>
    <w:rsid w:val="00E1095E"/>
    <w:rsid w:val="00E11902"/>
    <w:rsid w:val="00E11914"/>
    <w:rsid w:val="00E11F2D"/>
    <w:rsid w:val="00E12531"/>
    <w:rsid w:val="00E12B47"/>
    <w:rsid w:val="00E13E36"/>
    <w:rsid w:val="00E17187"/>
    <w:rsid w:val="00E22898"/>
    <w:rsid w:val="00E22E24"/>
    <w:rsid w:val="00E25EE4"/>
    <w:rsid w:val="00E2779C"/>
    <w:rsid w:val="00E31FFF"/>
    <w:rsid w:val="00E32E04"/>
    <w:rsid w:val="00E35064"/>
    <w:rsid w:val="00E36B92"/>
    <w:rsid w:val="00E36EDB"/>
    <w:rsid w:val="00E40C65"/>
    <w:rsid w:val="00E41D4A"/>
    <w:rsid w:val="00E4347C"/>
    <w:rsid w:val="00E44B51"/>
    <w:rsid w:val="00E476F1"/>
    <w:rsid w:val="00E50A88"/>
    <w:rsid w:val="00E5159F"/>
    <w:rsid w:val="00E56B3F"/>
    <w:rsid w:val="00E57C40"/>
    <w:rsid w:val="00E57CB3"/>
    <w:rsid w:val="00E6294F"/>
    <w:rsid w:val="00E636E1"/>
    <w:rsid w:val="00E63A52"/>
    <w:rsid w:val="00E715FA"/>
    <w:rsid w:val="00E72547"/>
    <w:rsid w:val="00E74D45"/>
    <w:rsid w:val="00E76C88"/>
    <w:rsid w:val="00E77D38"/>
    <w:rsid w:val="00E869DB"/>
    <w:rsid w:val="00E86D5D"/>
    <w:rsid w:val="00E87537"/>
    <w:rsid w:val="00E90DD8"/>
    <w:rsid w:val="00E914D3"/>
    <w:rsid w:val="00E93633"/>
    <w:rsid w:val="00E9485E"/>
    <w:rsid w:val="00E9659D"/>
    <w:rsid w:val="00E96AD1"/>
    <w:rsid w:val="00EA0015"/>
    <w:rsid w:val="00EA1A03"/>
    <w:rsid w:val="00EA435D"/>
    <w:rsid w:val="00EA6AA2"/>
    <w:rsid w:val="00EB0005"/>
    <w:rsid w:val="00EB01C8"/>
    <w:rsid w:val="00EB2E88"/>
    <w:rsid w:val="00EB3DB0"/>
    <w:rsid w:val="00EB4F64"/>
    <w:rsid w:val="00EB7DD9"/>
    <w:rsid w:val="00EC103D"/>
    <w:rsid w:val="00EC2668"/>
    <w:rsid w:val="00EC75B9"/>
    <w:rsid w:val="00EC7AB5"/>
    <w:rsid w:val="00ED0095"/>
    <w:rsid w:val="00ED1245"/>
    <w:rsid w:val="00ED2125"/>
    <w:rsid w:val="00ED3C3E"/>
    <w:rsid w:val="00ED485E"/>
    <w:rsid w:val="00ED5340"/>
    <w:rsid w:val="00ED75D2"/>
    <w:rsid w:val="00ED7EFD"/>
    <w:rsid w:val="00EE0C1C"/>
    <w:rsid w:val="00EE0F24"/>
    <w:rsid w:val="00EE6F98"/>
    <w:rsid w:val="00EF1476"/>
    <w:rsid w:val="00EF2B06"/>
    <w:rsid w:val="00EF3814"/>
    <w:rsid w:val="00EF5624"/>
    <w:rsid w:val="00EF5D92"/>
    <w:rsid w:val="00EF69FC"/>
    <w:rsid w:val="00EF7926"/>
    <w:rsid w:val="00F01706"/>
    <w:rsid w:val="00F03C30"/>
    <w:rsid w:val="00F03F61"/>
    <w:rsid w:val="00F07F3A"/>
    <w:rsid w:val="00F10001"/>
    <w:rsid w:val="00F10863"/>
    <w:rsid w:val="00F117DE"/>
    <w:rsid w:val="00F12C6E"/>
    <w:rsid w:val="00F147A7"/>
    <w:rsid w:val="00F23FCA"/>
    <w:rsid w:val="00F2754A"/>
    <w:rsid w:val="00F3178F"/>
    <w:rsid w:val="00F342C3"/>
    <w:rsid w:val="00F34327"/>
    <w:rsid w:val="00F34789"/>
    <w:rsid w:val="00F34A77"/>
    <w:rsid w:val="00F34D81"/>
    <w:rsid w:val="00F360FB"/>
    <w:rsid w:val="00F36B43"/>
    <w:rsid w:val="00F37BAC"/>
    <w:rsid w:val="00F41080"/>
    <w:rsid w:val="00F42A3D"/>
    <w:rsid w:val="00F4511B"/>
    <w:rsid w:val="00F50691"/>
    <w:rsid w:val="00F52C45"/>
    <w:rsid w:val="00F555C8"/>
    <w:rsid w:val="00F55AF8"/>
    <w:rsid w:val="00F729E7"/>
    <w:rsid w:val="00F76B14"/>
    <w:rsid w:val="00F77D09"/>
    <w:rsid w:val="00F81826"/>
    <w:rsid w:val="00F82431"/>
    <w:rsid w:val="00F82788"/>
    <w:rsid w:val="00F82B3A"/>
    <w:rsid w:val="00F82B58"/>
    <w:rsid w:val="00F84418"/>
    <w:rsid w:val="00F858C8"/>
    <w:rsid w:val="00F90ED6"/>
    <w:rsid w:val="00F9110E"/>
    <w:rsid w:val="00F911CA"/>
    <w:rsid w:val="00F91584"/>
    <w:rsid w:val="00F9183C"/>
    <w:rsid w:val="00F92CAB"/>
    <w:rsid w:val="00F95442"/>
    <w:rsid w:val="00F95E83"/>
    <w:rsid w:val="00F95FCB"/>
    <w:rsid w:val="00FA027C"/>
    <w:rsid w:val="00FA2176"/>
    <w:rsid w:val="00FA2238"/>
    <w:rsid w:val="00FA2AD8"/>
    <w:rsid w:val="00FA3EFE"/>
    <w:rsid w:val="00FA5ACB"/>
    <w:rsid w:val="00FA6F5A"/>
    <w:rsid w:val="00FB1D44"/>
    <w:rsid w:val="00FC06D3"/>
    <w:rsid w:val="00FC150F"/>
    <w:rsid w:val="00FC296A"/>
    <w:rsid w:val="00FC311A"/>
    <w:rsid w:val="00FC4137"/>
    <w:rsid w:val="00FD02A1"/>
    <w:rsid w:val="00FD03A4"/>
    <w:rsid w:val="00FD16EE"/>
    <w:rsid w:val="00FD29F4"/>
    <w:rsid w:val="00FD3D67"/>
    <w:rsid w:val="00FD4D09"/>
    <w:rsid w:val="00FD662A"/>
    <w:rsid w:val="00FD78ED"/>
    <w:rsid w:val="00FE19CA"/>
    <w:rsid w:val="00FE23AB"/>
    <w:rsid w:val="00FE60AD"/>
    <w:rsid w:val="00FE67AB"/>
    <w:rsid w:val="00FE7241"/>
    <w:rsid w:val="00FF1685"/>
    <w:rsid w:val="00FF6EAA"/>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E14D7-28B6-4824-A0AB-3FCCD60E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198"/>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91584"/>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s-PE"/>
    </w:rPr>
  </w:style>
  <w:style w:type="paragraph" w:styleId="Heading2">
    <w:name w:val="heading 2"/>
    <w:basedOn w:val="Normal"/>
    <w:next w:val="Normal"/>
    <w:link w:val="Heading2Char"/>
    <w:uiPriority w:val="9"/>
    <w:unhideWhenUsed/>
    <w:qFormat/>
    <w:rsid w:val="004211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Heading2"/>
    <w:link w:val="Heading3Char"/>
    <w:qFormat/>
    <w:rsid w:val="00421198"/>
    <w:pPr>
      <w:keepLines w:val="0"/>
      <w:tabs>
        <w:tab w:val="left" w:pos="1134"/>
      </w:tabs>
      <w:spacing w:before="240" w:line="360" w:lineRule="auto"/>
      <w:jc w:val="both"/>
      <w:outlineLvl w:val="2"/>
    </w:pPr>
    <w:rPr>
      <w:rFonts w:ascii="Times New Roman" w:eastAsia="MS Gothic" w:hAnsi="Times New Roman" w:cs="Times New Roman"/>
      <w:b/>
      <w:bCs/>
      <w:iCs/>
      <w:color w:val="auto"/>
      <w:sz w:val="24"/>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21198"/>
    <w:rPr>
      <w:rFonts w:ascii="Times New Roman" w:eastAsia="MS Gothic" w:hAnsi="Times New Roman" w:cs="Times New Roman"/>
      <w:b/>
      <w:bCs/>
      <w:iCs/>
      <w:sz w:val="24"/>
      <w:szCs w:val="28"/>
      <w:lang w:val="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link w:val="FootnoteText"/>
    <w:uiPriority w:val="99"/>
    <w:locked/>
    <w:rsid w:val="00421198"/>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C,FA Fu?notentext,ft"/>
    <w:basedOn w:val="Normal"/>
    <w:link w:val="FootnoteTextChar"/>
    <w:uiPriority w:val="99"/>
    <w:qFormat/>
    <w:rsid w:val="00421198"/>
    <w:pPr>
      <w:spacing w:after="0" w:line="240" w:lineRule="auto"/>
    </w:pPr>
    <w:rPr>
      <w:rFonts w:asciiTheme="minorHAnsi" w:eastAsiaTheme="minorHAnsi" w:hAnsiTheme="minorHAnsi" w:cstheme="minorBidi"/>
    </w:rPr>
  </w:style>
  <w:style w:type="character" w:customStyle="1" w:styleId="TextonotapieCar1">
    <w:name w:val="Texto nota pie Car1"/>
    <w:basedOn w:val="DefaultParagraphFont"/>
    <w:uiPriority w:val="99"/>
    <w:semiHidden/>
    <w:rsid w:val="00421198"/>
    <w:rPr>
      <w:rFonts w:ascii="Calibri" w:eastAsia="Times New Roman" w:hAnsi="Calibri" w:cs="Times New Roman"/>
      <w:sz w:val="20"/>
      <w:szCs w:val="20"/>
    </w:rPr>
  </w:style>
  <w:style w:type="character" w:styleId="FootnoteReference">
    <w:name w:val="footnote reference"/>
    <w:aliases w:val="Footnotes refss,Texto de nota al pie,Appel note de bas de page,Footnote number,referencia nota al pie,BVI fnr,f,4_G,16 Point,Superscript 6 Point,Ref. de nota al pi,Appel note de bas de...,Ref. de nota al pie 2,Texto nota al pie,foote"/>
    <w:uiPriority w:val="99"/>
    <w:qFormat/>
    <w:rsid w:val="00421198"/>
    <w:rPr>
      <w:rFonts w:cs="Times New Roman"/>
      <w:vertAlign w:val="superscript"/>
    </w:rPr>
  </w:style>
  <w:style w:type="character" w:styleId="Hyperlink">
    <w:name w:val="Hyperlink"/>
    <w:uiPriority w:val="99"/>
    <w:rsid w:val="00421198"/>
    <w:rPr>
      <w:rFonts w:cs="Times New Roman"/>
      <w:color w:val="0000FF"/>
      <w:u w:val="single"/>
    </w:rPr>
  </w:style>
  <w:style w:type="character" w:customStyle="1" w:styleId="apple-converted-space">
    <w:name w:val="apple-converted-space"/>
    <w:rsid w:val="00421198"/>
    <w:rPr>
      <w:rFonts w:cs="Times New Roman"/>
    </w:rPr>
  </w:style>
  <w:style w:type="character" w:customStyle="1" w:styleId="ListParagraphChar">
    <w:name w:val="List Paragraph Char"/>
    <w:link w:val="Prrafodelista1"/>
    <w:locked/>
    <w:rsid w:val="00421198"/>
    <w:rPr>
      <w:sz w:val="24"/>
      <w:szCs w:val="24"/>
      <w:lang w:val="en-US" w:eastAsia="x-none"/>
    </w:rPr>
  </w:style>
  <w:style w:type="paragraph" w:customStyle="1" w:styleId="Prrafodelista1">
    <w:name w:val="Párrafo de lista1"/>
    <w:basedOn w:val="Normal"/>
    <w:link w:val="ListParagraphChar"/>
    <w:rsid w:val="00421198"/>
    <w:pPr>
      <w:spacing w:after="0" w:line="240" w:lineRule="auto"/>
      <w:ind w:left="720"/>
    </w:pPr>
    <w:rPr>
      <w:rFonts w:asciiTheme="minorHAnsi" w:eastAsiaTheme="minorHAnsi" w:hAnsiTheme="minorHAnsi" w:cstheme="minorBidi"/>
      <w:sz w:val="24"/>
      <w:szCs w:val="24"/>
      <w:lang w:val="en-US" w:eastAsia="x-none"/>
    </w:rPr>
  </w:style>
  <w:style w:type="character" w:styleId="Emphasis">
    <w:name w:val="Emphasis"/>
    <w:uiPriority w:val="20"/>
    <w:qFormat/>
    <w:rsid w:val="00421198"/>
    <w:rPr>
      <w:rFonts w:ascii="Times New Roman" w:hAnsi="Times New Roman" w:cs="Times New Roman"/>
      <w:i/>
      <w:iCs/>
    </w:rPr>
  </w:style>
  <w:style w:type="character" w:customStyle="1" w:styleId="Heading2Char">
    <w:name w:val="Heading 2 Char"/>
    <w:basedOn w:val="DefaultParagraphFont"/>
    <w:link w:val="Heading2"/>
    <w:uiPriority w:val="9"/>
    <w:rsid w:val="0042119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5FA6"/>
    <w:pPr>
      <w:tabs>
        <w:tab w:val="center" w:pos="4252"/>
        <w:tab w:val="right" w:pos="8504"/>
      </w:tabs>
      <w:spacing w:after="0" w:line="240" w:lineRule="auto"/>
    </w:pPr>
  </w:style>
  <w:style w:type="character" w:customStyle="1" w:styleId="HeaderChar">
    <w:name w:val="Header Char"/>
    <w:basedOn w:val="DefaultParagraphFont"/>
    <w:link w:val="Header"/>
    <w:uiPriority w:val="99"/>
    <w:rsid w:val="002B5FA6"/>
    <w:rPr>
      <w:rFonts w:ascii="Calibri" w:eastAsia="Times New Roman" w:hAnsi="Calibri" w:cs="Times New Roman"/>
    </w:rPr>
  </w:style>
  <w:style w:type="paragraph" w:styleId="Footer">
    <w:name w:val="footer"/>
    <w:basedOn w:val="Normal"/>
    <w:link w:val="FooterChar"/>
    <w:uiPriority w:val="99"/>
    <w:unhideWhenUsed/>
    <w:rsid w:val="002B5FA6"/>
    <w:pPr>
      <w:tabs>
        <w:tab w:val="center" w:pos="4252"/>
        <w:tab w:val="right" w:pos="8504"/>
      </w:tabs>
      <w:spacing w:after="0" w:line="240" w:lineRule="auto"/>
    </w:pPr>
  </w:style>
  <w:style w:type="character" w:customStyle="1" w:styleId="FooterChar">
    <w:name w:val="Footer Char"/>
    <w:basedOn w:val="DefaultParagraphFont"/>
    <w:link w:val="Footer"/>
    <w:uiPriority w:val="99"/>
    <w:rsid w:val="002B5FA6"/>
    <w:rPr>
      <w:rFonts w:ascii="Calibri" w:eastAsia="Times New Roman" w:hAnsi="Calibri" w:cs="Times New Roman"/>
    </w:rPr>
  </w:style>
  <w:style w:type="paragraph" w:styleId="NoSpacing">
    <w:name w:val="No Spacing"/>
    <w:uiPriority w:val="1"/>
    <w:qFormat/>
    <w:rsid w:val="000B2A74"/>
    <w:pPr>
      <w:spacing w:after="0" w:line="240" w:lineRule="auto"/>
    </w:pPr>
    <w:rPr>
      <w:rFonts w:ascii="Calibri" w:eastAsia="Times New Roman" w:hAnsi="Calibri" w:cs="Times New Roman"/>
    </w:rPr>
  </w:style>
  <w:style w:type="character" w:styleId="CommentReference">
    <w:name w:val="annotation reference"/>
    <w:basedOn w:val="DefaultParagraphFont"/>
    <w:semiHidden/>
    <w:unhideWhenUsed/>
    <w:rsid w:val="000A3BB5"/>
    <w:rPr>
      <w:sz w:val="16"/>
      <w:szCs w:val="16"/>
    </w:rPr>
  </w:style>
  <w:style w:type="paragraph" w:styleId="CommentText">
    <w:name w:val="annotation text"/>
    <w:basedOn w:val="Normal"/>
    <w:link w:val="CommentTextChar"/>
    <w:unhideWhenUsed/>
    <w:rsid w:val="000A3BB5"/>
    <w:pPr>
      <w:spacing w:line="240" w:lineRule="auto"/>
    </w:pPr>
    <w:rPr>
      <w:sz w:val="20"/>
      <w:szCs w:val="20"/>
    </w:rPr>
  </w:style>
  <w:style w:type="character" w:customStyle="1" w:styleId="CommentTextChar">
    <w:name w:val="Comment Text Char"/>
    <w:basedOn w:val="DefaultParagraphFont"/>
    <w:link w:val="CommentText"/>
    <w:rsid w:val="000A3B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3BB5"/>
    <w:rPr>
      <w:b/>
      <w:bCs/>
    </w:rPr>
  </w:style>
  <w:style w:type="character" w:customStyle="1" w:styleId="CommentSubjectChar">
    <w:name w:val="Comment Subject Char"/>
    <w:basedOn w:val="CommentTextChar"/>
    <w:link w:val="CommentSubject"/>
    <w:uiPriority w:val="99"/>
    <w:semiHidden/>
    <w:rsid w:val="000A3BB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A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BB5"/>
    <w:rPr>
      <w:rFonts w:ascii="Tahoma" w:eastAsia="Times New Roman" w:hAnsi="Tahoma" w:cs="Tahoma"/>
      <w:sz w:val="16"/>
      <w:szCs w:val="16"/>
    </w:rPr>
  </w:style>
  <w:style w:type="paragraph" w:styleId="ListParagraph">
    <w:name w:val="List Paragraph"/>
    <w:basedOn w:val="Normal"/>
    <w:uiPriority w:val="34"/>
    <w:qFormat/>
    <w:rsid w:val="00D17905"/>
    <w:pPr>
      <w:ind w:left="720"/>
      <w:contextualSpacing/>
    </w:pPr>
  </w:style>
  <w:style w:type="character" w:styleId="Strong">
    <w:name w:val="Strong"/>
    <w:basedOn w:val="DefaultParagraphFont"/>
    <w:uiPriority w:val="22"/>
    <w:qFormat/>
    <w:rsid w:val="005807BA"/>
    <w:rPr>
      <w:b/>
      <w:bCs/>
    </w:rPr>
  </w:style>
  <w:style w:type="character" w:customStyle="1" w:styleId="Heading1Char">
    <w:name w:val="Heading 1 Char"/>
    <w:basedOn w:val="DefaultParagraphFont"/>
    <w:link w:val="Heading1"/>
    <w:uiPriority w:val="9"/>
    <w:rsid w:val="00F91584"/>
    <w:rPr>
      <w:rFonts w:asciiTheme="majorHAnsi" w:eastAsiaTheme="majorEastAsia" w:hAnsiTheme="majorHAnsi" w:cstheme="majorBidi"/>
      <w:b/>
      <w:bCs/>
      <w:color w:val="2E74B5" w:themeColor="accent1" w:themeShade="BF"/>
      <w:sz w:val="28"/>
      <w:szCs w:val="28"/>
      <w:lang w:eastAsia="es-PE"/>
    </w:rPr>
  </w:style>
  <w:style w:type="character" w:customStyle="1" w:styleId="d9u5xx6go17b">
    <w:name w:val="d9u5xx6go17b"/>
    <w:rsid w:val="00C235F1"/>
  </w:style>
  <w:style w:type="paragraph" w:styleId="TOCHeading">
    <w:name w:val="TOC Heading"/>
    <w:basedOn w:val="Heading1"/>
    <w:next w:val="Normal"/>
    <w:uiPriority w:val="39"/>
    <w:unhideWhenUsed/>
    <w:qFormat/>
    <w:rsid w:val="009B5AC0"/>
    <w:pPr>
      <w:spacing w:before="240" w:line="259" w:lineRule="auto"/>
      <w:outlineLvl w:val="9"/>
    </w:pPr>
    <w:rPr>
      <w:b w:val="0"/>
      <w:bCs w:val="0"/>
      <w:sz w:val="32"/>
      <w:szCs w:val="32"/>
    </w:rPr>
  </w:style>
  <w:style w:type="paragraph" w:styleId="TOC3">
    <w:name w:val="toc 3"/>
    <w:basedOn w:val="Normal"/>
    <w:next w:val="Normal"/>
    <w:autoRedefine/>
    <w:uiPriority w:val="39"/>
    <w:unhideWhenUsed/>
    <w:qFormat/>
    <w:rsid w:val="009B5AC0"/>
    <w:pPr>
      <w:spacing w:after="100"/>
      <w:ind w:left="440"/>
    </w:pPr>
  </w:style>
  <w:style w:type="paragraph" w:styleId="TOC2">
    <w:name w:val="toc 2"/>
    <w:basedOn w:val="Normal"/>
    <w:next w:val="Normal"/>
    <w:autoRedefine/>
    <w:uiPriority w:val="39"/>
    <w:unhideWhenUsed/>
    <w:qFormat/>
    <w:rsid w:val="009B5AC0"/>
    <w:pPr>
      <w:spacing w:after="100" w:line="259" w:lineRule="auto"/>
      <w:ind w:left="220"/>
    </w:pPr>
    <w:rPr>
      <w:rFonts w:asciiTheme="minorHAnsi" w:eastAsiaTheme="minorEastAsia" w:hAnsiTheme="minorHAnsi"/>
      <w:lang w:eastAsia="es-PE"/>
    </w:rPr>
  </w:style>
  <w:style w:type="paragraph" w:styleId="TOC1">
    <w:name w:val="toc 1"/>
    <w:basedOn w:val="Normal"/>
    <w:next w:val="Normal"/>
    <w:autoRedefine/>
    <w:uiPriority w:val="39"/>
    <w:unhideWhenUsed/>
    <w:qFormat/>
    <w:rsid w:val="009B5AC0"/>
    <w:pPr>
      <w:spacing w:after="100" w:line="259" w:lineRule="auto"/>
    </w:pPr>
    <w:rPr>
      <w:rFonts w:asciiTheme="minorHAnsi" w:eastAsiaTheme="minorEastAsia" w:hAnsiTheme="minorHAnsi"/>
      <w:lang w:eastAsia="es-PE"/>
    </w:rPr>
  </w:style>
  <w:style w:type="paragraph" w:styleId="TOC4">
    <w:name w:val="toc 4"/>
    <w:basedOn w:val="Normal"/>
    <w:next w:val="Normal"/>
    <w:autoRedefine/>
    <w:uiPriority w:val="39"/>
    <w:unhideWhenUsed/>
    <w:rsid w:val="009B5AC0"/>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8693">
      <w:bodyDiv w:val="1"/>
      <w:marLeft w:val="0"/>
      <w:marRight w:val="0"/>
      <w:marTop w:val="0"/>
      <w:marBottom w:val="0"/>
      <w:divBdr>
        <w:top w:val="none" w:sz="0" w:space="0" w:color="auto"/>
        <w:left w:val="none" w:sz="0" w:space="0" w:color="auto"/>
        <w:bottom w:val="none" w:sz="0" w:space="0" w:color="auto"/>
        <w:right w:val="none" w:sz="0" w:space="0" w:color="auto"/>
      </w:divBdr>
    </w:div>
    <w:div w:id="249773645">
      <w:bodyDiv w:val="1"/>
      <w:marLeft w:val="0"/>
      <w:marRight w:val="0"/>
      <w:marTop w:val="0"/>
      <w:marBottom w:val="0"/>
      <w:divBdr>
        <w:top w:val="none" w:sz="0" w:space="0" w:color="auto"/>
        <w:left w:val="none" w:sz="0" w:space="0" w:color="auto"/>
        <w:bottom w:val="none" w:sz="0" w:space="0" w:color="auto"/>
        <w:right w:val="none" w:sz="0" w:space="0" w:color="auto"/>
      </w:divBdr>
    </w:div>
    <w:div w:id="323512207">
      <w:bodyDiv w:val="1"/>
      <w:marLeft w:val="0"/>
      <w:marRight w:val="0"/>
      <w:marTop w:val="0"/>
      <w:marBottom w:val="0"/>
      <w:divBdr>
        <w:top w:val="none" w:sz="0" w:space="0" w:color="auto"/>
        <w:left w:val="none" w:sz="0" w:space="0" w:color="auto"/>
        <w:bottom w:val="none" w:sz="0" w:space="0" w:color="auto"/>
        <w:right w:val="none" w:sz="0" w:space="0" w:color="auto"/>
      </w:divBdr>
    </w:div>
    <w:div w:id="382291982">
      <w:bodyDiv w:val="1"/>
      <w:marLeft w:val="0"/>
      <w:marRight w:val="0"/>
      <w:marTop w:val="0"/>
      <w:marBottom w:val="0"/>
      <w:divBdr>
        <w:top w:val="none" w:sz="0" w:space="0" w:color="auto"/>
        <w:left w:val="none" w:sz="0" w:space="0" w:color="auto"/>
        <w:bottom w:val="none" w:sz="0" w:space="0" w:color="auto"/>
        <w:right w:val="none" w:sz="0" w:space="0" w:color="auto"/>
      </w:divBdr>
    </w:div>
    <w:div w:id="405764374">
      <w:bodyDiv w:val="1"/>
      <w:marLeft w:val="0"/>
      <w:marRight w:val="0"/>
      <w:marTop w:val="0"/>
      <w:marBottom w:val="0"/>
      <w:divBdr>
        <w:top w:val="none" w:sz="0" w:space="0" w:color="auto"/>
        <w:left w:val="none" w:sz="0" w:space="0" w:color="auto"/>
        <w:bottom w:val="none" w:sz="0" w:space="0" w:color="auto"/>
        <w:right w:val="none" w:sz="0" w:space="0" w:color="auto"/>
      </w:divBdr>
    </w:div>
    <w:div w:id="537548130">
      <w:bodyDiv w:val="1"/>
      <w:marLeft w:val="0"/>
      <w:marRight w:val="0"/>
      <w:marTop w:val="0"/>
      <w:marBottom w:val="0"/>
      <w:divBdr>
        <w:top w:val="none" w:sz="0" w:space="0" w:color="auto"/>
        <w:left w:val="none" w:sz="0" w:space="0" w:color="auto"/>
        <w:bottom w:val="none" w:sz="0" w:space="0" w:color="auto"/>
        <w:right w:val="none" w:sz="0" w:space="0" w:color="auto"/>
      </w:divBdr>
    </w:div>
    <w:div w:id="660811767">
      <w:bodyDiv w:val="1"/>
      <w:marLeft w:val="0"/>
      <w:marRight w:val="0"/>
      <w:marTop w:val="0"/>
      <w:marBottom w:val="0"/>
      <w:divBdr>
        <w:top w:val="none" w:sz="0" w:space="0" w:color="auto"/>
        <w:left w:val="none" w:sz="0" w:space="0" w:color="auto"/>
        <w:bottom w:val="none" w:sz="0" w:space="0" w:color="auto"/>
        <w:right w:val="none" w:sz="0" w:space="0" w:color="auto"/>
      </w:divBdr>
    </w:div>
    <w:div w:id="710307703">
      <w:bodyDiv w:val="1"/>
      <w:marLeft w:val="0"/>
      <w:marRight w:val="0"/>
      <w:marTop w:val="0"/>
      <w:marBottom w:val="0"/>
      <w:divBdr>
        <w:top w:val="none" w:sz="0" w:space="0" w:color="auto"/>
        <w:left w:val="none" w:sz="0" w:space="0" w:color="auto"/>
        <w:bottom w:val="none" w:sz="0" w:space="0" w:color="auto"/>
        <w:right w:val="none" w:sz="0" w:space="0" w:color="auto"/>
      </w:divBdr>
    </w:div>
    <w:div w:id="819227913">
      <w:bodyDiv w:val="1"/>
      <w:marLeft w:val="0"/>
      <w:marRight w:val="0"/>
      <w:marTop w:val="0"/>
      <w:marBottom w:val="0"/>
      <w:divBdr>
        <w:top w:val="none" w:sz="0" w:space="0" w:color="auto"/>
        <w:left w:val="none" w:sz="0" w:space="0" w:color="auto"/>
        <w:bottom w:val="none" w:sz="0" w:space="0" w:color="auto"/>
        <w:right w:val="none" w:sz="0" w:space="0" w:color="auto"/>
      </w:divBdr>
    </w:div>
    <w:div w:id="905996857">
      <w:bodyDiv w:val="1"/>
      <w:marLeft w:val="0"/>
      <w:marRight w:val="0"/>
      <w:marTop w:val="0"/>
      <w:marBottom w:val="0"/>
      <w:divBdr>
        <w:top w:val="none" w:sz="0" w:space="0" w:color="auto"/>
        <w:left w:val="none" w:sz="0" w:space="0" w:color="auto"/>
        <w:bottom w:val="none" w:sz="0" w:space="0" w:color="auto"/>
        <w:right w:val="none" w:sz="0" w:space="0" w:color="auto"/>
      </w:divBdr>
    </w:div>
    <w:div w:id="906649832">
      <w:bodyDiv w:val="1"/>
      <w:marLeft w:val="0"/>
      <w:marRight w:val="0"/>
      <w:marTop w:val="0"/>
      <w:marBottom w:val="0"/>
      <w:divBdr>
        <w:top w:val="none" w:sz="0" w:space="0" w:color="auto"/>
        <w:left w:val="none" w:sz="0" w:space="0" w:color="auto"/>
        <w:bottom w:val="none" w:sz="0" w:space="0" w:color="auto"/>
        <w:right w:val="none" w:sz="0" w:space="0" w:color="auto"/>
      </w:divBdr>
    </w:div>
    <w:div w:id="1057126371">
      <w:bodyDiv w:val="1"/>
      <w:marLeft w:val="0"/>
      <w:marRight w:val="0"/>
      <w:marTop w:val="0"/>
      <w:marBottom w:val="0"/>
      <w:divBdr>
        <w:top w:val="none" w:sz="0" w:space="0" w:color="auto"/>
        <w:left w:val="none" w:sz="0" w:space="0" w:color="auto"/>
        <w:bottom w:val="none" w:sz="0" w:space="0" w:color="auto"/>
        <w:right w:val="none" w:sz="0" w:space="0" w:color="auto"/>
      </w:divBdr>
    </w:div>
    <w:div w:id="1372193440">
      <w:bodyDiv w:val="1"/>
      <w:marLeft w:val="0"/>
      <w:marRight w:val="0"/>
      <w:marTop w:val="0"/>
      <w:marBottom w:val="0"/>
      <w:divBdr>
        <w:top w:val="none" w:sz="0" w:space="0" w:color="auto"/>
        <w:left w:val="none" w:sz="0" w:space="0" w:color="auto"/>
        <w:bottom w:val="none" w:sz="0" w:space="0" w:color="auto"/>
        <w:right w:val="none" w:sz="0" w:space="0" w:color="auto"/>
      </w:divBdr>
    </w:div>
    <w:div w:id="1567715944">
      <w:bodyDiv w:val="1"/>
      <w:marLeft w:val="0"/>
      <w:marRight w:val="0"/>
      <w:marTop w:val="0"/>
      <w:marBottom w:val="0"/>
      <w:divBdr>
        <w:top w:val="none" w:sz="0" w:space="0" w:color="auto"/>
        <w:left w:val="none" w:sz="0" w:space="0" w:color="auto"/>
        <w:bottom w:val="none" w:sz="0" w:space="0" w:color="auto"/>
        <w:right w:val="none" w:sz="0" w:space="0" w:color="auto"/>
      </w:divBdr>
    </w:div>
    <w:div w:id="1578173602">
      <w:bodyDiv w:val="1"/>
      <w:marLeft w:val="0"/>
      <w:marRight w:val="0"/>
      <w:marTop w:val="0"/>
      <w:marBottom w:val="0"/>
      <w:divBdr>
        <w:top w:val="none" w:sz="0" w:space="0" w:color="auto"/>
        <w:left w:val="none" w:sz="0" w:space="0" w:color="auto"/>
        <w:bottom w:val="none" w:sz="0" w:space="0" w:color="auto"/>
        <w:right w:val="none" w:sz="0" w:space="0" w:color="auto"/>
      </w:divBdr>
    </w:div>
    <w:div w:id="16103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1EE95B2-46B4-4053-B11E-045F3D5D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10034</Words>
  <Characters>57197</Characters>
  <Application>Microsoft Office Word</Application>
  <DocSecurity>0</DocSecurity>
  <Lines>476</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67097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dc:creator>
  <cp:lastModifiedBy>Inter-American HR Moot Court Competition</cp:lastModifiedBy>
  <cp:revision>2</cp:revision>
  <dcterms:created xsi:type="dcterms:W3CDTF">2017-09-21T15:44:00Z</dcterms:created>
  <dcterms:modified xsi:type="dcterms:W3CDTF">2017-09-21T15:44:00Z</dcterms:modified>
</cp:coreProperties>
</file>